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版本号：BNZB-20260609-00120260609001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蓝田县政府大院沥青路面改造提升项目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BNZB-20260609-001</w:t>
      </w:r>
      <w:r>
        <w:br/>
      </w:r>
      <w:r>
        <w:br/>
      </w:r>
      <w:r>
        <w:br/>
      </w:r>
    </w:p>
    <w:p>
      <w:pPr>
        <w:pStyle w:val="null3"/>
        <w:jc w:val="center"/>
        <w:outlineLvl w:val="2"/>
      </w:pPr>
      <w:r>
        <w:rPr>
          <w:rFonts w:ascii="仿宋_GB2312" w:hAnsi="仿宋_GB2312" w:cs="仿宋_GB2312" w:eastAsia="仿宋_GB2312"/>
          <w:sz w:val="28"/>
          <w:b/>
        </w:rPr>
        <w:t>蓝田县机关事务服务中心（本级）</w:t>
      </w:r>
    </w:p>
    <w:p>
      <w:pPr>
        <w:pStyle w:val="null3"/>
        <w:jc w:val="center"/>
        <w:outlineLvl w:val="2"/>
      </w:pPr>
      <w:r>
        <w:rPr>
          <w:rFonts w:ascii="仿宋_GB2312" w:hAnsi="仿宋_GB2312" w:cs="仿宋_GB2312" w:eastAsia="仿宋_GB2312"/>
          <w:sz w:val="28"/>
          <w:b/>
        </w:rPr>
        <w:t>陕西邦宁建设项目管理有限公司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陕西邦宁建设项目管理有限公司</w:t>
      </w:r>
      <w:r>
        <w:rPr>
          <w:rFonts w:ascii="仿宋_GB2312" w:hAnsi="仿宋_GB2312" w:cs="仿宋_GB2312" w:eastAsia="仿宋_GB2312"/>
        </w:rPr>
        <w:t>（以下简称“代理机构”）受</w:t>
      </w:r>
      <w:r>
        <w:rPr>
          <w:rFonts w:ascii="仿宋_GB2312" w:hAnsi="仿宋_GB2312" w:cs="仿宋_GB2312" w:eastAsia="仿宋_GB2312"/>
        </w:rPr>
        <w:t>蓝田县机关事务服务中心（本级）</w:t>
      </w:r>
      <w:r>
        <w:rPr>
          <w:rFonts w:ascii="仿宋_GB2312" w:hAnsi="仿宋_GB2312" w:cs="仿宋_GB2312" w:eastAsia="仿宋_GB2312"/>
        </w:rPr>
        <w:t>委托，拟对</w:t>
      </w:r>
      <w:r>
        <w:rPr>
          <w:rFonts w:ascii="仿宋_GB2312" w:hAnsi="仿宋_GB2312" w:cs="仿宋_GB2312" w:eastAsia="仿宋_GB2312"/>
        </w:rPr>
        <w:t>蓝田县政府大院沥青路面改造提升项目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BNZB-20260609-001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蓝田县政府大院沥青路面改造提升项目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本项目的主要建设内容是：破除及恢复沥青混凝土路面；提高沥青路面的便用寿命，降低养护成本，改善道路通行条件，提高行车安全，优化道路景观，提升城市形象。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采购包1（蓝田县政府大院沥青路面改造提升项目）：属于专门面向中小企业采购。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1、主体资格：法人或者其他组织提供营业执照等证明文件，自然人提供身份证件。</w:t>
      </w:r>
    </w:p>
    <w:p>
      <w:pPr>
        <w:pStyle w:val="null3"/>
      </w:pPr>
      <w:r>
        <w:rPr>
          <w:rFonts w:ascii="仿宋_GB2312" w:hAnsi="仿宋_GB2312" w:cs="仿宋_GB2312" w:eastAsia="仿宋_GB2312"/>
        </w:rPr>
        <w:t>2、企业资质：供应商须具有市政公用施工总承包三级及以上资质或建筑工程施工总承包三级及以上资质及安全生产许可证。</w:t>
      </w:r>
    </w:p>
    <w:p>
      <w:pPr>
        <w:pStyle w:val="null3"/>
      </w:pPr>
      <w:r>
        <w:rPr>
          <w:rFonts w:ascii="仿宋_GB2312" w:hAnsi="仿宋_GB2312" w:cs="仿宋_GB2312" w:eastAsia="仿宋_GB2312"/>
        </w:rPr>
        <w:t>3、拟派项目负责人资质和（及）专业要求：供应商拟派项目负责人在本单位注册具有市政专业二级建造师及以上资格或建筑工程专业二级及以上注册建造师证书及安全考核合格证,且无在建（提供无在建承诺）。</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5、税收缴纳凭证及社会保险缴纳的凭证：供应商在本项目磋商响应文件递交截止时间前六个月内任意一个月的税收缴纳凭证及社会保险缴纳的凭证。依法免税或不需要缴纳社会保障资金的供应商，应提供相应文件证明其依法免税或不需要缴纳社会保障资金。</w:t>
      </w:r>
    </w:p>
    <w:p>
      <w:pPr>
        <w:pStyle w:val="null3"/>
      </w:pPr>
      <w:r>
        <w:rPr>
          <w:rFonts w:ascii="仿宋_GB2312" w:hAnsi="仿宋_GB2312" w:cs="仿宋_GB2312" w:eastAsia="仿宋_GB2312"/>
        </w:rPr>
        <w:t>6、财务状况报告：供应商2024年或2025年经审计的财务报告（事业法人可提供部门决算报告）或基本户银行出具的资信证明或政府采购专业担保机构出具的投标担保函。</w:t>
      </w:r>
    </w:p>
    <w:p>
      <w:pPr>
        <w:pStyle w:val="null3"/>
      </w:pPr>
      <w:r>
        <w:rPr>
          <w:rFonts w:ascii="仿宋_GB2312" w:hAnsi="仿宋_GB2312" w:cs="仿宋_GB2312" w:eastAsia="仿宋_GB2312"/>
        </w:rPr>
        <w:t>7、履行合同所必需的设备和专业技术能力书面声明函：具有履行合同所必需的设备和专业技术能力书面声明函。</w:t>
      </w:r>
    </w:p>
    <w:p>
      <w:pPr>
        <w:pStyle w:val="null3"/>
      </w:pPr>
      <w:r>
        <w:rPr>
          <w:rFonts w:ascii="仿宋_GB2312" w:hAnsi="仿宋_GB2312" w:cs="仿宋_GB2312" w:eastAsia="仿宋_GB2312"/>
        </w:rPr>
        <w:t>8、信用要求：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蓝田县机关事务服务中心（本级）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任武召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15339069940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陕西邦宁建设项目管理有限公司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陕西省西安市未央区西安市未央区朱宏路南段66号西安福清商会大厦1106室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17792803190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采购包1：474,069.07元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代理服务费收费标准：采购代理服务费以成交价为基数，按《招标代理服务收费管理暂行办法》（国家发改委计价格[2002]1980号）文件和发改价格[2011]534号文件规定计取。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蓝田县机关事务服务中心（本级）</w:t>
      </w:r>
      <w:r>
        <w:rPr>
          <w:rFonts w:ascii="仿宋_GB2312" w:hAnsi="仿宋_GB2312" w:cs="仿宋_GB2312" w:eastAsia="仿宋_GB2312"/>
        </w:rPr>
        <w:t>和</w:t>
      </w:r>
      <w:r>
        <w:rPr>
          <w:rFonts w:ascii="仿宋_GB2312" w:hAnsi="仿宋_GB2312" w:cs="仿宋_GB2312" w:eastAsia="仿宋_GB2312"/>
        </w:rPr>
        <w:t>陕西邦宁建设项目管理有限公司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蓝田县机关事务服务中心（本级）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陕西邦宁建设项目管理有限公司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蓝田县机关事务服务中心（本级）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陕西邦宁建设项目管理有限公司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陕西邦宁建设项目管理有限公司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陕西邦宁建设项目管理有限公司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陕西邦宁建设项目管理有限公司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联系人：郑迟</w:t>
      </w:r>
    </w:p>
    <w:p>
      <w:pPr>
        <w:pStyle w:val="null3"/>
      </w:pPr>
      <w:r>
        <w:rPr>
          <w:rFonts w:ascii="仿宋_GB2312" w:hAnsi="仿宋_GB2312" w:cs="仿宋_GB2312" w:eastAsia="仿宋_GB2312"/>
        </w:rPr>
        <w:t>联系电话：17792803190</w:t>
      </w:r>
    </w:p>
    <w:p>
      <w:pPr>
        <w:pStyle w:val="null3"/>
      </w:pPr>
      <w:r>
        <w:rPr>
          <w:rFonts w:ascii="仿宋_GB2312" w:hAnsi="仿宋_GB2312" w:cs="仿宋_GB2312" w:eastAsia="仿宋_GB2312"/>
        </w:rPr>
        <w:t>地址：陕西省西安市未央区朱宏路南段66号西安福清商会大厦1106室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474,069.07</w:t>
      </w:r>
    </w:p>
    <w:p>
      <w:pPr>
        <w:pStyle w:val="null3"/>
      </w:pPr>
      <w:r>
        <w:rPr>
          <w:rFonts w:ascii="仿宋_GB2312" w:hAnsi="仿宋_GB2312" w:cs="仿宋_GB2312" w:eastAsia="仿宋_GB2312"/>
        </w:rPr>
        <w:t>采购包最高限价（元）: 474,069.07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蓝田县政府大院沥青路面改造提升项目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474,069.07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标的名称：蓝田县政府大院沥青路面改造提升项目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w:t>
            </w:r>
            <w:r>
              <w:rPr>
                <w:rFonts w:ascii="仿宋_GB2312" w:hAnsi="仿宋_GB2312" w:cs="仿宋_GB2312" w:eastAsia="仿宋_GB2312"/>
                <w:sz w:val="18"/>
              </w:rPr>
              <w:t>工程概况</w:t>
            </w:r>
          </w:p>
          <w:p>
            <w:pPr>
              <w:pStyle w:val="null3"/>
            </w:pPr>
            <w:r>
              <w:rPr>
                <w:rFonts w:ascii="仿宋_GB2312" w:hAnsi="仿宋_GB2312" w:cs="仿宋_GB2312" w:eastAsia="仿宋_GB2312"/>
                <w:sz w:val="18"/>
              </w:rPr>
              <w:t>1、工程名称：蓝田县政府大院沥青路面改造提升项目</w:t>
            </w:r>
          </w:p>
          <w:p>
            <w:pPr>
              <w:pStyle w:val="null3"/>
            </w:pPr>
            <w:r>
              <w:rPr>
                <w:rFonts w:ascii="仿宋_GB2312" w:hAnsi="仿宋_GB2312" w:cs="仿宋_GB2312" w:eastAsia="仿宋_GB2312"/>
                <w:sz w:val="18"/>
              </w:rPr>
              <w:t>2、工程内容：</w:t>
            </w:r>
            <w:r>
              <w:rPr>
                <w:rFonts w:ascii="仿宋_GB2312" w:hAnsi="仿宋_GB2312" w:cs="仿宋_GB2312" w:eastAsia="仿宋_GB2312"/>
                <w:sz w:val="18"/>
              </w:rPr>
              <w:t>破除及恢复沥青混凝土路面</w:t>
            </w:r>
            <w:r>
              <w:rPr>
                <w:rFonts w:ascii="仿宋_GB2312" w:hAnsi="仿宋_GB2312" w:cs="仿宋_GB2312" w:eastAsia="仿宋_GB2312"/>
                <w:sz w:val="18"/>
              </w:rPr>
              <w:t>，具体详见工程量清单等。</w:t>
            </w:r>
            <w:r>
              <w:br/>
            </w:r>
            <w:r>
              <w:rPr>
                <w:rFonts w:ascii="仿宋_GB2312" w:hAnsi="仿宋_GB2312" w:cs="仿宋_GB2312" w:eastAsia="仿宋_GB2312"/>
                <w:sz w:val="18"/>
              </w:rPr>
              <w:t>二、编制依据</w:t>
            </w:r>
          </w:p>
          <w:p>
            <w:pPr>
              <w:pStyle w:val="null3"/>
            </w:pPr>
            <w:r>
              <w:rPr>
                <w:rFonts w:ascii="仿宋_GB2312" w:hAnsi="仿宋_GB2312" w:cs="仿宋_GB2312" w:eastAsia="仿宋_GB2312"/>
                <w:sz w:val="18"/>
              </w:rPr>
              <w:t>1、《陕西省建设工程工程量清单计价标准及计算标准（2025）》。</w:t>
            </w:r>
          </w:p>
          <w:p>
            <w:pPr>
              <w:pStyle w:val="null3"/>
            </w:pPr>
            <w:r>
              <w:rPr>
                <w:rFonts w:ascii="仿宋_GB2312" w:hAnsi="仿宋_GB2312" w:cs="仿宋_GB2312" w:eastAsia="仿宋_GB2312"/>
                <w:sz w:val="18"/>
              </w:rPr>
              <w:t>2、《陕西省建设工程费用规则（2025）》。</w:t>
            </w:r>
          </w:p>
          <w:p>
            <w:pPr>
              <w:pStyle w:val="null3"/>
            </w:pPr>
            <w:r>
              <w:rPr>
                <w:rFonts w:ascii="仿宋_GB2312" w:hAnsi="仿宋_GB2312" w:cs="仿宋_GB2312" w:eastAsia="仿宋_GB2312"/>
                <w:sz w:val="18"/>
              </w:rPr>
              <w:t>3、《陕西省房屋建筑与装饰工程基价表（2025）》。</w:t>
            </w:r>
          </w:p>
          <w:p>
            <w:pPr>
              <w:pStyle w:val="null3"/>
            </w:pPr>
            <w:r>
              <w:rPr>
                <w:rFonts w:ascii="仿宋_GB2312" w:hAnsi="仿宋_GB2312" w:cs="仿宋_GB2312" w:eastAsia="仿宋_GB2312"/>
                <w:sz w:val="18"/>
              </w:rPr>
              <w:t>4、《陕西省房屋建筑与装饰工程消耗量定额（2025）》。</w:t>
            </w:r>
          </w:p>
          <w:p>
            <w:pPr>
              <w:pStyle w:val="null3"/>
            </w:pPr>
            <w:r>
              <w:rPr>
                <w:rFonts w:ascii="仿宋_GB2312" w:hAnsi="仿宋_GB2312" w:cs="仿宋_GB2312" w:eastAsia="仿宋_GB2312"/>
                <w:sz w:val="18"/>
              </w:rPr>
              <w:t>5、陕建管发【2025】10号文《陕西省住房和城乡建设厅关于印发2025陕西省建设工程费用规则等计价依据的通知》。</w:t>
            </w:r>
          </w:p>
          <w:p>
            <w:pPr>
              <w:pStyle w:val="null3"/>
            </w:pPr>
            <w:r>
              <w:rPr>
                <w:rFonts w:ascii="仿宋_GB2312" w:hAnsi="仿宋_GB2312" w:cs="仿宋_GB2312" w:eastAsia="仿宋_GB2312"/>
                <w:sz w:val="18"/>
              </w:rPr>
              <w:t>6、主要材料价执行《蓝田县建设工程信息价》2025年第十二期信息价，部分主材参照《陕西省建设工程信息价》同期价格及市场询价。</w:t>
            </w:r>
          </w:p>
          <w:p>
            <w:pPr>
              <w:pStyle w:val="null3"/>
            </w:pPr>
            <w:r>
              <w:rPr>
                <w:rFonts w:ascii="仿宋_GB2312" w:hAnsi="仿宋_GB2312" w:cs="仿宋_GB2312" w:eastAsia="仿宋_GB2312"/>
                <w:sz w:val="18"/>
              </w:rPr>
              <w:t>7、相关法律法规、标准图集、相关规范等。</w:t>
            </w:r>
          </w:p>
          <w:p>
            <w:pPr>
              <w:pStyle w:val="null3"/>
            </w:pPr>
            <w:r>
              <w:rPr>
                <w:rFonts w:ascii="仿宋_GB2312" w:hAnsi="仿宋_GB2312" w:cs="仿宋_GB2312" w:eastAsia="仿宋_GB2312"/>
                <w:sz w:val="18"/>
              </w:rPr>
              <w:t>8、工程量清单计价软件使用“广联达云计价平台 GCCP7.5000.23.2”。</w:t>
            </w:r>
          </w:p>
          <w:p>
            <w:pPr>
              <w:pStyle w:val="null3"/>
            </w:pPr>
            <w:r>
              <w:rPr>
                <w:rFonts w:ascii="仿宋_GB2312" w:hAnsi="仿宋_GB2312" w:cs="仿宋_GB2312" w:eastAsia="仿宋_GB2312"/>
                <w:sz w:val="18"/>
              </w:rPr>
              <w:t>三、需要说明的其他问题</w:t>
            </w:r>
          </w:p>
          <w:p>
            <w:pPr>
              <w:pStyle w:val="null3"/>
            </w:pPr>
            <w:r>
              <w:rPr>
                <w:rFonts w:ascii="仿宋_GB2312" w:hAnsi="仿宋_GB2312" w:cs="仿宋_GB2312" w:eastAsia="仿宋_GB2312"/>
                <w:sz w:val="18"/>
              </w:rPr>
              <w:t>1、投标人在报价时应按《陕西省建设工程费用规则》(2025)规定的统一格式。投标方应在投标同时提供上述表格的PDF电子文档及相应计价软件版本。</w:t>
            </w:r>
          </w:p>
          <w:p>
            <w:pPr>
              <w:pStyle w:val="null3"/>
            </w:pPr>
            <w:r>
              <w:rPr>
                <w:rFonts w:ascii="仿宋_GB2312" w:hAnsi="仿宋_GB2312" w:cs="仿宋_GB2312" w:eastAsia="仿宋_GB2312"/>
                <w:sz w:val="18"/>
              </w:rPr>
              <w:t>2、工程量清单综合单价应包括所需人工费、材料费、施工机具使用费、企业管理费、利润以及一定范围内的风险费用等。</w:t>
            </w:r>
          </w:p>
          <w:p>
            <w:pPr>
              <w:pStyle w:val="null3"/>
            </w:pPr>
            <w:r>
              <w:rPr>
                <w:rFonts w:ascii="仿宋_GB2312" w:hAnsi="仿宋_GB2312" w:cs="仿宋_GB2312" w:eastAsia="仿宋_GB2312"/>
                <w:sz w:val="18"/>
              </w:rPr>
              <w:t>3、本工程税率按增值税计取，增值税税率为9%。</w:t>
            </w:r>
          </w:p>
          <w:p>
            <w:pPr>
              <w:pStyle w:val="null3"/>
            </w:pPr>
            <w:r>
              <w:rPr>
                <w:rFonts w:ascii="仿宋_GB2312" w:hAnsi="仿宋_GB2312" w:cs="仿宋_GB2312" w:eastAsia="仿宋_GB2312"/>
                <w:sz w:val="18"/>
              </w:rPr>
              <w:t>4、本次招标中安全文明施工费、税金为不可竞争性费用，须按招标人提供的工程量清单中给定的费率报价。</w:t>
            </w:r>
          </w:p>
          <w:p>
            <w:pPr>
              <w:pStyle w:val="null3"/>
            </w:pPr>
            <w:r>
              <w:rPr>
                <w:rFonts w:ascii="仿宋_GB2312" w:hAnsi="仿宋_GB2312" w:cs="仿宋_GB2312" w:eastAsia="仿宋_GB2312"/>
                <w:sz w:val="18"/>
              </w:rPr>
              <w:t>5、投标人应按本项目实施内容结合施工现场实际情况，在措施项目中填报施工本工程所需措施及发生的相关措施费，未填报的措施费视为已分摊在各项目的报价中。</w:t>
            </w:r>
          </w:p>
          <w:p>
            <w:pPr>
              <w:pStyle w:val="null3"/>
            </w:pPr>
            <w:r>
              <w:rPr>
                <w:rFonts w:ascii="仿宋_GB2312" w:hAnsi="仿宋_GB2312" w:cs="仿宋_GB2312" w:eastAsia="仿宋_GB2312"/>
                <w:sz w:val="18"/>
              </w:rPr>
              <w:t>6、所有需二次深化设计的单位工程或分部分项工程，需投标单位在投标报价时综合考虑二次设计费。</w:t>
            </w:r>
          </w:p>
          <w:p>
            <w:pPr>
              <w:pStyle w:val="null3"/>
            </w:pPr>
            <w:r>
              <w:rPr>
                <w:rFonts w:ascii="仿宋_GB2312" w:hAnsi="仿宋_GB2312" w:cs="仿宋_GB2312" w:eastAsia="仿宋_GB2312"/>
                <w:sz w:val="18"/>
              </w:rPr>
              <w:t>7、本项目混凝土采用商品混凝土时，投标报价时综合单价中包括但不限于混凝土的购置、运输、泵送、浇捣、养护等费用。混凝土浇筑方式由投标单位根据现场实际及设计和规范要求综合确定，并在报价中综合考虑。</w:t>
            </w:r>
          </w:p>
          <w:p>
            <w:pPr>
              <w:pStyle w:val="null3"/>
            </w:pPr>
            <w:r>
              <w:rPr>
                <w:rFonts w:ascii="仿宋_GB2312" w:hAnsi="仿宋_GB2312" w:cs="仿宋_GB2312" w:eastAsia="仿宋_GB2312"/>
                <w:sz w:val="18"/>
              </w:rPr>
              <w:t>四、工期：合同签订后</w:t>
            </w:r>
            <w:r>
              <w:rPr>
                <w:rFonts w:ascii="仿宋_GB2312" w:hAnsi="仿宋_GB2312" w:cs="仿宋_GB2312" w:eastAsia="仿宋_GB2312"/>
                <w:sz w:val="18"/>
              </w:rPr>
              <w:t>30</w:t>
            </w:r>
            <w:r>
              <w:rPr>
                <w:rFonts w:ascii="仿宋_GB2312" w:hAnsi="仿宋_GB2312" w:cs="仿宋_GB2312" w:eastAsia="仿宋_GB2312"/>
                <w:sz w:val="18"/>
              </w:rPr>
              <w:t>日历天。</w:t>
            </w:r>
          </w:p>
          <w:p>
            <w:pPr>
              <w:pStyle w:val="null3"/>
              <w:jc w:val="both"/>
            </w:pPr>
            <w:r>
              <w:rPr>
                <w:rFonts w:ascii="仿宋_GB2312" w:hAnsi="仿宋_GB2312" w:cs="仿宋_GB2312" w:eastAsia="仿宋_GB2312"/>
                <w:sz w:val="18"/>
              </w:rPr>
              <w:t>五、工程质量符合国家现行有关施工质量验收规范要求</w:t>
            </w:r>
            <w:r>
              <w:rPr>
                <w:rFonts w:ascii="仿宋_GB2312" w:hAnsi="仿宋_GB2312" w:cs="仿宋_GB2312" w:eastAsia="仿宋_GB2312"/>
                <w:sz w:val="18"/>
              </w:rPr>
              <w:t>“合格”标准。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满足国家行业相关标准及磋商文件相关要求。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法人或者其他组织提供营业执照等证明文件，自然人提供身份证件。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供应商须具有市政公用施工总承包三级及以上资质或建筑工程施工总承包三级及以上资质及安全生产许可证。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拟派项目负责人资质和（及）专业要求</w:t>
            </w:r>
          </w:p>
        </w:tc>
        <w:tc>
          <w:tcPr>
            <w:tcW w:type="dxa" w:w="3322"/>
          </w:tcPr>
          <w:p>
            <w:pPr>
              <w:pStyle w:val="null3"/>
            </w:pPr>
            <w:r>
              <w:rPr>
                <w:rFonts w:ascii="仿宋_GB2312" w:hAnsi="仿宋_GB2312" w:cs="仿宋_GB2312" w:eastAsia="仿宋_GB2312"/>
              </w:rPr>
              <w:t>供应商拟派项目负责人在本单位注册具有市政专业二级建造师及以上资格或建筑工程专业二级及以上注册建造师证书及安全考核合格证,且无在建（提供无在建承诺）。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供应商2024年或2025年经审计的财务报告（事业法人可提供部门决算报告）或基本户银行出具的资信证明或政府采购专业担保机构出具的投标担保函。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标的清单 其他材料.docx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技术、商务偏离表.docx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施工部署及施工方案</w:t>
            </w:r>
          </w:p>
        </w:tc>
        <w:tc>
          <w:tcPr>
            <w:tcW w:type="dxa" w:w="2492"/>
          </w:tcPr>
          <w:p>
            <w:pPr>
              <w:pStyle w:val="null3"/>
            </w:pPr>
            <w:r>
              <w:rPr>
                <w:rFonts w:ascii="仿宋_GB2312" w:hAnsi="仿宋_GB2312" w:cs="仿宋_GB2312" w:eastAsia="仿宋_GB2312"/>
              </w:rPr>
              <w:t>一）评审内容： ①施工总平面布置； ②施工阶段划分及施工顺序安排；③施工方法及相关技术措施；④重点难点工程分析及解决措施。 （二）评审标准：（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（一）评审内容：①工期目标；②施工进度计划； ③工期保障措施。 （二）评审标准：（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①安全目标及安全生产管理体系；②安全生产保证措施；③文明施工措施。（二）评审标准：（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（一）评审内容：①质量目标；②质量管理体系； ③施工质量保障措施。 （二）评审标准：（1）每项评审内容完整无缺陷得3分；未提供得0分；（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①环境保护管理体系； ②环境保护措施。 （二）评审标准：（1）每项评审内容完整无缺陷得3分；未提供得0分；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（一）评审内容：①施工机械设备和检测设备配备计划；②劳动力投入计划。 （二）评审标准：（1）每项评审内容完整无缺陷得3分；未提供得0分； （2）每项评审内容每存在一处缺陷扣0.6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项目完工后的维修服务及保修承诺</w:t>
            </w:r>
          </w:p>
        </w:tc>
        <w:tc>
          <w:tcPr>
            <w:tcW w:type="dxa" w:w="2492"/>
          </w:tcPr>
          <w:p>
            <w:pPr>
              <w:pStyle w:val="null3"/>
            </w:pPr>
            <w:r>
              <w:rPr>
                <w:rFonts w:ascii="仿宋_GB2312" w:hAnsi="仿宋_GB2312" w:cs="仿宋_GB2312" w:eastAsia="仿宋_GB2312"/>
              </w:rPr>
              <w:t>（一）评审内容：①维修服务方案；②保修承诺。 （二）评审标准：（1）每项评审内容完整无缺陷得2分；未提供得0分； （2）每项评审内容每存在一处缺陷扣0.4分，扣完为止。(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人员配备及项目组织机构</w:t>
            </w:r>
          </w:p>
        </w:tc>
        <w:tc>
          <w:tcPr>
            <w:tcW w:type="dxa" w:w="2492"/>
          </w:tcPr>
          <w:p>
            <w:pPr>
              <w:pStyle w:val="null3"/>
            </w:pPr>
            <w:r>
              <w:rPr>
                <w:rFonts w:ascii="仿宋_GB2312" w:hAnsi="仿宋_GB2312" w:cs="仿宋_GB2312" w:eastAsia="仿宋_GB2312"/>
              </w:rPr>
              <w:t>（1）人员配备：拟投入的项目管理机构人员结构合理、岗位职责明确，除项目经理外，项目管理机构每增加一人得1分，本项最高得6分；（2）项目管理人员中，每具有一个相关专业中级职称人员得1分，高级职称人员得3分，最多得3分。 注：须提供人员相关证件，不提供或完全背离评审标准得0分。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提供2023年1月1日起至今类似工程业绩，每个提供一份得2分，满分6分。（时间以合同签订日期为准，提供合同复印件加盖公章）。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满足磋商文件要求且最终投标报价最低的报价为评审基准价，其价格分为满分30分。 投标报价得分=（评审基准价/投标报价）*价格分。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