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版本号：0617-2622XZ1494.1B120260720001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2026年义务教育薄弱环节改善与能力提升补助资金项目(消防改造工程及围墙维修)(二次)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0617-2622XZ1494.1B1</w:t>
      </w:r>
      <w:r>
        <w:br/>
      </w:r>
      <w:r>
        <w:br/>
      </w:r>
      <w:r>
        <w:br/>
      </w:r>
    </w:p>
    <w:p>
      <w:pPr>
        <w:pStyle w:val="null3"/>
        <w:jc w:val="center"/>
        <w:outlineLvl w:val="2"/>
      </w:pPr>
      <w:r>
        <w:rPr>
          <w:rFonts w:ascii="仿宋_GB2312" w:hAnsi="仿宋_GB2312" w:cs="仿宋_GB2312" w:eastAsia="仿宋_GB2312"/>
          <w:sz w:val="28"/>
          <w:b/>
        </w:rPr>
        <w:t>西安市雁塔区第三中学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西安市雁塔区第三中学</w:t>
      </w:r>
      <w:r>
        <w:rPr>
          <w:rFonts w:ascii="仿宋_GB2312" w:hAnsi="仿宋_GB2312" w:cs="仿宋_GB2312" w:eastAsia="仿宋_GB2312"/>
        </w:rPr>
        <w:t>委托，拟对</w:t>
      </w:r>
      <w:r>
        <w:rPr>
          <w:rFonts w:ascii="仿宋_GB2312" w:hAnsi="仿宋_GB2312" w:cs="仿宋_GB2312" w:eastAsia="仿宋_GB2312"/>
        </w:rPr>
        <w:t>2026年义务教育薄弱环节改善与能力提升补助资金项目(消防改造工程及围墙维修)(二次)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0617-2622XZ1494.1B1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2026年义务教育薄弱环节改善与能力提升补助资金项目(消防改造工程及围墙维修)(二次)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消防改造工程及围墙维修，具体要求详见本项目工程量清单。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采购包1（消防改造工程及围墙维修）：属于专门面向中小企业采购。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证书：供应商须具备建设行政主管部门颁发合法有效的建筑工程施工总承包三级(含)以上或建筑装修装饰工程专业承包二级(含)以上资质，同时具备消防设施工程专业承包贰级（含）及以上资质，及合法有效的安全生产许可证。</w:t>
      </w:r>
    </w:p>
    <w:p>
      <w:pPr>
        <w:pStyle w:val="null3"/>
      </w:pPr>
      <w:r>
        <w:rPr>
          <w:rFonts w:ascii="仿宋_GB2312" w:hAnsi="仿宋_GB2312" w:cs="仿宋_GB2312" w:eastAsia="仿宋_GB2312"/>
        </w:rPr>
        <w:t>2、拟派项目经理要求：拟派项目经理须具备合法有效的机电工程专业二级及以上(含)注册建造师执业资格证书，同时具备有效的安全生产考核合格证书(安全B证)，在本单位注册且无在建工程。</w:t>
      </w:r>
    </w:p>
    <w:p>
      <w:pPr>
        <w:pStyle w:val="null3"/>
      </w:pPr>
      <w:r>
        <w:rPr>
          <w:rFonts w:ascii="仿宋_GB2312" w:hAnsi="仿宋_GB2312" w:cs="仿宋_GB2312" w:eastAsia="仿宋_GB2312"/>
        </w:rPr>
        <w:t>3、法定代表人授权书及被授权人本单位证明：供应商应授权合法的人员参加磋商，其中法定代表人直接参加的须出具法定代表人身份证并与营业执照上信息一致，法定代表人授权代表参加的须出具法定代表人授权书及被授权人本单位证明 (近6个月内任意1个月社保缴纳证明)。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西安市雁塔区丈八北路486号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西安市雁塔区第三中学经办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029-88612003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程佳、杨凡、王炳淇、张勃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代理服务费收费标准：固定金额，按约定金额5000元收取。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踏勘时间：2026-07-28 10:00:00</w:t>
            </w:r>
          </w:p>
          <w:p>
            <w:pPr>
              <w:pStyle w:val="null3"/>
              <w:ind w:firstLine="975"/>
            </w:pPr>
            <w:r>
              <w:rPr>
                <w:rFonts w:ascii="仿宋_GB2312" w:hAnsi="仿宋_GB2312" w:cs="仿宋_GB2312" w:eastAsia="仿宋_GB2312"/>
              </w:rPr>
              <w:t>踏勘地点：西安市雁塔区第三中学东门</w:t>
            </w:r>
          </w:p>
          <w:p>
            <w:pPr>
              <w:pStyle w:val="null3"/>
              <w:ind w:firstLine="975"/>
            </w:pPr>
            <w:r>
              <w:rPr>
                <w:rFonts w:ascii="仿宋_GB2312" w:hAnsi="仿宋_GB2312" w:cs="仿宋_GB2312" w:eastAsia="仿宋_GB2312"/>
              </w:rPr>
              <w:t>联系人：贾雷雷</w:t>
            </w:r>
          </w:p>
          <w:p>
            <w:pPr>
              <w:pStyle w:val="null3"/>
              <w:ind w:firstLine="975"/>
            </w:pPr>
            <w:r>
              <w:rPr>
                <w:rFonts w:ascii="仿宋_GB2312" w:hAnsi="仿宋_GB2312" w:cs="仿宋_GB2312" w:eastAsia="仿宋_GB2312"/>
              </w:rPr>
              <w:t>联系电话号码：15991781859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西安市雁塔区第三中学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西安市雁塔区第三中学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202,000.00</w:t>
      </w:r>
    </w:p>
    <w:p>
      <w:pPr>
        <w:pStyle w:val="null3"/>
      </w:pPr>
      <w:r>
        <w:rPr>
          <w:rFonts w:ascii="仿宋_GB2312" w:hAnsi="仿宋_GB2312" w:cs="仿宋_GB2312" w:eastAsia="仿宋_GB2312"/>
        </w:rPr>
        <w:t>采购包最高限价（元）: 202,000.00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消防改造工程及围墙维修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标的名称：消防改造工程及围墙维修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w:t>
            </w:r>
            <w:r>
              <w:rPr>
                <w:rFonts w:ascii="仿宋_GB2312" w:hAnsi="仿宋_GB2312" w:cs="仿宋_GB2312" w:eastAsia="仿宋_GB2312"/>
                <w:sz w:val="21"/>
                <w:b/>
              </w:rPr>
              <w:t>工程内容</w:t>
            </w:r>
            <w:r>
              <w:br/>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工程名称：</w:t>
            </w:r>
            <w:r>
              <w:rPr>
                <w:rFonts w:ascii="仿宋_GB2312" w:hAnsi="仿宋_GB2312" w:cs="仿宋_GB2312" w:eastAsia="仿宋_GB2312"/>
              </w:rPr>
              <w:t>2026年义务教育薄弱环节改善与能力提升补助资金项目（消防改造工程及围墙维修）</w:t>
            </w:r>
          </w:p>
          <w:p>
            <w:pPr>
              <w:pStyle w:val="null3"/>
            </w:pPr>
            <w:r>
              <w:rPr>
                <w:rFonts w:ascii="仿宋_GB2312" w:hAnsi="仿宋_GB2312" w:cs="仿宋_GB2312" w:eastAsia="仿宋_GB2312"/>
              </w:rPr>
              <w:t>2、</w:t>
            </w:r>
            <w:r>
              <w:rPr>
                <w:rFonts w:ascii="仿宋_GB2312" w:hAnsi="仿宋_GB2312" w:cs="仿宋_GB2312" w:eastAsia="仿宋_GB2312"/>
              </w:rPr>
              <w:t>工程内容：</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火灾自动报警系统故障维修；</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电源监控、防火门监控、应急照明系统的故障维修；</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消防广播、电源强切、车库风机和消防泵多线启动等各项联动设备的测试及维修（但不包含强电箱、风机和水泵本身的维修）；</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各类电系统维修更换所需要的配管和布线；</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湿式报警阀</w:t>
            </w:r>
            <w:r>
              <w:rPr>
                <w:rFonts w:ascii="仿宋_GB2312" w:hAnsi="仿宋_GB2312" w:cs="仿宋_GB2312" w:eastAsia="仿宋_GB2312"/>
              </w:rPr>
              <w:t>延时器的维修，增加湿式报警阀排水设施；</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室外消火栓的故障排查及阀门维修</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车库</w:t>
            </w:r>
            <w:r>
              <w:rPr>
                <w:rFonts w:ascii="仿宋_GB2312" w:hAnsi="仿宋_GB2312" w:cs="仿宋_GB2312" w:eastAsia="仿宋_GB2312"/>
              </w:rPr>
              <w:t>3区和餐厅处设置防火门；</w:t>
            </w:r>
          </w:p>
          <w:p>
            <w:pPr>
              <w:pStyle w:val="null3"/>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全区域联动测试、排查、编程调试；</w:t>
            </w:r>
          </w:p>
          <w:p>
            <w:pPr>
              <w:pStyle w:val="null3"/>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w:t>
            </w:r>
            <w:r>
              <w:rPr>
                <w:rFonts w:ascii="仿宋_GB2312" w:hAnsi="仿宋_GB2312" w:cs="仿宋_GB2312" w:eastAsia="仿宋_GB2312"/>
              </w:rPr>
              <w:t>过道改平开窗，连廊窗户增加手动开启装置；</w:t>
            </w:r>
          </w:p>
          <w:p>
            <w:pPr>
              <w:pStyle w:val="null3"/>
            </w:pP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w:t>
            </w:r>
            <w:r>
              <w:rPr>
                <w:rFonts w:ascii="仿宋_GB2312" w:hAnsi="仿宋_GB2312" w:cs="仿宋_GB2312" w:eastAsia="仿宋_GB2312"/>
              </w:rPr>
              <w:t>室外部分外墙裂缝和空鼓维修。</w:t>
            </w:r>
            <w:r>
              <w:br/>
            </w:r>
            <w:r>
              <w:rPr>
                <w:rFonts w:ascii="仿宋_GB2312" w:hAnsi="仿宋_GB2312" w:cs="仿宋_GB2312" w:eastAsia="仿宋_GB2312"/>
                <w:sz w:val="21"/>
                <w:b/>
              </w:rPr>
              <w:t>二、</w:t>
            </w:r>
            <w:r>
              <w:rPr>
                <w:rFonts w:ascii="仿宋_GB2312" w:hAnsi="仿宋_GB2312" w:cs="仿宋_GB2312" w:eastAsia="仿宋_GB2312"/>
                <w:sz w:val="21"/>
                <w:b/>
              </w:rPr>
              <w:t>建设地点、单位</w:t>
            </w:r>
            <w:r>
              <w:rPr>
                <w:rFonts w:ascii="仿宋_GB2312" w:hAnsi="仿宋_GB2312" w:cs="仿宋_GB2312" w:eastAsia="仿宋_GB2312"/>
                <w:sz w:val="21"/>
                <w:b/>
              </w:rPr>
              <w:t>、计划工期、</w:t>
            </w:r>
            <w:r>
              <w:rPr>
                <w:rFonts w:ascii="仿宋_GB2312" w:hAnsi="仿宋_GB2312" w:cs="仿宋_GB2312" w:eastAsia="仿宋_GB2312"/>
                <w:sz w:val="21"/>
                <w:b/>
              </w:rPr>
              <w:t>质量要求</w:t>
            </w:r>
            <w:r>
              <w:br/>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建设地点：西安市雁塔区第三中学</w:t>
            </w:r>
          </w:p>
          <w:p>
            <w:pPr>
              <w:pStyle w:val="null3"/>
            </w:pPr>
            <w:r>
              <w:rPr>
                <w:rFonts w:ascii="仿宋_GB2312" w:hAnsi="仿宋_GB2312" w:cs="仿宋_GB2312" w:eastAsia="仿宋_GB2312"/>
              </w:rPr>
              <w:t>2、</w:t>
            </w:r>
            <w:r>
              <w:rPr>
                <w:rFonts w:ascii="仿宋_GB2312" w:hAnsi="仿宋_GB2312" w:cs="仿宋_GB2312" w:eastAsia="仿宋_GB2312"/>
              </w:rPr>
              <w:t>建设单位：西安市雁塔区第三中学</w:t>
            </w:r>
            <w:r>
              <w:br/>
            </w:r>
            <w:r>
              <w:rPr>
                <w:rFonts w:ascii="仿宋_GB2312" w:hAnsi="仿宋_GB2312" w:cs="仿宋_GB2312" w:eastAsia="仿宋_GB2312"/>
                <w:sz w:val="21"/>
                <w:b/>
              </w:rPr>
              <w:t>三、工程量清单</w:t>
            </w:r>
          </w:p>
          <w:tbl>
            <w:tblPr>
              <w:tblBorders>
                <w:top w:val="none" w:color="000000" w:sz="4"/>
                <w:left w:val="none" w:color="000000" w:sz="4"/>
                <w:bottom w:val="none" w:color="000000" w:sz="4"/>
                <w:right w:val="none" w:color="000000" w:sz="4"/>
                <w:insideH w:val="none"/>
                <w:insideV w:val="none"/>
              </w:tblBorders>
            </w:tblPr>
            <w:tblGrid>
              <w:gridCol w:w="246"/>
              <w:gridCol w:w="246"/>
              <w:gridCol w:w="550"/>
              <w:gridCol w:w="327"/>
              <w:gridCol w:w="189"/>
              <w:gridCol w:w="986"/>
            </w:tblGrid>
            <w:tr>
              <w:tc>
                <w:tcPr>
                  <w:tcW w:type="dxa" w:w="254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项目名称：消防改造工程及围墙维修</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类型</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消防电系统</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CRT系统部分内容点位显示重新修正标注</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设备上点位修正、补充录入</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CRT设备通信故障维修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设备至报警主机线路维修</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报警型高位水箱液位显示装置维修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壁挂式，就地显示</w:t>
                  </w:r>
                  <w:r>
                    <w:rPr>
                      <w:rFonts w:ascii="仿宋_GB2312" w:hAnsi="仿宋_GB2312" w:cs="仿宋_GB2312" w:eastAsia="仿宋_GB2312"/>
                      <w:sz w:val="21"/>
                      <w:color w:val="000000"/>
                    </w:rPr>
                    <w:t>+消控室显示双设备，拆旧装新施工，（不含布线、调试、措施费）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电源监控设备故障</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维修或按原有设备品牌采购更换，辅料、人工费（不含布线、调试、措施费）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防火门监控设备故障</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双门磁开关维修或按原有设备品牌采购更换，含设备（不含布线、调试、措施费）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防火门监控主机通讯故障维修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设备至报警主机线路维修</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火灾报警控制器显示的故障点位维修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估算点位，按原有设备品牌采购更换（不含布线、调试、措施费）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火灾报警控制器显示的设备反馈点位维修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估算点位，按原有设备品牌采购更换（不含布线、调试、措施费）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多线盘标识重新测试修正标识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标识打印</w:t>
                  </w:r>
                  <w:r>
                    <w:rPr>
                      <w:rFonts w:ascii="仿宋_GB2312" w:hAnsi="仿宋_GB2312" w:cs="仿宋_GB2312" w:eastAsia="仿宋_GB2312"/>
                      <w:sz w:val="21"/>
                      <w:color w:val="000000"/>
                    </w:rPr>
                    <w:t>+人工费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智能应急系统设备故障维修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维修或按原有设备品牌采购更换，辅料、人工费（不含布线、调试、措施费）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消火栓泵组、喷淋泵组、室外消火栓泵组多线控制维修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只维修排查消防多线控制部分，不含控制柜本身的维修</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室外消火栓泵房安装消防电话分机</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壁挂式电话分机设备（不含布线、调试、措施费）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消防广播维修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维修或按原有设备品牌采购更换，辅料、人工费（不含布线、调试、措施费）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电源强切维修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不含空开及配电箱内部控制单元</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车库补风风机测试维修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只维修不更换，辅料、人工费（不含布线、调试、措施费）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车库风机控制柜测试维修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维修或按原有设备品牌采购更换，辅料、人工费（不含布线、调试、措施费）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消防电系统</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泵房控制柜增加屋面流量开关接入电气元件</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电气元件，（不含布线、调试、措施费）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层显设备维修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维修或按原有设备品牌采购更换，辅料、人工费（不含布线、调试、措施费）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通风换气阀增设模块</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按原有品牌采购设备，辅料、人工费（不含措施费）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信号线、设备电源线线路维修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国标</w:t>
                  </w:r>
                  <w:r>
                    <w:rPr>
                      <w:rFonts w:ascii="仿宋_GB2312" w:hAnsi="仿宋_GB2312" w:cs="仿宋_GB2312" w:eastAsia="仿宋_GB2312"/>
                      <w:sz w:val="21"/>
                      <w:color w:val="000000"/>
                    </w:rPr>
                    <w:t>NH-RVS2x1.5绞线，估算用量（结算按此估算量包干结算），包括原有套管内线路更换数量，不包各类电缆线，不含措施费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JDG穿线管</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1.2厚20规格JDG管，估算用量（结算按此估算量包干结算），刷防火涂料，含辅料，不含措施费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消防水系统</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湿式报警阀延时器维修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旧设备维修人工费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湿式报警阀地面排水设施设置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不锈钢焊制、地面放置（需开挖费用另计），就近引致排水井沟，辅料、人工费（不含措施费）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泵房低压压力开关更换</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品牌带通讯远程控制数显压力开关，人工费（不含布线、调试、措施费）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室外系统排查维修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防火分区部分</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车库</w:t>
                  </w:r>
                  <w:r>
                    <w:rPr>
                      <w:rFonts w:ascii="仿宋_GB2312" w:hAnsi="仿宋_GB2312" w:cs="仿宋_GB2312" w:eastAsia="仿宋_GB2312"/>
                      <w:sz w:val="21"/>
                      <w:color w:val="000000"/>
                    </w:rPr>
                    <w:t>3区和餐厅处设置防火门</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甲级对开防火门，安装辅料、人工费（不含措施费）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其他</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全域消防系统排查</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根据建筑面积按项取费，包括设施设备故障、线路故障、系统程序故障等（不含措施费）</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消防联动程序重新编程</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各类型消防报警设备调试</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消防各系统联动测试</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排烟窗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过道改平开窗</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46"/>
                  <w:vMerge/>
                  <w:tcBorders>
                    <w:top w:val="none" w:color="000000" w:sz="4"/>
                    <w:left w:val="none" w:color="000000" w:sz="4"/>
                    <w:bottom w:val="single" w:color="000000" w:sz="4"/>
                    <w:right w:val="single" w:color="000000" w:sz="4"/>
                  </w:tcBorders>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连廊窗户手动开启装置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外墙修复</w:t>
                  </w:r>
                </w:p>
              </w:tc>
              <w:tc>
                <w:tcPr>
                  <w:tcW w:type="dxa" w:w="5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围墙裂缝维修、墙面脱皮处理</w:t>
                  </w:r>
                </w:p>
              </w:tc>
              <w:tc>
                <w:tcPr>
                  <w:tcW w:type="dxa" w:w="3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1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9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重度破损：铲除空鼓层</w:t>
                  </w:r>
                  <w:r>
                    <w:rPr>
                      <w:rFonts w:ascii="仿宋_GB2312" w:hAnsi="仿宋_GB2312" w:cs="仿宋_GB2312" w:eastAsia="仿宋_GB2312"/>
                      <w:sz w:val="21"/>
                      <w:color w:val="000000"/>
                    </w:rPr>
                    <w:t>+修补砂浆+网格布+腻子+底漆+面漆</w:t>
                  </w:r>
                  <w:r>
                    <w:br/>
                  </w:r>
                  <w:r>
                    <w:rPr>
                      <w:rFonts w:ascii="仿宋_GB2312" w:hAnsi="仿宋_GB2312" w:cs="仿宋_GB2312" w:eastAsia="仿宋_GB2312"/>
                      <w:sz w:val="21"/>
                      <w:color w:val="000000"/>
                    </w:rPr>
                    <w:t>中度裂缝：裂缝开槽修补</w:t>
                  </w:r>
                  <w:r>
                    <w:rPr>
                      <w:rFonts w:ascii="仿宋_GB2312" w:hAnsi="仿宋_GB2312" w:cs="仿宋_GB2312" w:eastAsia="仿宋_GB2312"/>
                      <w:sz w:val="21"/>
                      <w:color w:val="000000"/>
                    </w:rPr>
                    <w:t>+局部找平+抗裂处理+封闭底漆+面漆</w:t>
                  </w:r>
                  <w:r>
                    <w:br/>
                  </w:r>
                  <w:r>
                    <w:rPr>
                      <w:rFonts w:ascii="仿宋_GB2312" w:hAnsi="仿宋_GB2312" w:cs="仿宋_GB2312" w:eastAsia="仿宋_GB2312"/>
                      <w:sz w:val="21"/>
                      <w:color w:val="000000"/>
                    </w:rPr>
                    <w:t>轻度裂纹起皮：细微裂纹处理</w:t>
                  </w:r>
                  <w:r>
                    <w:rPr>
                      <w:rFonts w:ascii="仿宋_GB2312" w:hAnsi="仿宋_GB2312" w:cs="仿宋_GB2312" w:eastAsia="仿宋_GB2312"/>
                      <w:sz w:val="21"/>
                      <w:color w:val="000000"/>
                    </w:rPr>
                    <w:t>+打磨+封闭底漆+面漆</w:t>
                  </w:r>
                </w:p>
              </w:tc>
            </w:tr>
            <w:tr>
              <w:tc>
                <w:tcPr>
                  <w:tcW w:type="dxa" w:w="246"/>
                  <w:vMerge/>
                  <w:tcBorders>
                    <w:top w:val="none" w:color="000000" w:sz="4"/>
                    <w:left w:val="singl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550"/>
                  <w:vMerge/>
                  <w:tcBorders>
                    <w:top w:val="none" w:color="000000" w:sz="4"/>
                    <w:left w:val="non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189"/>
                  <w:vMerge/>
                  <w:tcBorders>
                    <w:top w:val="none" w:color="000000" w:sz="4"/>
                    <w:left w:val="none" w:color="000000" w:sz="4"/>
                    <w:bottom w:val="single" w:color="000000" w:sz="4"/>
                    <w:right w:val="single" w:color="000000" w:sz="4"/>
                  </w:tcBorders>
                </w:tcPr>
                <w:p/>
              </w:tc>
              <w:tc>
                <w:tcPr>
                  <w:tcW w:type="dxa" w:w="986"/>
                  <w:vMerge/>
                  <w:tcBorders>
                    <w:top w:val="none" w:color="000000" w:sz="4"/>
                    <w:left w:val="none" w:color="000000" w:sz="4"/>
                    <w:bottom w:val="single" w:color="000000" w:sz="4"/>
                    <w:right w:val="single" w:color="000000" w:sz="4"/>
                  </w:tcBorders>
                </w:tcPr>
                <w:p/>
              </w:tc>
            </w:tr>
            <w:tr>
              <w:tc>
                <w:tcPr>
                  <w:tcW w:type="dxa" w:w="246"/>
                  <w:vMerge/>
                  <w:tcBorders>
                    <w:top w:val="none" w:color="000000" w:sz="4"/>
                    <w:left w:val="singl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550"/>
                  <w:vMerge/>
                  <w:tcBorders>
                    <w:top w:val="none" w:color="000000" w:sz="4"/>
                    <w:left w:val="none" w:color="000000" w:sz="4"/>
                    <w:bottom w:val="single" w:color="000000" w:sz="4"/>
                    <w:right w:val="single" w:color="000000" w:sz="4"/>
                  </w:tcBorders>
                </w:tcPr>
                <w:p/>
              </w:tc>
              <w:tc>
                <w:tcPr>
                  <w:tcW w:type="dxa" w:w="327"/>
                  <w:vMerge/>
                  <w:tcBorders>
                    <w:top w:val="none" w:color="000000" w:sz="4"/>
                    <w:left w:val="none" w:color="000000" w:sz="4"/>
                    <w:bottom w:val="single" w:color="000000" w:sz="4"/>
                    <w:right w:val="single" w:color="000000" w:sz="4"/>
                  </w:tcBorders>
                </w:tcPr>
                <w:p/>
              </w:tc>
              <w:tc>
                <w:tcPr>
                  <w:tcW w:type="dxa" w:w="189"/>
                  <w:vMerge/>
                  <w:tcBorders>
                    <w:top w:val="none" w:color="000000" w:sz="4"/>
                    <w:left w:val="none" w:color="000000" w:sz="4"/>
                    <w:bottom w:val="single" w:color="000000" w:sz="4"/>
                    <w:right w:val="single" w:color="000000" w:sz="4"/>
                  </w:tcBorders>
                </w:tcPr>
                <w:p/>
              </w:tc>
              <w:tc>
                <w:tcPr>
                  <w:tcW w:type="dxa" w:w="986"/>
                  <w:vMerge/>
                  <w:tcBorders>
                    <w:top w:val="none" w:color="000000" w:sz="4"/>
                    <w:left w:val="none" w:color="000000" w:sz="4"/>
                    <w:bottom w:val="single" w:color="000000" w:sz="4"/>
                    <w:right w:val="single" w:color="000000" w:sz="4"/>
                  </w:tcBorders>
                </w:tcPr>
                <w:p/>
              </w:tc>
            </w:tr>
          </w:tbl>
          <w:p>
            <w:pPr>
              <w:pStyle w:val="null3"/>
            </w:pPr>
            <w:r>
              <w:rPr>
                <w:rFonts w:ascii="仿宋_GB2312" w:hAnsi="仿宋_GB2312" w:cs="仿宋_GB2312" w:eastAsia="仿宋_GB2312"/>
                <w:sz w:val="21"/>
                <w:b/>
              </w:rPr>
              <w:t>四、</w:t>
            </w:r>
            <w:r>
              <w:rPr>
                <w:rFonts w:ascii="仿宋_GB2312" w:hAnsi="仿宋_GB2312" w:cs="仿宋_GB2312" w:eastAsia="仿宋_GB2312"/>
                <w:sz w:val="21"/>
                <w:b/>
              </w:rPr>
              <w:t>编制范围</w:t>
            </w:r>
          </w:p>
          <w:p>
            <w:pPr>
              <w:pStyle w:val="null3"/>
              <w:ind w:firstLine="420"/>
            </w:pPr>
            <w:r>
              <w:rPr>
                <w:rFonts w:ascii="仿宋_GB2312" w:hAnsi="仿宋_GB2312" w:cs="仿宋_GB2312" w:eastAsia="仿宋_GB2312"/>
                <w:sz w:val="21"/>
              </w:rPr>
              <w:t>工程量清单范围内所有内容。</w:t>
            </w:r>
          </w:p>
          <w:p>
            <w:pPr>
              <w:pStyle w:val="null3"/>
            </w:pPr>
            <w:r>
              <w:rPr>
                <w:rFonts w:ascii="仿宋_GB2312" w:hAnsi="仿宋_GB2312" w:cs="仿宋_GB2312" w:eastAsia="仿宋_GB2312"/>
                <w:sz w:val="21"/>
                <w:b/>
              </w:rPr>
              <w:t>五</w:t>
            </w:r>
            <w:r>
              <w:rPr>
                <w:rFonts w:ascii="仿宋_GB2312" w:hAnsi="仿宋_GB2312" w:cs="仿宋_GB2312" w:eastAsia="仿宋_GB2312"/>
                <w:sz w:val="21"/>
                <w:b/>
              </w:rPr>
              <w:t>、商务要求</w:t>
            </w:r>
          </w:p>
          <w:p>
            <w:pPr>
              <w:pStyle w:val="null3"/>
            </w:pPr>
            <w:r>
              <w:rPr>
                <w:rFonts w:ascii="仿宋_GB2312" w:hAnsi="仿宋_GB2312" w:cs="仿宋_GB2312" w:eastAsia="仿宋_GB2312"/>
              </w:rPr>
              <w:t>1、</w:t>
            </w:r>
            <w:r>
              <w:rPr>
                <w:rFonts w:ascii="仿宋_GB2312" w:hAnsi="仿宋_GB2312" w:cs="仿宋_GB2312" w:eastAsia="仿宋_GB2312"/>
              </w:rPr>
              <w:t>计划</w:t>
            </w:r>
            <w:r>
              <w:rPr>
                <w:rFonts w:ascii="仿宋_GB2312" w:hAnsi="仿宋_GB2312" w:cs="仿宋_GB2312" w:eastAsia="仿宋_GB2312"/>
              </w:rPr>
              <w:t>工期：合同签订后</w:t>
            </w:r>
            <w:r>
              <w:rPr>
                <w:rFonts w:ascii="仿宋_GB2312" w:hAnsi="仿宋_GB2312" w:cs="仿宋_GB2312" w:eastAsia="仿宋_GB2312"/>
              </w:rPr>
              <w:t>45天</w:t>
            </w:r>
          </w:p>
          <w:p>
            <w:pPr>
              <w:pStyle w:val="null3"/>
            </w:pPr>
            <w:r>
              <w:rPr>
                <w:rFonts w:ascii="仿宋_GB2312" w:hAnsi="仿宋_GB2312" w:cs="仿宋_GB2312" w:eastAsia="仿宋_GB2312"/>
                <w:sz w:val="21"/>
              </w:rPr>
              <w:t>2、</w:t>
            </w:r>
            <w:r>
              <w:rPr>
                <w:rFonts w:ascii="仿宋_GB2312" w:hAnsi="仿宋_GB2312" w:cs="仿宋_GB2312" w:eastAsia="仿宋_GB2312"/>
                <w:sz w:val="21"/>
              </w:rPr>
              <w:t>质量要求：达到国家现行行业验收规范</w:t>
            </w:r>
            <w:r>
              <w:rPr>
                <w:rFonts w:ascii="仿宋_GB2312" w:hAnsi="仿宋_GB2312" w:cs="仿宋_GB2312" w:eastAsia="仿宋_GB2312"/>
                <w:sz w:val="21"/>
              </w:rPr>
              <w:t>“合格 ”标准</w:t>
            </w:r>
            <w:r>
              <w:rPr>
                <w:rFonts w:ascii="仿宋_GB2312" w:hAnsi="仿宋_GB2312" w:cs="仿宋_GB2312" w:eastAsia="仿宋_GB2312"/>
                <w:sz w:val="21"/>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质量合格，并符合现行的国家标准和国家行政部门颁布的法律法规、规章制度等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成交供应商必须注意校内人员安全，加强安全措施，并对施工人员进行安全教育。施工人员必须持证上岗。因施工人工作的特殊性，要求成交供应商在施工中做到封闭性施工。不得影响师生正常上课。</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供应商基本资格条件承诺函。以上四种形式的资料提供任何一种即可。 （三）具有履行合同所必需的设备和专业技术能力。提供诚信承诺。 （四）具有依法缴纳税收的良好记录。提供缴费所属日期为投标截止时间前12个月内任一月份（磋商截止时间当月不计入）的缴费凭据或税务机关出具的完税证明或（在法规范围内不需提供的应出具书面说明和证明文件）；/或供应商基本资格条件承诺函。以上形式的资料提供任何一种即可。 （五）具有依法缴纳社会保障资金的良好记录。提供缴费所属日期为磋商时间前12个月内任一月份（磋商截止时间当月不计入）的缴费凭据或社保机关出具的缴费证明/在法规范围内不需提供的应出具书面说明和证明文件；/或供应商基本资格条件承诺函。以上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或建筑装修装饰工程专业承包二级(含)以上资质，同时具备消防设施工程专业承包贰级（含）及以上资质，及合法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拟派项目经理须具备合法有效的机电工程专业二级及以上(含)注册建造师执业资格证书，同时具备有效的安全生产考核合格证书(安全B证)，在本单位注册且无在建工程。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法定代表人授权书及被授权人本单位证明</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供应商应授权合法的人员参加磋商，其中法定代表人直接参加的须出具法定代表人身份证并与营业执照上信息一致，法定代表人授权代表参加的须出具法定代表人授权书及被授权人本单位证明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响应文件是否按照磋商文件要求的格式编写。响应文件的签署、加盖印章是否有效。投标报价是否未超过最高限价；响应有效期是否符合磋商文件的要求；是否满足磋商文件的实质性要求。</w:t>
            </w:r>
          </w:p>
        </w:tc>
        <w:tc>
          <w:tcPr>
            <w:tcW w:type="dxa" w:w="1661"/>
          </w:tcPr>
          <w:p>
            <w:pPr>
              <w:pStyle w:val="null3"/>
            </w:pPr>
            <w:r>
              <w:rPr>
                <w:rFonts w:ascii="仿宋_GB2312" w:hAnsi="仿宋_GB2312" w:cs="仿宋_GB2312" w:eastAsia="仿宋_GB2312"/>
              </w:rPr>
              <w:t>响应文件封面 响应方案说明书.docx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供应商提供针对本项目施工技术方案及措施。方案包含以下内容：①施工方法②技术措施③施工总体组织④施工方案。 注：各项内容全面详细、阐述条理清晰详尽、符合本项目采购需求，能有效保障本项目实施的得12分；每有一个模块缺项扣3分；每个模块中内容存在缺陷的，扣0.1-1.5分，扣完为止。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文明施工的技术组织措施</w:t>
            </w:r>
          </w:p>
        </w:tc>
        <w:tc>
          <w:tcPr>
            <w:tcW w:type="dxa" w:w="2492"/>
          </w:tcPr>
          <w:p>
            <w:pPr>
              <w:pStyle w:val="null3"/>
            </w:pPr>
            <w:r>
              <w:rPr>
                <w:rFonts w:ascii="仿宋_GB2312" w:hAnsi="仿宋_GB2312" w:cs="仿宋_GB2312" w:eastAsia="仿宋_GB2312"/>
              </w:rPr>
              <w:t>供应商针对本项目提供安全、文明施工措施。包含以下内容：①安全、文明施工管理制度；②安全、文明组织机构③环境保护文明施工措施。 注：各项内容全面详细、阐述条理清晰详尽、符合本项目采购需求，能有效保障本项目实施的得9分；每有一个模块缺项扣3分；每个模块中内容存在缺陷的，扣0.1-1.5分，扣完为止。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供应商针对本项目提供工程质量保障措施。 方案包含以下内容：①质量保障体系②质量岗位职责③对材料的质量控制制度④工程质量监督管理措施⑤报告交付管理措施⑥应急保障措施。 注：各项内容全面详细、阐述条理清晰详尽、符合本项目采购需求，能有效保障本项目实施的得12分；每有一个模块缺项扣2分；每个模块中内容存在缺陷的，扣0.1-1.5分，扣完为止。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工程进度的保障措施</w:t>
            </w:r>
          </w:p>
        </w:tc>
        <w:tc>
          <w:tcPr>
            <w:tcW w:type="dxa" w:w="2492"/>
          </w:tcPr>
          <w:p>
            <w:pPr>
              <w:pStyle w:val="null3"/>
            </w:pPr>
            <w:r>
              <w:rPr>
                <w:rFonts w:ascii="仿宋_GB2312" w:hAnsi="仿宋_GB2312" w:cs="仿宋_GB2312" w:eastAsia="仿宋_GB2312"/>
              </w:rPr>
              <w:t>供应商针对本项目提供工程进度的保障措施。包含以下内容：①工程进度保障措施方案，②劳动力安排计划，③施工进度网络图或施工进度表④施工进度计划检查方案。 注：各项内容全面详细、阐述条理清晰详尽、符合本项目采购需求，能有效保障本项目实施的得8分；每有一个模块缺项扣2分；每个模块中内容存在缺陷的，扣0.1-1.5分，扣完为止。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施工机械设备配备投入计划</w:t>
            </w:r>
          </w:p>
        </w:tc>
        <w:tc>
          <w:tcPr>
            <w:tcW w:type="dxa" w:w="2492"/>
          </w:tcPr>
          <w:p>
            <w:pPr>
              <w:pStyle w:val="null3"/>
            </w:pPr>
            <w:r>
              <w:rPr>
                <w:rFonts w:ascii="仿宋_GB2312" w:hAnsi="仿宋_GB2312" w:cs="仿宋_GB2312" w:eastAsia="仿宋_GB2312"/>
              </w:rPr>
              <w:t>供应商针对本项目提供施工机械配置和材料投入计划。包含以下内容：①材料投入计划②机械设备配备计划③施工材料及机械设备管理方案。 注：各项内容全面详细、阐述条理清晰详尽、符合本项目采购需求，能有效保障本项目实施的得9分；每有一个模块缺项扣3分；每个模块中内容存在缺陷的，扣0.1-1.5分，扣完为止。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供应商针对本项目提供项目组织机构及人员配置清单（至少包含施工员、质量员、安全员、材料员，资料员）。 1、人员安排合理，人员数量能保证项目顺利实施，能详细列明人员清单并付完整人员证明材料，对各岗位安排及职责划分明确，管理制度健全计10分； 2、有人员清单，但证明材料不完善，有各岗位安排及职责划分的计8分； 3、有人员清单及岗位安排计6分； 4、人员配置有缺失计4分； 5、其他不满足情形的不计分。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供应商提供2023年1月起至今（以合同签订时间为准）类似业绩证明（以合同复印件为准），每一项得2分，最高得10分。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