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版本号：SXZCZB2026-ZCCS-062220260616001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港务校区消防设施维修保养</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SXZCZB2026-ZCCS-0622</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港务校区消防设施维修保养</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SXZCZB2026-ZCCS-0622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港务校区消防设施维修保养</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港务校区消防设施维修保养</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采购包1（港务校区消防设施维修保养）：属于专门面向中小企业采购。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2、法定代表人委托书：提供法定代表人授权书（附法定代表人、被授权人身份证复印件）（法定代表人直接参加投标，须提供法定代表人身份证明及身份证复印件）；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审计报告或资信证明：提供递交磋商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4、税收缴纳证明：提供磋商响应文件截止日前近一年内任意一个月的纳税证明或完税证明（任意税种），依法免税的单位应提供相关证明材料；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5、社会保障资金缴纳证明：提供磋商响应文件截止日前近一年内任意一个月的社会保障资金缴存单据或社保机构开具的社会保险参保缴费情况证明，依法不需要缴纳社会保障资金的单位应提供相关证明材料；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7、无重大违法声明：参加政府采购活动前3年内，在经营活动中没有重大违法记录的书面声明；</w:t>
      </w:r>
    </w:p>
    <w:p>
      <w:pPr>
        <w:pStyle w:val="null3"/>
      </w:pPr>
      <w:r>
        <w:rPr>
          <w:rFonts w:ascii="仿宋_GB2312" w:hAnsi="仿宋_GB2312" w:cs="仿宋_GB2312" w:eastAsia="仿宋_GB2312"/>
        </w:rPr>
        <w:t>8、专业技术能力承诺：提供具有履行合同所必需的设备和专业技术能力的承诺函；</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10、本合同包为专门面向中小企业采购：提供中小企业声明函或监狱企业的证明文件或残疾人福利性单位声明函；</w:t>
      </w:r>
    </w:p>
    <w:p>
      <w:pPr>
        <w:pStyle w:val="null3"/>
      </w:pPr>
      <w:r>
        <w:rPr>
          <w:rFonts w:ascii="仿宋_GB2312" w:hAnsi="仿宋_GB2312" w:cs="仿宋_GB2312" w:eastAsia="仿宋_GB2312"/>
        </w:rPr>
        <w:t>11、资格证书：供应商须在社会消防技术服务信息系统（https://shhxf.119.gov.cn/templet/index_7.jsp）中可查询，且服务类型须包含“消防设施维护保养检测”；提供查询截图；</w:t>
      </w:r>
    </w:p>
    <w:p>
      <w:pPr>
        <w:pStyle w:val="null3"/>
      </w:pPr>
      <w:r>
        <w:rPr>
          <w:rFonts w:ascii="仿宋_GB2312" w:hAnsi="仿宋_GB2312" w:cs="仿宋_GB2312" w:eastAsia="仿宋_GB2312"/>
        </w:rPr>
        <w:t>12、技术负责人：供应商拟派技术负责人须具备一级注册消防工程师资格，且在本单位注册；</w:t>
      </w:r>
    </w:p>
    <w:p>
      <w:pPr>
        <w:pStyle w:val="null3"/>
      </w:pPr>
      <w:r>
        <w:rPr>
          <w:rFonts w:ascii="仿宋_GB2312" w:hAnsi="仿宋_GB2312" w:cs="仿宋_GB2312" w:eastAsia="仿宋_GB2312"/>
        </w:rPr>
        <w:t>13、非联合体磋商：本项目不接受联合体磋商（需提供承诺书）。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张双伟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029-88092210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国家计委关于印发《代理服务收费管理暂行办法的通知》（计价格[2002]1980号）、《国家发展和改革委员会办公厅关于招标代理服务收费有关问题的通知》（发改办价格〔2003〕857号）以及《国家发展和改革委员会关于降低部分建设项目收费标准规范收费行为等有关问题的通知》(发改价格〔2011〕534号)规定的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联系人：康乐、孙洋、常瑛</w:t>
      </w:r>
    </w:p>
    <w:p>
      <w:pPr>
        <w:pStyle w:val="null3"/>
      </w:pPr>
      <w:r>
        <w:rPr>
          <w:rFonts w:ascii="仿宋_GB2312" w:hAnsi="仿宋_GB2312" w:cs="仿宋_GB2312" w:eastAsia="仿宋_GB2312"/>
        </w:rPr>
        <w:t>联系电话：15691660815</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港务校区消防设施维修保养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港务校区消防设施维修保养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标的名称：港务校区消防设施维修保养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一、项目概况</w:t>
            </w:r>
          </w:p>
          <w:p>
            <w:pPr>
              <w:pStyle w:val="null3"/>
              <w:ind w:firstLine="420"/>
              <w:jc w:val="both"/>
            </w:pPr>
            <w:r>
              <w:rPr>
                <w:rFonts w:ascii="仿宋_GB2312" w:hAnsi="仿宋_GB2312" w:cs="仿宋_GB2312" w:eastAsia="仿宋_GB2312"/>
                <w:sz w:val="21"/>
              </w:rPr>
              <w:t>西安铁路职业技术学院港务校区消防设施维保招标项目，该项目位于西安国际港务区港务大道</w:t>
            </w:r>
            <w:r>
              <w:rPr>
                <w:rFonts w:ascii="仿宋_GB2312" w:hAnsi="仿宋_GB2312" w:cs="仿宋_GB2312" w:eastAsia="仿宋_GB2312"/>
                <w:sz w:val="21"/>
              </w:rPr>
              <w:t>396</w:t>
            </w:r>
            <w:r>
              <w:rPr>
                <w:rFonts w:ascii="仿宋_GB2312" w:hAnsi="仿宋_GB2312" w:cs="仿宋_GB2312" w:eastAsia="仿宋_GB2312"/>
                <w:sz w:val="21"/>
              </w:rPr>
              <w:t>号，总建筑面积约</w:t>
            </w:r>
            <w:r>
              <w:rPr>
                <w:rFonts w:ascii="仿宋_GB2312" w:hAnsi="仿宋_GB2312" w:cs="仿宋_GB2312" w:eastAsia="仿宋_GB2312"/>
                <w:sz w:val="21"/>
              </w:rPr>
              <w:t>167866</w:t>
            </w:r>
            <w:r>
              <w:rPr>
                <w:rFonts w:ascii="仿宋_GB2312" w:hAnsi="仿宋_GB2312" w:cs="仿宋_GB2312" w:eastAsia="仿宋_GB2312"/>
                <w:sz w:val="21"/>
              </w:rPr>
              <w:t>平方米。校区教学、生活区域的建筑场所内均设有消防系统。建筑明细：</w:t>
            </w:r>
          </w:p>
          <w:tbl>
            <w:tblPr>
              <w:tblInd w:type="dxa" w:w="120"/>
              <w:tblBorders>
                <w:top w:val="none" w:color="000000" w:sz="4"/>
                <w:left w:val="none" w:color="000000" w:sz="4"/>
                <w:bottom w:val="none" w:color="000000" w:sz="4"/>
                <w:right w:val="none" w:color="000000" w:sz="4"/>
                <w:insideH w:val="none"/>
                <w:insideV w:val="none"/>
              </w:tblBorders>
            </w:tblPr>
            <w:tblGrid>
              <w:gridCol w:w="216"/>
              <w:gridCol w:w="724"/>
              <w:gridCol w:w="342"/>
              <w:gridCol w:w="349"/>
              <w:gridCol w:w="342"/>
              <w:gridCol w:w="345"/>
              <w:gridCol w:w="234"/>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建筑名称</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建筑面积</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建筑高度</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地下层数</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地上层数</w:t>
                  </w:r>
                </w:p>
              </w:tc>
              <w:tc>
                <w:tcPr>
                  <w:tcW w:type="dxa" w:w="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牵引动力学院（</w:t>
                  </w:r>
                  <w:r>
                    <w:rPr>
                      <w:rFonts w:ascii="仿宋_GB2312" w:hAnsi="仿宋_GB2312" w:cs="仿宋_GB2312" w:eastAsia="仿宋_GB2312"/>
                      <w:sz w:val="24"/>
                    </w:rPr>
                    <w:t>A01）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17870.33</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37.8</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办公楼（</w:t>
                  </w:r>
                  <w:r>
                    <w:rPr>
                      <w:rFonts w:ascii="仿宋_GB2312" w:hAnsi="仿宋_GB2312" w:cs="仿宋_GB2312" w:eastAsia="仿宋_GB2312"/>
                      <w:sz w:val="24"/>
                    </w:rPr>
                    <w:t>A02）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16031.34</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37.8</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电气工程学院（</w:t>
                  </w:r>
                  <w:r>
                    <w:rPr>
                      <w:rFonts w:ascii="仿宋_GB2312" w:hAnsi="仿宋_GB2312" w:cs="仿宋_GB2312" w:eastAsia="仿宋_GB2312"/>
                      <w:sz w:val="24"/>
                    </w:rPr>
                    <w:t>A03）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15531.84</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37.8</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地下车库</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7989.84</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机电工程学院（</w:t>
                  </w:r>
                  <w:r>
                    <w:rPr>
                      <w:rFonts w:ascii="仿宋_GB2312" w:hAnsi="仿宋_GB2312" w:cs="仿宋_GB2312" w:eastAsia="仿宋_GB2312"/>
                      <w:sz w:val="24"/>
                    </w:rPr>
                    <w:t>A06）</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13373.59</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37.8</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CO1学生宿舍A</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14994.96</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CO2学生宿舍B</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12419.64</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CO3学生宿舍C</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6981.00</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CO4学生宿舍D</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6981.00</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C05学生宿舍E</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10616</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C06学生宿舍F</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5495</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2</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洗衣房及值班室</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540.20</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3</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CO2食堂A</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7565.50</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12.45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4</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洗浴及开水房</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3063.72</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13.35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5</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后勤服务中心</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2147.16</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12.15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6</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锅炉房</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782.32</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7.35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7</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变配电室</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307</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8</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综合实训中心</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3854</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13.35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9</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综合公寓</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1970</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物流产教融合实训基地</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19351.59</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56.4</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4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总建筑面积</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167866</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服务内容（包括工作区域、工作内容等）</w:t>
            </w:r>
          </w:p>
          <w:p>
            <w:pPr>
              <w:pStyle w:val="null3"/>
              <w:ind w:firstLine="420"/>
              <w:jc w:val="both"/>
            </w:pPr>
            <w:r>
              <w:rPr>
                <w:rFonts w:ascii="仿宋_GB2312" w:hAnsi="仿宋_GB2312" w:cs="仿宋_GB2312" w:eastAsia="仿宋_GB2312"/>
                <w:sz w:val="21"/>
              </w:rPr>
              <w:t>对整个港务校区以下消防系统设施的维护保养</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火灾自动报警系统的维护保养</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室内外消火栓系统（含灭火器）的维护保养</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自动喷水灭火系统的维护保养</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防火卷帘的维护保养</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通讯系统的维护保养</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消防广播的维护保养</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消防联动系统（含防排烟系统）的维护保养</w:t>
            </w:r>
          </w:p>
          <w:p>
            <w:pPr>
              <w:pStyle w:val="null3"/>
              <w:ind w:firstLine="420"/>
              <w:jc w:val="both"/>
            </w:pPr>
            <w:r>
              <w:rPr>
                <w:rFonts w:ascii="仿宋_GB2312" w:hAnsi="仿宋_GB2312" w:cs="仿宋_GB2312" w:eastAsia="仿宋_GB2312"/>
                <w:sz w:val="21"/>
              </w:rPr>
              <w:t>8.</w:t>
            </w:r>
            <w:r>
              <w:rPr>
                <w:rFonts w:ascii="仿宋_GB2312" w:hAnsi="仿宋_GB2312" w:cs="仿宋_GB2312" w:eastAsia="仿宋_GB2312"/>
                <w:sz w:val="21"/>
              </w:rPr>
              <w:t>应急照明及安全疏散系统的维护保养</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气体灭火系统的维护保养</w:t>
            </w:r>
          </w:p>
          <w:p>
            <w:pPr>
              <w:pStyle w:val="null3"/>
              <w:ind w:firstLine="420"/>
              <w:jc w:val="both"/>
            </w:pPr>
            <w:r>
              <w:rPr>
                <w:rFonts w:ascii="仿宋_GB2312" w:hAnsi="仿宋_GB2312" w:cs="仿宋_GB2312" w:eastAsia="仿宋_GB2312"/>
                <w:sz w:val="21"/>
              </w:rPr>
              <w:t>10.</w:t>
            </w:r>
            <w:r>
              <w:rPr>
                <w:rFonts w:ascii="仿宋_GB2312" w:hAnsi="仿宋_GB2312" w:cs="仿宋_GB2312" w:eastAsia="仿宋_GB2312"/>
                <w:sz w:val="21"/>
              </w:rPr>
              <w:t>港务校区消防设施设备维修清单</w:t>
            </w:r>
          </w:p>
          <w:tbl>
            <w:tblPr>
              <w:tblInd w:type="dxa" w:w="120"/>
              <w:tblBorders>
                <w:top w:val="none" w:color="000000" w:sz="4"/>
                <w:left w:val="none" w:color="000000" w:sz="4"/>
                <w:bottom w:val="none" w:color="000000" w:sz="4"/>
                <w:right w:val="none" w:color="000000" w:sz="4"/>
                <w:insideH w:val="none"/>
                <w:insideV w:val="none"/>
              </w:tblBorders>
            </w:tblPr>
            <w:tblGrid>
              <w:gridCol w:w="219"/>
              <w:gridCol w:w="994"/>
              <w:gridCol w:w="773"/>
              <w:gridCol w:w="330"/>
              <w:gridCol w:w="237"/>
            </w:tblGrid>
            <w:tr>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9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 型号</w:t>
                  </w:r>
                </w:p>
              </w:tc>
              <w:tc>
                <w:tcPr>
                  <w:tcW w:type="dxa" w:w="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消防水带</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SN65</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闭门器</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DN20</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防火卷帘控制器</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华麟</w:t>
                  </w:r>
                  <w:r>
                    <w:rPr>
                      <w:rFonts w:ascii="仿宋_GB2312" w:hAnsi="仿宋_GB2312" w:cs="仿宋_GB2312" w:eastAsia="仿宋_GB2312"/>
                      <w:sz w:val="24"/>
                      <w:color w:val="000000"/>
                    </w:rPr>
                    <w:t>FJK-SD-HL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消火栓箱门</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安全出口标识</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敏华</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应急照明灯</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疏散指示标识</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区域机备用电池</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海湾</w:t>
                  </w:r>
                  <w:r>
                    <w:rPr>
                      <w:rFonts w:ascii="仿宋_GB2312" w:hAnsi="仿宋_GB2312" w:cs="仿宋_GB2312" w:eastAsia="仿宋_GB2312"/>
                      <w:sz w:val="24"/>
                      <w:color w:val="000000"/>
                    </w:rPr>
                    <w:t>1500</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消防软管卷盘</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JPS0. 8-19/ 30</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营口天成消防广播功放</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NAJ -2110</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气体灭火控制器</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GST-QKP01H</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排烟防火阀</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风机表面除锈</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风机控制柜</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手动火灾报警按钮</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适配海湾</w:t>
                  </w:r>
                  <w:r>
                    <w:rPr>
                      <w:rFonts w:ascii="仿宋_GB2312" w:hAnsi="仿宋_GB2312" w:cs="仿宋_GB2312" w:eastAsia="仿宋_GB2312"/>
                      <w:sz w:val="24"/>
                      <w:color w:val="000000"/>
                    </w:rPr>
                    <w:t>5000主机</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输入输出模块</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8301A</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24V继电器</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8爪24V直流型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消防阻燃双绞线</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 5mm</w:t>
                  </w:r>
                  <w:r>
                    <w:rPr>
                      <w:rFonts w:ascii="仿宋_GB2312" w:hAnsi="仿宋_GB2312" w:cs="仿宋_GB2312" w:eastAsia="仿宋_GB2312"/>
                      <w:sz w:val="24"/>
                      <w:color w:val="000000"/>
                    </w:rPr>
                    <w:t>²</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消火栓按钮</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适配海湾</w:t>
                  </w:r>
                  <w:r>
                    <w:rPr>
                      <w:rFonts w:ascii="仿宋_GB2312" w:hAnsi="仿宋_GB2312" w:cs="仿宋_GB2312" w:eastAsia="仿宋_GB2312"/>
                      <w:sz w:val="24"/>
                      <w:color w:val="000000"/>
                    </w:rPr>
                    <w:t>5000主机</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声光报警器</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温感和烟感</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营口天成</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顺序器</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室外裸露消火栓和水泵接合器保温措施</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明杆闸阀</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DN200</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消防电话故障</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部</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区域机故障</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电气火灾监控主机故障</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防火门监控主机故障</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屋面消防风机故障（不能启动）</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消防卷帘门故障（</w:t>
                  </w:r>
                  <w:r>
                    <w:rPr>
                      <w:rFonts w:ascii="仿宋_GB2312" w:hAnsi="仿宋_GB2312" w:cs="仿宋_GB2312" w:eastAsia="仿宋_GB2312"/>
                      <w:sz w:val="24"/>
                    </w:rPr>
                    <w:t>4处）</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气体灭火系统主机故障（不能测试）</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bl>
          <w:p>
            <w:pPr>
              <w:pStyle w:val="null3"/>
              <w:ind w:firstLine="420"/>
              <w:jc w:val="both"/>
            </w:pPr>
            <w:r>
              <w:rPr>
                <w:rFonts w:ascii="仿宋_GB2312" w:hAnsi="仿宋_GB2312" w:cs="仿宋_GB2312" w:eastAsia="仿宋_GB2312"/>
                <w:sz w:val="21"/>
              </w:rPr>
              <w:t>三、</w:t>
            </w:r>
            <w:r>
              <w:rPr>
                <w:rFonts w:ascii="仿宋_GB2312" w:hAnsi="仿宋_GB2312" w:cs="仿宋_GB2312" w:eastAsia="仿宋_GB2312"/>
                <w:sz w:val="21"/>
              </w:rPr>
              <w:t>技术要求</w:t>
            </w:r>
          </w:p>
          <w:p>
            <w:pPr>
              <w:pStyle w:val="null3"/>
              <w:ind w:firstLine="420"/>
              <w:jc w:val="both"/>
            </w:pPr>
            <w:r>
              <w:rPr>
                <w:rFonts w:ascii="仿宋_GB2312" w:hAnsi="仿宋_GB2312" w:cs="仿宋_GB2312" w:eastAsia="仿宋_GB2312"/>
                <w:sz w:val="21"/>
              </w:rPr>
              <w:t>服务商应具有专业的消防检测和维护保养能力</w:t>
            </w:r>
          </w:p>
          <w:p>
            <w:pPr>
              <w:pStyle w:val="null3"/>
              <w:ind w:firstLine="420"/>
              <w:jc w:val="both"/>
            </w:pPr>
            <w:r>
              <w:rPr>
                <w:rFonts w:ascii="仿宋_GB2312" w:hAnsi="仿宋_GB2312" w:cs="仿宋_GB2312" w:eastAsia="仿宋_GB2312"/>
                <w:sz w:val="21"/>
              </w:rPr>
              <w:t>四、服务要求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人员要求：保证其派往甲方的维护保养人员，具备国家承认（有效上岗操作证）的技术资格。</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乙方须派一名维保工程师常驻项目现场。</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维护保养技术依据《建筑消防设施检测技术规程》</w:t>
            </w:r>
            <w:r>
              <w:rPr>
                <w:rFonts w:ascii="仿宋_GB2312" w:hAnsi="仿宋_GB2312" w:cs="仿宋_GB2312" w:eastAsia="仿宋_GB2312"/>
                <w:sz w:val="21"/>
              </w:rPr>
              <w:t>GA503-2004</w:t>
            </w:r>
            <w:r>
              <w:rPr>
                <w:rFonts w:ascii="仿宋_GB2312" w:hAnsi="仿宋_GB2312" w:cs="仿宋_GB2312" w:eastAsia="仿宋_GB2312"/>
                <w:sz w:val="21"/>
              </w:rPr>
              <w:t>、《火灾自动报警系统施工及验收规范》</w:t>
            </w:r>
            <w:r>
              <w:rPr>
                <w:rFonts w:ascii="仿宋_GB2312" w:hAnsi="仿宋_GB2312" w:cs="仿宋_GB2312" w:eastAsia="仿宋_GB2312"/>
                <w:sz w:val="21"/>
              </w:rPr>
              <w:t xml:space="preserve">GB50166-2019 </w:t>
            </w:r>
            <w:r>
              <w:rPr>
                <w:rFonts w:ascii="仿宋_GB2312" w:hAnsi="仿宋_GB2312" w:cs="仿宋_GB2312" w:eastAsia="仿宋_GB2312"/>
                <w:sz w:val="21"/>
              </w:rPr>
              <w:t>、《自动喷水灭火系统施工及验收规范》</w:t>
            </w:r>
            <w:r>
              <w:rPr>
                <w:rFonts w:ascii="仿宋_GB2312" w:hAnsi="仿宋_GB2312" w:cs="仿宋_GB2312" w:eastAsia="仿宋_GB2312"/>
                <w:sz w:val="21"/>
              </w:rPr>
              <w:t>GB50261-2017</w:t>
            </w:r>
            <w:r>
              <w:rPr>
                <w:rFonts w:ascii="仿宋_GB2312" w:hAnsi="仿宋_GB2312" w:cs="仿宋_GB2312" w:eastAsia="仿宋_GB2312"/>
                <w:sz w:val="21"/>
              </w:rPr>
              <w:t>、《消防给水及消火栓系统技术规范》</w:t>
            </w:r>
            <w:r>
              <w:rPr>
                <w:rFonts w:ascii="仿宋_GB2312" w:hAnsi="仿宋_GB2312" w:cs="仿宋_GB2312" w:eastAsia="仿宋_GB2312"/>
                <w:sz w:val="21"/>
              </w:rPr>
              <w:t>GB50974-2014</w:t>
            </w:r>
            <w:r>
              <w:rPr>
                <w:rFonts w:ascii="仿宋_GB2312" w:hAnsi="仿宋_GB2312" w:cs="仿宋_GB2312" w:eastAsia="仿宋_GB2312"/>
                <w:sz w:val="21"/>
              </w:rPr>
              <w:t>、《消防给水及消火栓系统技术规范》</w:t>
            </w:r>
            <w:r>
              <w:rPr>
                <w:rFonts w:ascii="仿宋_GB2312" w:hAnsi="仿宋_GB2312" w:cs="仿宋_GB2312" w:eastAsia="仿宋_GB2312"/>
                <w:sz w:val="21"/>
              </w:rPr>
              <w:t>GB50974-2014</w:t>
            </w:r>
            <w:r>
              <w:rPr>
                <w:rFonts w:ascii="仿宋_GB2312" w:hAnsi="仿宋_GB2312" w:cs="仿宋_GB2312" w:eastAsia="仿宋_GB2312"/>
                <w:sz w:val="21"/>
              </w:rPr>
              <w:t>、《建筑防烟排烟系统技术标准》</w:t>
            </w:r>
            <w:r>
              <w:rPr>
                <w:rFonts w:ascii="仿宋_GB2312" w:hAnsi="仿宋_GB2312" w:cs="仿宋_GB2312" w:eastAsia="仿宋_GB2312"/>
                <w:sz w:val="21"/>
              </w:rPr>
              <w:t xml:space="preserve">GB51251-2017 </w:t>
            </w:r>
            <w:r>
              <w:rPr>
                <w:rFonts w:ascii="仿宋_GB2312" w:hAnsi="仿宋_GB2312" w:cs="仿宋_GB2312" w:eastAsia="仿宋_GB2312"/>
                <w:sz w:val="21"/>
              </w:rPr>
              <w:t>《建筑消防设施维护管理》（</w:t>
            </w:r>
            <w:r>
              <w:rPr>
                <w:rFonts w:ascii="仿宋_GB2312" w:hAnsi="仿宋_GB2312" w:cs="仿宋_GB2312" w:eastAsia="仿宋_GB2312"/>
                <w:sz w:val="21"/>
              </w:rPr>
              <w:t>GB25201-2020</w:t>
            </w:r>
            <w:r>
              <w:rPr>
                <w:rFonts w:ascii="仿宋_GB2312" w:hAnsi="仿宋_GB2312" w:cs="仿宋_GB2312" w:eastAsia="仿宋_GB2312"/>
                <w:sz w:val="21"/>
              </w:rPr>
              <w:t>）；甲方提供的消防竣工图纸及相关工程数据、技术资料等相关法律法规或规定进行，具体维护保养内容应该包括但不限于本招标书相关内容。乙方应在每次维护保养工作结束后</w:t>
            </w:r>
            <w:r>
              <w:rPr>
                <w:rFonts w:ascii="仿宋_GB2312" w:hAnsi="仿宋_GB2312" w:cs="仿宋_GB2312" w:eastAsia="仿宋_GB2312"/>
                <w:sz w:val="21"/>
              </w:rPr>
              <w:t>7</w:t>
            </w:r>
            <w:r>
              <w:rPr>
                <w:rFonts w:ascii="仿宋_GB2312" w:hAnsi="仿宋_GB2312" w:cs="仿宋_GB2312" w:eastAsia="仿宋_GB2312"/>
                <w:sz w:val="21"/>
              </w:rPr>
              <w:t>个工作日内向甲方提供维护保养报告。</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协助甲方进行消防年检，确保消防设备符合消防年检要求。</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对突发故障维修必须确保在</w:t>
            </w:r>
            <w:r>
              <w:rPr>
                <w:rFonts w:ascii="仿宋_GB2312" w:hAnsi="仿宋_GB2312" w:cs="仿宋_GB2312" w:eastAsia="仿宋_GB2312"/>
                <w:sz w:val="21"/>
              </w:rPr>
              <w:t>2</w:t>
            </w:r>
            <w:r>
              <w:rPr>
                <w:rFonts w:ascii="仿宋_GB2312" w:hAnsi="仿宋_GB2312" w:cs="仿宋_GB2312" w:eastAsia="仿宋_GB2312"/>
                <w:sz w:val="21"/>
              </w:rPr>
              <w:t>小时响应，</w:t>
            </w:r>
            <w:r>
              <w:rPr>
                <w:rFonts w:ascii="仿宋_GB2312" w:hAnsi="仿宋_GB2312" w:cs="仿宋_GB2312" w:eastAsia="仿宋_GB2312"/>
                <w:sz w:val="21"/>
              </w:rPr>
              <w:t>4</w:t>
            </w:r>
            <w:r>
              <w:rPr>
                <w:rFonts w:ascii="仿宋_GB2312" w:hAnsi="仿宋_GB2312" w:cs="仿宋_GB2312" w:eastAsia="仿宋_GB2312"/>
                <w:sz w:val="21"/>
              </w:rPr>
              <w:t>小时之内到达现场维修，在突发维修过程中，应确保校区安全稳定，如因乙方预防措施不到位造成的任何损失全部由乙方负责。</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必须提前预知，在消防维保期限内，不能对消防系统进行任何屏蔽。</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自合同签订起，在一周内交维保方案及全年维保计划，由甲方审核确认，乙方按甲方确认的方案实施。</w:t>
            </w:r>
          </w:p>
          <w:p>
            <w:pPr>
              <w:pStyle w:val="null3"/>
              <w:ind w:firstLine="420"/>
              <w:jc w:val="both"/>
            </w:pPr>
            <w:r>
              <w:rPr>
                <w:rFonts w:ascii="仿宋_GB2312" w:hAnsi="仿宋_GB2312" w:cs="仿宋_GB2312" w:eastAsia="仿宋_GB2312"/>
                <w:sz w:val="21"/>
              </w:rPr>
              <w:t>8.</w:t>
            </w:r>
            <w:r>
              <w:rPr>
                <w:rFonts w:ascii="仿宋_GB2312" w:hAnsi="仿宋_GB2312" w:cs="仿宋_GB2312" w:eastAsia="仿宋_GB2312"/>
                <w:sz w:val="21"/>
              </w:rPr>
              <w:t>合同有效期内，由乙方按政府制定的相关法律法规及维保标准每月对甲方消防系统整体检查、测试及维护保养，确保整个消防系统各个环节设备设施的正常运行和完好。</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每年两次对甲方安保人员进行培训（消防设施的功能、动作原理、初期火灾如何预防、园区火灾如何控制）、每年两次消防演习全程配合、政府性消防检查全程参与。</w:t>
            </w:r>
          </w:p>
          <w:p>
            <w:pPr>
              <w:pStyle w:val="null3"/>
              <w:ind w:firstLine="420"/>
              <w:jc w:val="both"/>
            </w:pPr>
            <w:r>
              <w:rPr>
                <w:rFonts w:ascii="仿宋_GB2312" w:hAnsi="仿宋_GB2312" w:cs="仿宋_GB2312" w:eastAsia="仿宋_GB2312"/>
                <w:sz w:val="21"/>
              </w:rPr>
              <w:t>10.</w:t>
            </w:r>
            <w:r>
              <w:rPr>
                <w:rFonts w:ascii="仿宋_GB2312" w:hAnsi="仿宋_GB2312" w:cs="仿宋_GB2312" w:eastAsia="仿宋_GB2312"/>
                <w:sz w:val="21"/>
              </w:rPr>
              <w:t>消防设备在使用过程发生损坏需要维修或更换时</w:t>
            </w:r>
            <w:r>
              <w:rPr>
                <w:rFonts w:ascii="仿宋_GB2312" w:hAnsi="仿宋_GB2312" w:cs="仿宋_GB2312" w:eastAsia="仿宋_GB2312"/>
                <w:sz w:val="21"/>
              </w:rPr>
              <w:t>,</w:t>
            </w:r>
            <w:r>
              <w:rPr>
                <w:rFonts w:ascii="仿宋_GB2312" w:hAnsi="仿宋_GB2312" w:cs="仿宋_GB2312" w:eastAsia="仿宋_GB2312"/>
                <w:sz w:val="21"/>
              </w:rPr>
              <w:t>每次需要维修或更换的零部件总价在</w:t>
            </w:r>
            <w:r>
              <w:rPr>
                <w:rFonts w:ascii="仿宋_GB2312" w:hAnsi="仿宋_GB2312" w:cs="仿宋_GB2312" w:eastAsia="仿宋_GB2312"/>
                <w:sz w:val="21"/>
              </w:rPr>
              <w:t>200</w:t>
            </w:r>
            <w:r>
              <w:rPr>
                <w:rFonts w:ascii="仿宋_GB2312" w:hAnsi="仿宋_GB2312" w:cs="仿宋_GB2312" w:eastAsia="仿宋_GB2312"/>
                <w:sz w:val="21"/>
              </w:rPr>
              <w:t>元</w:t>
            </w:r>
            <w:r>
              <w:rPr>
                <w:rFonts w:ascii="仿宋_GB2312" w:hAnsi="仿宋_GB2312" w:cs="仿宋_GB2312" w:eastAsia="仿宋_GB2312"/>
                <w:sz w:val="21"/>
              </w:rPr>
              <w:t>(</w:t>
            </w:r>
            <w:r>
              <w:rPr>
                <w:rFonts w:ascii="仿宋_GB2312" w:hAnsi="仿宋_GB2312" w:cs="仿宋_GB2312" w:eastAsia="仿宋_GB2312"/>
                <w:sz w:val="21"/>
              </w:rPr>
              <w:t>含</w:t>
            </w:r>
            <w:r>
              <w:rPr>
                <w:rFonts w:ascii="仿宋_GB2312" w:hAnsi="仿宋_GB2312" w:cs="仿宋_GB2312" w:eastAsia="仿宋_GB2312"/>
                <w:sz w:val="21"/>
              </w:rPr>
              <w:t>)</w:t>
            </w:r>
            <w:r>
              <w:rPr>
                <w:rFonts w:ascii="仿宋_GB2312" w:hAnsi="仿宋_GB2312" w:cs="仿宋_GB2312" w:eastAsia="仿宋_GB2312"/>
                <w:sz w:val="21"/>
              </w:rPr>
              <w:t>以下的，由乙方直接维修；每次需要维修或更换的零部件总价在</w:t>
            </w:r>
            <w:r>
              <w:rPr>
                <w:rFonts w:ascii="仿宋_GB2312" w:hAnsi="仿宋_GB2312" w:cs="仿宋_GB2312" w:eastAsia="仿宋_GB2312"/>
                <w:sz w:val="21"/>
              </w:rPr>
              <w:t>200</w:t>
            </w:r>
            <w:r>
              <w:rPr>
                <w:rFonts w:ascii="仿宋_GB2312" w:hAnsi="仿宋_GB2312" w:cs="仿宋_GB2312" w:eastAsia="仿宋_GB2312"/>
                <w:sz w:val="21"/>
              </w:rPr>
              <w:t>元以上的，乙方应向甲方提出书面情况说明及更换配件的相关报价单，甲方评定后决定是否由乙方进行维修更换，若评定由乙方进行维修、更换，则产生的费用计入合同更换零配件总价内，由乙方支付，如零配件总价内不足以支付部分由甲方负责支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满足国家标准、行业标准及采购人要求。 验收依据：经济合同、国家相关的标准和规范。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其他，项目验收完成后，达到付款条件起10个工作日内，支付合同总金额的60.0%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 3.由于不可抗力因素造成无法按照原计划提供服务，双方互不追究违约责任。 4.如有异议另行协商。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递交磋商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提供磋商响应文件截止日前近一年内任意一个月的纳税证明或完税证明（任意税种），依法免税的单位应提供相关证明材料；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提供磋商响应文件截止日前近一年内任意一个月的社会保障资金缴存单据或社保机构开具的社会保险参保缴费情况证明，依法不需要缴纳社会保障资金的单位应提供相关证明材料；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本合同包为专门面向中小企业采购</w:t>
            </w:r>
          </w:p>
        </w:tc>
        <w:tc>
          <w:tcPr>
            <w:tcW w:type="dxa" w:w="3322"/>
          </w:tcPr>
          <w:p>
            <w:pPr>
              <w:pStyle w:val="null3"/>
            </w:pPr>
            <w:r>
              <w:rPr>
                <w:rFonts w:ascii="仿宋_GB2312" w:hAnsi="仿宋_GB2312" w:cs="仿宋_GB2312" w:eastAsia="仿宋_GB2312"/>
              </w:rPr>
              <w:t>提供中小企业声明函或监狱企业的证明文件或残疾人福利性单位声明函；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资格证书</w:t>
            </w:r>
          </w:p>
        </w:tc>
        <w:tc>
          <w:tcPr>
            <w:tcW w:type="dxa" w:w="3322"/>
          </w:tcPr>
          <w:p>
            <w:pPr>
              <w:pStyle w:val="null3"/>
            </w:pPr>
            <w:r>
              <w:rPr>
                <w:rFonts w:ascii="仿宋_GB2312" w:hAnsi="仿宋_GB2312" w:cs="仿宋_GB2312" w:eastAsia="仿宋_GB2312"/>
              </w:rPr>
              <w:t>供应商须在社会消防技术服务信息系统（https://shhxf.119.gov.cn/templet/index_7.jsp）中可查询，且服务类型须包含“消防设施维护保养检测”；提供查询截图；</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技术负责人</w:t>
            </w:r>
          </w:p>
        </w:tc>
        <w:tc>
          <w:tcPr>
            <w:tcW w:type="dxa" w:w="3322"/>
          </w:tcPr>
          <w:p>
            <w:pPr>
              <w:pStyle w:val="null3"/>
            </w:pPr>
            <w:r>
              <w:rPr>
                <w:rFonts w:ascii="仿宋_GB2312" w:hAnsi="仿宋_GB2312" w:cs="仿宋_GB2312" w:eastAsia="仿宋_GB2312"/>
              </w:rPr>
              <w:t>供应商拟派技术负责人须具备一级注册消防工程师资格，且在本单位注册；</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6分项报价表.docx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6分项报价表.docx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6分项报价表.docx 4服务要求及商务要求偏离表.docx 标的清单 5其他.docx 响应函 1特定资格证明文件.docx 监狱企业的证明文件 3磋商服务方案.docx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人员资质及驻场配置</w:t>
            </w:r>
          </w:p>
        </w:tc>
        <w:tc>
          <w:tcPr>
            <w:tcW w:type="dxa" w:w="2492"/>
          </w:tcPr>
          <w:p>
            <w:pPr>
              <w:pStyle w:val="null3"/>
            </w:pPr>
            <w:r>
              <w:rPr>
                <w:rFonts w:ascii="仿宋_GB2312" w:hAnsi="仿宋_GB2312" w:cs="仿宋_GB2312" w:eastAsia="仿宋_GB2312"/>
              </w:rPr>
              <w:t>投标人需针对本项目采购全流程履约需求，配置专属项目服务团队，配齐核心岗位专属对接人员，提供完整人员配置清单及有效在岗归属证明，保障项目全流程对接顺畅、责任到人、履约稳定； ①常驻维保工程师、消防人员，每配备一人得3分；本项最多得6分； ②其他项目组人员，每增加1人得1.5分，本项最多得6分； （备注：①提供单位为该人员缴纳的任意险种社保缴纳明细 /证明，材料需清晰可辨。②常驻维保工程师需具备有效期内的中级及以上消防设施操作员证；消防人员需提供有效期内的消防设施操作员证书)</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专业维保设备配置</w:t>
            </w:r>
          </w:p>
        </w:tc>
        <w:tc>
          <w:tcPr>
            <w:tcW w:type="dxa" w:w="2492"/>
          </w:tcPr>
          <w:p>
            <w:pPr>
              <w:pStyle w:val="null3"/>
            </w:pPr>
            <w:r>
              <w:rPr>
                <w:rFonts w:ascii="仿宋_GB2312" w:hAnsi="仿宋_GB2312" w:cs="仿宋_GB2312" w:eastAsia="仿宋_GB2312"/>
              </w:rPr>
              <w:t>供应商须在响应文件中附设备清单、实物照片/购置凭证/设备台账等实证材料，按以下档次计分： 1、完整配备以下全部消防检测、故障排查、维保专用仪器及工具： （1）电气检测类：红外测温仪、漏电检测仪、绝缘电阻测试仪； （2）烟温感测试类：烟雾试验器、加温试验器； （3）压力流量类：消火栓压力测试仪、消防水压表、流量计； （4）系统调试类：消防主机编程调试工具、线路检测仪、万用表、示波器； （5）通用维保工具：专用拆装工具、登高作业设备、密封检修工具； （6）安全防护类：绝缘手套、安全绳、应急防护用具。 设备清单完整、佐证材料齐全，得9分。 2.配备扳手、钳子、普通万用表、简易水压表等基础通用工具，专项检测仪器配备不齐全，得5分。 3.未提供设备清单，或清单与实际维保需求严重不符，得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针对本项目，每提供一条有利于项目实施的合理化建议得1分，满分4分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 ①人员管理及驻场服务承诺； ②日常维保及系统管控承诺； ③配件维修、更换及费用承诺； ④安全文明作业及责任承诺； ⑤定期巡查与质量保障承诺； 每提供1个承诺得1分，满分5分；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一、评审内容：供应商结合本项目实际，提供项目服务方案，至少包含： ①整体维保方案与年度计划； ②各消防系统专项维保细则； ③设备维修更换执行方案； ④维保质量管控措施。 二、分项评审标准： 1.完整性：方案内容完整、要素齐全； 2.可实施性：方案合理可行、便于落地实施； 3.针对性：符合本项目实际需求与建设目标。 三、赋分标准（满分15分） ①整体维保方案与年度计划：每满足一个分项评审标准得 2 分，满分 6 分； ②各消防系统专项维保细则：每满足一个分项评审标准得 1 分，满分 3 分； ③设备维修更换执行方案：每满足一个分项评审标准得 1 分，满分 3 分； ④维保质量管控措施：每满足一个分项评审标准得 1 分，满分 3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一、评审内容：供应商结合本项目实际，对本项目制定完善的保障措施，至少包含： ①消防培训服务方案； ②消防演习配合方案； ③消防年检及迎检配合方案。 二、分项评审标准： 1.完整性：内容全面，对评审内容中的各项要求有详细描述； 2.可实施性：方案合理可行、便于落地实施； 3.针对性：内容科学合理，能够紧扣项目实际情况。 三、赋分标准（满分 15 分） ①消防培训服务方案：每满足一个分项评审标准得 2 分，满分 6 分； ②消防演习配合方案：每满足一个分项评审标准得 1.5分，满分 4.5分； ③消防年检及迎检配合方案：每满足一个分项评审标准得 1.5分，满分 4.5分；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一、评审内容：供应商针对本项目服务内容，制定完善的应急方案至少包含： ①故障应急处置方案； ②故障应急处置措施。 二、分项评审标准： 1.完整性：内容全面，对评审内容中的各项要求有详细描述； 2.可实施性：切合本项目实际情况，实施步骤清晰合理； 三、赋分标准（满分 10 分） ①故障应急处置方案：每满足一个分项评审标准得 2.5 分，满分5 分； ②故障应急处置措施：每满足一个分项评审标准得 2.5 分，满分 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提供2023年1月以后的类似项目业绩（业绩以合同复印件或中标通知书为依据）。每个业绩计2分，共10分。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经初审合格的磋商响应文件，其磋商报价为有效磋商报价。 2. 满足磋商文件实质性要求且最终报价最低的供应商的价格为磋商基准价，其价格分为满分 20分。 3. 磋商报价得分 =（磋商基准价 / 最终磋商报价）×20。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