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版本号：2026-HXCT-171.1B120260824001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陕西省“多测合一”综合管理平台(二次)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2026-HXCT-171.1B1</w:t>
      </w:r>
      <w:r>
        <w:br/>
      </w:r>
      <w:r>
        <w:br/>
      </w:r>
      <w:r>
        <w:br/>
      </w:r>
    </w:p>
    <w:p>
      <w:pPr>
        <w:pStyle w:val="null3"/>
        <w:jc w:val="center"/>
        <w:outlineLvl w:val="2"/>
      </w:pPr>
      <w:r>
        <w:rPr>
          <w:rFonts w:ascii="仿宋_GB2312" w:hAnsi="仿宋_GB2312" w:cs="仿宋_GB2312" w:eastAsia="仿宋_GB2312"/>
          <w:sz w:val="28"/>
          <w:b/>
        </w:rPr>
        <w:t>陕西省自然资源信息中心（陕西省地质资料档案馆）</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委托，拟对</w:t>
      </w:r>
      <w:r>
        <w:rPr>
          <w:rFonts w:ascii="仿宋_GB2312" w:hAnsi="仿宋_GB2312" w:cs="仿宋_GB2312" w:eastAsia="仿宋_GB2312"/>
        </w:rPr>
        <w:t>陕西省“多测合一”综合管理平台(二次)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2026-HXCT-171.1B1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陕西省“多测合一”综合管理平台(二次)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陕西省“多测合一”综合管理平台建设，具体要求详见竞争性磋商文件。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1、有效的资格主体证明：供应商应为具有独⽴承担⺠事责任能⼒的法⼈或其他组织，提供法⼈或者其他组织的营业执照 等证明⽂件，⾃然⼈的⾝份证明。供应商需在项⽬电⼦化交易系统中按要求提供相关证明材料并进⾏电⼦签章。</w:t>
      </w:r>
    </w:p>
    <w:p>
      <w:pPr>
        <w:pStyle w:val="null3"/>
      </w:pPr>
      <w:r>
        <w:rPr>
          <w:rFonts w:ascii="仿宋_GB2312" w:hAnsi="仿宋_GB2312" w:cs="仿宋_GB2312" w:eastAsia="仿宋_GB2312"/>
        </w:rPr>
        <w:t>2、法⼈代表授权委托书：供应商为法⼈单位的法定代表⼈亲⾃参加投标时，须提供本⼈⾝份证复印件；法定代表⼈授权他⼈参加投标时，须提供法定代表⼈委托授权书，同时提供被授权代表开标前六⽉内任意⼀个⽉在投标⼈单位的社保缴纳证 明材料。（投标⼈为⾮法⼈单位的）投标⽂件中凡是需要法定代表⼈签字或盖章之处 ，⾮法⼈单位的负责⼈均参照执⾏。</w:t>
      </w:r>
    </w:p>
    <w:p>
      <w:pPr>
        <w:pStyle w:val="null3"/>
      </w:pPr>
      <w:r>
        <w:rPr>
          <w:rFonts w:ascii="仿宋_GB2312" w:hAnsi="仿宋_GB2312" w:cs="仿宋_GB2312" w:eastAsia="仿宋_GB2312"/>
        </w:rPr>
        <w:t>3、财务状况报告：提供经审计的2025年度的财务报告或提交磋商响应⽂件截⽌时间前六个⽉内其基本账⼾开⼾银⾏出 具的资信证明；其他组织和⾃然⼈提供银⾏出具的资信证明或财务报表；供应商需在项⽬电⼦化交易系统中按要求提供相关证 明材料并进⾏电⼦签章。</w:t>
      </w:r>
    </w:p>
    <w:p>
      <w:pPr>
        <w:pStyle w:val="null3"/>
      </w:pPr>
      <w:r>
        <w:rPr>
          <w:rFonts w:ascii="仿宋_GB2312" w:hAnsi="仿宋_GB2312" w:cs="仿宋_GB2312" w:eastAsia="仿宋_GB2312"/>
        </w:rPr>
        <w:t>4、社会保障资⾦缴纳证明：提供2025年8⽉⾄今任意⼀个⽉已缴存的社会保障资⾦缴存单据或社保机构开具的社会保险 参保缴费证明，依法不需要缴纳社会保障资⾦的单位应提供相关证明材料；供应商需在项⽬电⼦化交易系统中按要求提供相关 证明材料并进⾏电⼦签章。</w:t>
      </w:r>
    </w:p>
    <w:p>
      <w:pPr>
        <w:pStyle w:val="null3"/>
      </w:pPr>
      <w:r>
        <w:rPr>
          <w:rFonts w:ascii="仿宋_GB2312" w:hAnsi="仿宋_GB2312" w:cs="仿宋_GB2312" w:eastAsia="仿宋_GB2312"/>
        </w:rPr>
        <w:t>5、税收缴纳证明：提供2025年8⽉⾄今任意⼀个⽉的纳税证明或税务机关开具的完税证明，依法免税的单位应提供相关 证明材料；供应商需在项⽬电⼦化交易系统中按要求提供相关证明材料并进⾏电⼦签章。</w:t>
      </w:r>
    </w:p>
    <w:p>
      <w:pPr>
        <w:pStyle w:val="null3"/>
      </w:pPr>
      <w:r>
        <w:rPr>
          <w:rFonts w:ascii="仿宋_GB2312" w:hAnsi="仿宋_GB2312" w:cs="仿宋_GB2312" w:eastAsia="仿宋_GB2312"/>
        </w:rPr>
        <w:t>6、信⽤记录查询：供应商不得为“信⽤中国”⽹站（www.creditchina.gov.cn）被列⼊“失信被执⾏⼈”“重⼤税收违法 案件当事⼈名单”的供应商，不得为“中国政府采”(www.ccgp.gov.cn)被列⼊“政府采购严重违法失信⾏为记录名单”的 供应商。以代理机构开标当天在相关⽹站查询结果为准。</w:t>
      </w:r>
    </w:p>
    <w:p>
      <w:pPr>
        <w:pStyle w:val="null3"/>
      </w:pPr>
      <w:r>
        <w:rPr>
          <w:rFonts w:ascii="仿宋_GB2312" w:hAnsi="仿宋_GB2312" w:cs="仿宋_GB2312" w:eastAsia="仿宋_GB2312"/>
        </w:rPr>
        <w:t>7、⽆重⼤违法记录声明：参加政府采购活动前三年内，在经营活动中没有重⼤违法记录：参加政府采购活动前三年内，在经营活动中没有重⼤违法记录提供书⾯声明；供应商需在项⽬电⼦化交易系统中按要求提供相关证明材料 并进⾏电⼦签章。</w:t>
      </w:r>
    </w:p>
    <w:p>
      <w:pPr>
        <w:pStyle w:val="null3"/>
      </w:pPr>
      <w:r>
        <w:rPr>
          <w:rFonts w:ascii="仿宋_GB2312" w:hAnsi="仿宋_GB2312" w:cs="仿宋_GB2312" w:eastAsia="仿宋_GB2312"/>
        </w:rPr>
        <w:t>8、具有履⾏合同所必需的设备和专业技术能⼒：提供书⾯声明，包括声明具有履⾏合同所必需的设备和专业技术能⼒；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陕西省自然资源信息中心（陕西省地质资料档案馆）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西安市劳动南路 180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029-84333294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房文刚、来昭萌、薛浩、薛梅梅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号、发改办价格〔2003〕857号规定，依据发改价格〔2015〕299号文件规定标准计取该项目的招标代理服务费。由成交供应商支付招标代理服务费，发放成交通知书时一次性付清。开户名称： 华夏城投项目管理有限公司 开户银行： 中国工商银行股份有限公司延安南关支行 银行账号： 2609 0803 0902 4803 489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权或其它知识产权⽽引起的法律和经济纠纷，如因专利权、商标权或其它知识产权⽽引起法律和经济纠纷，由供应商承担所 有相关责任。采购⼈享有本项⽬实施过程中产⽣的知识成果及知识产权。 2、供应商将在采购项⽬实施过程中采⽤⾃有或者第三⽅知识成果的，使⽤该知识成果后，供应商需提供开发接⼝和开发 ⼿册等技术资料，并承诺提供⽆限期⽀持，采购⼈享有使⽤权（含采购⼈委托第三⽅在该项⽬后续开发的使⽤权）。 3、如采⽤供应商所不 拥有 的知识产权，则在报价中必须包括合法使⽤该知识产权的相关费⽤。 4、构成本招标⽂件的各组成部分，未经采购⼈同意，供应商不得擅⾃复印或⽤于⾮本招标项⽬所需的其他⽬的。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联系人：房文刚、薛梅梅</w:t>
      </w:r>
    </w:p>
    <w:p>
      <w:pPr>
        <w:pStyle w:val="null3"/>
      </w:pPr>
      <w:r>
        <w:rPr>
          <w:rFonts w:ascii="仿宋_GB2312" w:hAnsi="仿宋_GB2312" w:cs="仿宋_GB2312" w:eastAsia="仿宋_GB2312"/>
        </w:rPr>
        <w:t>联系电话：029-88010607</w:t>
      </w:r>
    </w:p>
    <w:p>
      <w:pPr>
        <w:pStyle w:val="null3"/>
      </w:pPr>
      <w:r>
        <w:rPr>
          <w:rFonts w:ascii="仿宋_GB2312" w:hAnsi="仿宋_GB2312" w:cs="仿宋_GB2312" w:eastAsia="仿宋_GB2312"/>
        </w:rPr>
        <w:t>地址：西安市经济技术开发区凤城七路长和国际D座26楼</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陕西省“多测合一”综合管理平台建设；本项目为一期平台的延续建设，主要包括平台功能升级开发、数据贯通与接口开发、全省推广实施及运行保障服务。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陕西省“多测合一”综合管理平台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标的名称：陕西省“多测合一”综合管理平台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pPr>
            <w:r>
              <w:rPr>
                <w:rFonts w:ascii="仿宋_GB2312" w:hAnsi="仿宋_GB2312" w:cs="仿宋_GB2312" w:eastAsia="仿宋_GB2312"/>
                <w:sz w:val="20"/>
                <w:color w:val="000000"/>
              </w:rPr>
              <w:t>技术要求</w:t>
            </w:r>
          </w:p>
          <w:p>
            <w:pPr>
              <w:pStyle w:val="null3"/>
              <w:numPr>
                <w:ilvl w:val="0"/>
                <w:numId w:val="2"/>
              </w:numPr>
              <w:ind w:left="195"/>
            </w:pPr>
            <w:r>
              <w:rPr>
                <w:rFonts w:ascii="仿宋_GB2312" w:hAnsi="仿宋_GB2312" w:cs="仿宋_GB2312" w:eastAsia="仿宋_GB2312"/>
                <w:b/>
              </w:rPr>
              <w:t>项目概括</w:t>
            </w:r>
          </w:p>
          <w:p>
            <w:pPr>
              <w:pStyle w:val="null3"/>
              <w:ind w:firstLine="400"/>
            </w:pPr>
            <w:r>
              <w:rPr>
                <w:rFonts w:ascii="仿宋_GB2312" w:hAnsi="仿宋_GB2312" w:cs="仿宋_GB2312" w:eastAsia="仿宋_GB2312"/>
              </w:rPr>
              <w:t>本项目是在国家工程建设项目审批制度改革及自然资源部推进</w:t>
            </w:r>
            <w:r>
              <w:rPr>
                <w:rFonts w:ascii="仿宋_GB2312" w:hAnsi="仿宋_GB2312" w:cs="仿宋_GB2312" w:eastAsia="仿宋_GB2312"/>
              </w:rPr>
              <w:t>“多测合一”改革的政策要求下，在陕西省已初步建成省级“多测合一”综合管理平台一期工程、实现平台门户、入驻机构管理、业务办理及咸阳市试点运行等阶段性成果的基础上，针对一期平台存在的自动化质检工具缺失、决策分析能力不足、信用管理实时性差、省—市数据贯通不足、跨部门共享尚未畅通以及全省推广亟待开展等挑战，围绕“功能深化、数据贯通、试点推广”三大方向开展二期建设，通过全面提升平台智能化水平和全省服务能力，推动测绘成果在线共享和全流程监管，最终实现“一次委托、联合测绘、成果共享”的改革目标。</w:t>
            </w:r>
          </w:p>
          <w:p>
            <w:pPr>
              <w:pStyle w:val="null3"/>
              <w:numPr>
                <w:ilvl w:val="0"/>
                <w:numId w:val="2"/>
              </w:numPr>
              <w:ind w:left="195"/>
            </w:pPr>
            <w:r>
              <w:rPr>
                <w:rFonts w:ascii="仿宋_GB2312" w:hAnsi="仿宋_GB2312" w:cs="仿宋_GB2312" w:eastAsia="仿宋_GB2312"/>
                <w:b/>
              </w:rPr>
              <w:t>技术参数与性能指标</w:t>
            </w:r>
          </w:p>
          <w:p>
            <w:pPr>
              <w:pStyle w:val="null3"/>
              <w:ind w:firstLine="402"/>
            </w:pPr>
            <w:r>
              <w:rPr>
                <w:rFonts w:ascii="仿宋_GB2312" w:hAnsi="仿宋_GB2312" w:cs="仿宋_GB2312" w:eastAsia="仿宋_GB2312"/>
                <w:b/>
              </w:rPr>
              <w:t>（一）</w:t>
            </w:r>
            <w:r>
              <w:rPr>
                <w:rFonts w:ascii="仿宋_GB2312" w:hAnsi="仿宋_GB2312" w:cs="仿宋_GB2312" w:eastAsia="仿宋_GB2312"/>
                <w:b/>
              </w:rPr>
              <w:t>项目背景</w:t>
            </w:r>
          </w:p>
          <w:p>
            <w:pPr>
              <w:pStyle w:val="null3"/>
              <w:ind w:firstLine="400"/>
            </w:pPr>
            <w:r>
              <w:rPr>
                <w:rFonts w:ascii="仿宋_GB2312" w:hAnsi="仿宋_GB2312" w:cs="仿宋_GB2312" w:eastAsia="仿宋_GB2312"/>
              </w:rPr>
              <w:t>工程建设项目</w:t>
            </w:r>
            <w:r>
              <w:rPr>
                <w:rFonts w:ascii="仿宋_GB2312" w:hAnsi="仿宋_GB2312" w:cs="仿宋_GB2312" w:eastAsia="仿宋_GB2312"/>
              </w:rPr>
              <w:t>“多测合一”改革是国家深化“放管服”改革、优化营商环境的重要举措，国务院办公厅《关于全面开展工程建设项目审批制度改革的实施意见》（国办发〔2019〕11号）明确提出统一审批流程和信息平台等改革要求，自然资源部随后印发《关于推进工程建设项目“多测合一”改革的意见》（自然资发〔2020〕50号）及《关于深化工程建设项目“多测合一”改革的通知》，要求各地整合测绘事项，并于2025年底前基本建成信息管理平台，实现成果在线共享和全流程监管。为落实国家部署，陕西省委、省政府高度重视，省自然资源厅与省测绘地理信息局于2025年联合印发《陕西省工程建设项目“多测合一”实施办法（试行）》（陕自然资规〔2025〕1044号），明确由省级主管部门建设全省统一的管理平台，并已于2025年完成一期平台建设，搭建了统一门户，实现了入驻机构管理、业务办理等核心功能，且在咸阳市试点运行中取得阶段性成效。然而，随着改革深入，一期平台暴露出自动化质检工具缺失、决策分析能力不足、信用管理对接滞后等问题，同时省—市数据贯通不足，跨部门共享尚未畅通，测绘成果无法与工改审批、不动产登记等系统实时共享，全省推广也面临操作培训和技术支撑体系缺乏等挑战。因此，亟需在既有成果基础上开展二期建设，聚焦功能深化、数据贯通与试点推广，以全面提升平台智能化水平和全省服务能力，切实打破数据孤岛，实现“一次委托、联合测绘、成果共享”的改革目标。</w:t>
            </w:r>
          </w:p>
          <w:p>
            <w:pPr>
              <w:pStyle w:val="null3"/>
              <w:ind w:firstLine="402"/>
            </w:pPr>
            <w:r>
              <w:rPr>
                <w:rFonts w:ascii="仿宋_GB2312" w:hAnsi="仿宋_GB2312" w:cs="仿宋_GB2312" w:eastAsia="仿宋_GB2312"/>
                <w:b/>
              </w:rPr>
              <w:t>（二）建设目标</w:t>
            </w:r>
          </w:p>
          <w:p>
            <w:pPr>
              <w:pStyle w:val="null3"/>
              <w:ind w:firstLine="400"/>
            </w:pPr>
            <w:r>
              <w:rPr>
                <w:rFonts w:ascii="仿宋_GB2312" w:hAnsi="仿宋_GB2312" w:cs="仿宋_GB2312" w:eastAsia="仿宋_GB2312"/>
              </w:rPr>
              <w:t>本项目以《陕西省工程建设项目</w:t>
            </w:r>
            <w:r>
              <w:rPr>
                <w:rFonts w:ascii="仿宋_GB2312" w:hAnsi="仿宋_GB2312" w:cs="仿宋_GB2312" w:eastAsia="仿宋_GB2312"/>
              </w:rPr>
              <w:t>“多测合一”实施办法（试行）》（陕自然资规〔2025〕1044号）为政策依据，围绕“深化应用、强化监管、畅通共享”三大方向，在2025年基础框架建设成果之上，推进省级“多测合一”综合管理平台功能深化与全面推广。平台建设需落实“同一标的物只测一次、同一测绘成果只提交一次”的改革要求，将用地、规划、施工、竣工验收及不动产登记全流程测绘服务资源进行整合，实现业务全流程在线办理和测绘成果跨部门实时共享，为全省“多测合一”改革提供核心技术支撑。</w:t>
            </w:r>
          </w:p>
          <w:p>
            <w:pPr>
              <w:pStyle w:val="null3"/>
              <w:ind w:firstLine="402"/>
            </w:pPr>
            <w:r>
              <w:rPr>
                <w:rFonts w:ascii="仿宋_GB2312" w:hAnsi="仿宋_GB2312" w:cs="仿宋_GB2312" w:eastAsia="仿宋_GB2312"/>
                <w:b/>
              </w:rPr>
              <w:t>（三）主要任务</w:t>
            </w:r>
          </w:p>
          <w:p>
            <w:pPr>
              <w:pStyle w:val="null3"/>
              <w:ind w:firstLine="400"/>
            </w:pPr>
            <w:r>
              <w:rPr>
                <w:rFonts w:ascii="仿宋_GB2312" w:hAnsi="仿宋_GB2312" w:cs="仿宋_GB2312" w:eastAsia="仿宋_GB2312"/>
              </w:rPr>
              <w:t>围绕</w:t>
            </w:r>
            <w:r>
              <w:rPr>
                <w:rFonts w:ascii="仿宋_GB2312" w:hAnsi="仿宋_GB2312" w:cs="仿宋_GB2312" w:eastAsia="仿宋_GB2312"/>
              </w:rPr>
              <w:t>“功能深化、省市数据贯通、跨部门共享、推广部署”四大板块，本项目重点开展以下建设内容：</w:t>
            </w:r>
          </w:p>
          <w:p>
            <w:pPr>
              <w:pStyle w:val="null3"/>
              <w:ind w:firstLine="400"/>
            </w:pPr>
            <w:r>
              <w:rPr>
                <w:rFonts w:ascii="仿宋_GB2312" w:hAnsi="仿宋_GB2312" w:cs="仿宋_GB2312" w:eastAsia="仿宋_GB2312"/>
              </w:rPr>
              <w:t>1）</w:t>
            </w:r>
            <w:r>
              <w:rPr>
                <w:rFonts w:ascii="仿宋_GB2312" w:hAnsi="仿宋_GB2312" w:cs="仿宋_GB2312" w:eastAsia="仿宋_GB2312"/>
              </w:rPr>
              <w:t>深化平台功能，开发自动化成果质检工具，支持</w:t>
            </w:r>
            <w:r>
              <w:rPr>
                <w:rFonts w:ascii="仿宋_GB2312" w:hAnsi="仿宋_GB2312" w:cs="仿宋_GB2312" w:eastAsia="仿宋_GB2312"/>
              </w:rPr>
              <w:t>“自动质检+人工审核”交互模式，实现成果多维度检查与全过程追溯；建设数据驾驶舱，为管理部门提供可视化决策支撑；深化与省级测绘监管平台的双向对接，实现信用评价数据实时互通，建立以信用为主线的监管机制。</w:t>
            </w:r>
          </w:p>
          <w:p>
            <w:pPr>
              <w:pStyle w:val="null3"/>
              <w:ind w:firstLine="400"/>
            </w:pPr>
            <w:r>
              <w:rPr>
                <w:rFonts w:ascii="仿宋_GB2312" w:hAnsi="仿宋_GB2312" w:cs="仿宋_GB2312" w:eastAsia="仿宋_GB2312"/>
              </w:rPr>
              <w:t>2）</w:t>
            </w:r>
            <w:r>
              <w:rPr>
                <w:rFonts w:ascii="仿宋_GB2312" w:hAnsi="仿宋_GB2312" w:cs="仿宋_GB2312" w:eastAsia="仿宋_GB2312"/>
              </w:rPr>
              <w:t>推进省市数据贯通，完成与西安市、榆林市等地市平台的深度对接，实现项目信息与测绘成果自动同步、统一汇聚，形成全省统一的项目库和成果库；同时为未建平台地市提供兜底服务，确保全省成果归集全覆盖。</w:t>
            </w:r>
          </w:p>
          <w:p>
            <w:pPr>
              <w:pStyle w:val="null3"/>
              <w:ind w:firstLine="400"/>
            </w:pPr>
            <w:r>
              <w:rPr>
                <w:rFonts w:ascii="仿宋_GB2312" w:hAnsi="仿宋_GB2312" w:cs="仿宋_GB2312" w:eastAsia="仿宋_GB2312"/>
              </w:rPr>
              <w:t>3）</w:t>
            </w:r>
            <w:r>
              <w:rPr>
                <w:rFonts w:ascii="仿宋_GB2312" w:hAnsi="仿宋_GB2312" w:cs="仿宋_GB2312" w:eastAsia="仿宋_GB2312"/>
              </w:rPr>
              <w:t>畅通跨部门共享，依托省级政务数据共享交换平台，向工改审批系统、不动产登记信息平台实时推送测绘成果，并按需开发定制化接口，推动测绘成果从</w:t>
            </w:r>
            <w:r>
              <w:rPr>
                <w:rFonts w:ascii="仿宋_GB2312" w:hAnsi="仿宋_GB2312" w:cs="仿宋_GB2312" w:eastAsia="仿宋_GB2312"/>
              </w:rPr>
              <w:t>“部门独享”走向“全域通用”，实现“一次测绘、全域通用”。</w:t>
            </w:r>
          </w:p>
          <w:p>
            <w:pPr>
              <w:pStyle w:val="null3"/>
              <w:ind w:firstLine="400"/>
            </w:pPr>
            <w:r>
              <w:rPr>
                <w:rFonts w:ascii="仿宋_GB2312" w:hAnsi="仿宋_GB2312" w:cs="仿宋_GB2312" w:eastAsia="仿宋_GB2312"/>
              </w:rPr>
              <w:t>4）</w:t>
            </w:r>
            <w:r>
              <w:rPr>
                <w:rFonts w:ascii="仿宋_GB2312" w:hAnsi="仿宋_GB2312" w:cs="仿宋_GB2312" w:eastAsia="仿宋_GB2312"/>
              </w:rPr>
              <w:t>开展全省推广部署，在咸阳市试点基础上面向全省各市（区）自然资源主管部门、测绘单位及建设单位分级分角色组织系统化操作培训，编制配套教材及手册，确保全省用户熟练掌握平台使用，推动改革全面落地。</w:t>
            </w:r>
          </w:p>
          <w:p>
            <w:pPr>
              <w:pStyle w:val="null3"/>
              <w:ind w:firstLine="402"/>
            </w:pPr>
            <w:r>
              <w:rPr>
                <w:rFonts w:ascii="仿宋_GB2312" w:hAnsi="仿宋_GB2312" w:cs="仿宋_GB2312" w:eastAsia="仿宋_GB2312"/>
                <w:b/>
              </w:rPr>
              <w:t>（四）技术指标要求</w:t>
            </w:r>
          </w:p>
          <w:p>
            <w:pPr>
              <w:pStyle w:val="null3"/>
              <w:ind w:firstLine="600"/>
              <w:jc w:val="both"/>
            </w:pPr>
            <w:r>
              <w:rPr>
                <w:rFonts w:ascii="仿宋_GB2312" w:hAnsi="仿宋_GB2312" w:cs="仿宋_GB2312" w:eastAsia="仿宋_GB2312"/>
              </w:rPr>
              <w:t>1.</w:t>
            </w:r>
            <w:r>
              <w:rPr>
                <w:rFonts w:ascii="仿宋_GB2312" w:hAnsi="仿宋_GB2312" w:cs="仿宋_GB2312" w:eastAsia="仿宋_GB2312"/>
              </w:rPr>
              <w:t>总体要求</w:t>
            </w:r>
          </w:p>
          <w:p>
            <w:pPr>
              <w:pStyle w:val="null3"/>
              <w:ind w:firstLine="400"/>
            </w:pPr>
            <w:r>
              <w:rPr>
                <w:rFonts w:ascii="仿宋_GB2312" w:hAnsi="仿宋_GB2312" w:cs="仿宋_GB2312" w:eastAsia="仿宋_GB2312"/>
              </w:rPr>
              <w:t>本项目需遵循陕西省国土空间基础信息平台的技术体系和相关要求，开展</w:t>
            </w:r>
            <w:r>
              <w:rPr>
                <w:rFonts w:ascii="仿宋_GB2312" w:hAnsi="仿宋_GB2312" w:cs="仿宋_GB2312" w:eastAsia="仿宋_GB2312"/>
              </w:rPr>
              <w:t>“多测合一”综合管理平台建设工作。</w:t>
            </w:r>
          </w:p>
          <w:p>
            <w:pPr>
              <w:pStyle w:val="null3"/>
              <w:ind w:firstLine="400"/>
            </w:pPr>
            <w:r>
              <w:rPr>
                <w:rFonts w:ascii="仿宋_GB2312" w:hAnsi="仿宋_GB2312" w:cs="仿宋_GB2312" w:eastAsia="仿宋_GB2312"/>
              </w:rPr>
              <w:t>具体技术规格要求包括如下：</w:t>
            </w:r>
          </w:p>
          <w:p>
            <w:pPr>
              <w:pStyle w:val="null3"/>
              <w:ind w:firstLine="400"/>
            </w:pPr>
            <w:r>
              <w:rPr>
                <w:rFonts w:ascii="仿宋_GB2312" w:hAnsi="仿宋_GB2312" w:cs="仿宋_GB2312" w:eastAsia="仿宋_GB2312"/>
              </w:rPr>
              <w:t>1)</w:t>
            </w:r>
            <w:r>
              <w:rPr>
                <w:rFonts w:ascii="仿宋_GB2312" w:hAnsi="仿宋_GB2312" w:cs="仿宋_GB2312" w:eastAsia="仿宋_GB2312"/>
              </w:rPr>
              <w:t>要求采用微服务架构，满足从数据和功能的服务组合应用要求，实现松耦合的系统集成和服务化的资产复用。具备微服务的部署、集成、调用、运行支撑能力，支持系统按需组合扩展，就可重新生成新的应用系统，满足系统快速支持业务需求。</w:t>
            </w:r>
          </w:p>
          <w:p>
            <w:pPr>
              <w:pStyle w:val="null3"/>
              <w:ind w:firstLine="400"/>
            </w:pPr>
            <w:r>
              <w:rPr>
                <w:rFonts w:ascii="仿宋_GB2312" w:hAnsi="仿宋_GB2312" w:cs="仿宋_GB2312" w:eastAsia="仿宋_GB2312"/>
              </w:rPr>
              <w:t>2)</w:t>
            </w:r>
            <w:r>
              <w:rPr>
                <w:rFonts w:ascii="仿宋_GB2312" w:hAnsi="仿宋_GB2312" w:cs="仿宋_GB2312" w:eastAsia="仿宋_GB2312"/>
              </w:rPr>
              <w:t>要求以服务接口的方式提供数据管理与访问功能，同时提供</w:t>
            </w:r>
            <w:r>
              <w:rPr>
                <w:rFonts w:ascii="仿宋_GB2312" w:hAnsi="仿宋_GB2312" w:cs="仿宋_GB2312" w:eastAsia="仿宋_GB2312"/>
              </w:rPr>
              <w:t>REST服务调用，保证数据可以被第三方系统调用和集成。与其它应用系统接口的交互内容和交互方式应满足制定的相关数据服务建设规范。</w:t>
            </w:r>
          </w:p>
          <w:p>
            <w:pPr>
              <w:pStyle w:val="null3"/>
              <w:ind w:firstLine="400"/>
            </w:pPr>
            <w:r>
              <w:rPr>
                <w:rFonts w:ascii="仿宋_GB2312" w:hAnsi="仿宋_GB2312" w:cs="仿宋_GB2312" w:eastAsia="仿宋_GB2312"/>
              </w:rPr>
              <w:t>3)</w:t>
            </w:r>
            <w:r>
              <w:rPr>
                <w:rFonts w:ascii="仿宋_GB2312" w:hAnsi="仿宋_GB2312" w:cs="仿宋_GB2312" w:eastAsia="仿宋_GB2312"/>
              </w:rPr>
              <w:t>要求提供统一的运维管理入口，将系统中所有的应用配置以及运维管理模块都纳入管理，以统一的界面和操作方式，面向不同角色的管理员提供对应的运维管理功能。</w:t>
            </w:r>
          </w:p>
          <w:p>
            <w:pPr>
              <w:pStyle w:val="null3"/>
              <w:ind w:firstLine="400"/>
            </w:pPr>
            <w:r>
              <w:rPr>
                <w:rFonts w:ascii="仿宋_GB2312" w:hAnsi="仿宋_GB2312" w:cs="仿宋_GB2312" w:eastAsia="仿宋_GB2312"/>
              </w:rPr>
              <w:t>2.</w:t>
            </w:r>
            <w:r>
              <w:rPr>
                <w:rFonts w:ascii="仿宋_GB2312" w:hAnsi="仿宋_GB2312" w:cs="仿宋_GB2312" w:eastAsia="仿宋_GB2312"/>
              </w:rPr>
              <w:t>系统性能及可靠性要求</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并发用户数指标。系统平台运行于陕西省政务外网环境，能满足</w:t>
            </w:r>
            <w:r>
              <w:rPr>
                <w:rFonts w:ascii="仿宋_GB2312" w:hAnsi="仿宋_GB2312" w:cs="仿宋_GB2312" w:eastAsia="仿宋_GB2312"/>
              </w:rPr>
              <w:t>500个以上用户并发使用。</w:t>
            </w:r>
          </w:p>
          <w:p>
            <w:pPr>
              <w:pStyle w:val="null3"/>
              <w:ind w:firstLine="40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系统响应速度指标。在最大并发访问情况下，系统数据查询平均响应时间小于</w:t>
            </w:r>
            <w:r>
              <w:rPr>
                <w:rFonts w:ascii="仿宋_GB2312" w:hAnsi="仿宋_GB2312" w:cs="仿宋_GB2312" w:eastAsia="仿宋_GB2312"/>
              </w:rPr>
              <w:t>3秒；在最大并发访问情况下，数据浏览单屏响应在4秒以内，在全省范围内数据查询平均响应时间不超过5秒。</w:t>
            </w:r>
          </w:p>
          <w:p>
            <w:pPr>
              <w:pStyle w:val="null3"/>
              <w:ind w:firstLine="400"/>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系统稳定性指标。要求系统性能稳定、可靠，</w:t>
            </w:r>
            <w:r>
              <w:rPr>
                <w:rFonts w:ascii="仿宋_GB2312" w:hAnsi="仿宋_GB2312" w:cs="仿宋_GB2312" w:eastAsia="仿宋_GB2312"/>
              </w:rPr>
              <w:t>7*24小时运行期间，系统的有效工作时间要求≥99.5%。</w:t>
            </w:r>
          </w:p>
          <w:p>
            <w:pPr>
              <w:pStyle w:val="null3"/>
              <w:ind w:firstLine="400"/>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系统平均故障间隔时间</w:t>
            </w:r>
            <w:r>
              <w:rPr>
                <w:rFonts w:ascii="仿宋_GB2312" w:hAnsi="仿宋_GB2312" w:cs="仿宋_GB2312" w:eastAsia="仿宋_GB2312"/>
              </w:rPr>
              <w:t>≥10000h；故障响应时间≤2h；平均故障恢复时间≤8h；现场服务响应时间≤24h。</w:t>
            </w:r>
          </w:p>
          <w:p>
            <w:pPr>
              <w:pStyle w:val="null3"/>
              <w:ind w:firstLine="400"/>
            </w:pPr>
            <w:r>
              <w:rPr>
                <w:rFonts w:ascii="仿宋_GB2312" w:hAnsi="仿宋_GB2312" w:cs="仿宋_GB2312" w:eastAsia="仿宋_GB2312"/>
              </w:rPr>
              <w:t>3.</w:t>
            </w:r>
            <w:r>
              <w:rPr>
                <w:rFonts w:ascii="仿宋_GB2312" w:hAnsi="仿宋_GB2312" w:cs="仿宋_GB2312" w:eastAsia="仿宋_GB2312"/>
              </w:rPr>
              <w:t>系统安全相关要求</w:t>
            </w:r>
          </w:p>
          <w:p>
            <w:pPr>
              <w:pStyle w:val="null3"/>
              <w:ind w:firstLine="400"/>
            </w:pPr>
            <w:r>
              <w:rPr>
                <w:rFonts w:ascii="仿宋_GB2312" w:hAnsi="仿宋_GB2312" w:cs="仿宋_GB2312" w:eastAsia="仿宋_GB2312"/>
              </w:rPr>
              <w:t>由于系统存储的相关数据精度较高，对系统安全性有较高要求。</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系统开发必须符合国家和自然资源部系统安全相关管理规定。</w:t>
            </w:r>
          </w:p>
          <w:p>
            <w:pPr>
              <w:pStyle w:val="null3"/>
              <w:ind w:firstLine="40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系统建设需满足信创要求。</w:t>
            </w:r>
          </w:p>
          <w:p>
            <w:pPr>
              <w:pStyle w:val="null3"/>
              <w:ind w:firstLine="400"/>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系统需要有严格的用户和使用权限要求。</w:t>
            </w:r>
          </w:p>
          <w:p>
            <w:pPr>
              <w:pStyle w:val="null3"/>
              <w:ind w:firstLine="400"/>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建立定期备份机制，系统应具备相应的备份与恢复功能，要求保持系统数据最新，并保证能够快速有效地恢复数据。</w:t>
            </w:r>
          </w:p>
          <w:p>
            <w:pPr>
              <w:pStyle w:val="null3"/>
              <w:ind w:firstLine="402"/>
            </w:pPr>
            <w:r>
              <w:rPr>
                <w:rFonts w:ascii="仿宋_GB2312" w:hAnsi="仿宋_GB2312" w:cs="仿宋_GB2312" w:eastAsia="仿宋_GB2312"/>
                <w:b/>
              </w:rPr>
              <w:t>(五)项目实施要求</w:t>
            </w:r>
          </w:p>
          <w:p>
            <w:pPr>
              <w:pStyle w:val="null3"/>
              <w:ind w:firstLine="400"/>
            </w:pPr>
            <w:r>
              <w:rPr>
                <w:rFonts w:ascii="仿宋_GB2312" w:hAnsi="仿宋_GB2312" w:cs="仿宋_GB2312" w:eastAsia="仿宋_GB2312"/>
              </w:rPr>
              <w:t>1.</w:t>
            </w:r>
            <w:r>
              <w:rPr>
                <w:rFonts w:ascii="仿宋_GB2312" w:hAnsi="仿宋_GB2312" w:cs="仿宋_GB2312" w:eastAsia="仿宋_GB2312"/>
              </w:rPr>
              <w:t>服务期要求</w:t>
            </w:r>
          </w:p>
          <w:p>
            <w:pPr>
              <w:pStyle w:val="null3"/>
              <w:ind w:firstLine="400"/>
            </w:pPr>
            <w:r>
              <w:rPr>
                <w:rFonts w:ascii="仿宋_GB2312" w:hAnsi="仿宋_GB2312" w:cs="仿宋_GB2312" w:eastAsia="仿宋_GB2312"/>
              </w:rPr>
              <w:t>自合同签订之日起至2026年12月31日止；成交人需完成所有磋商文件要求工作，并通过项目验收</w:t>
            </w:r>
            <w:r>
              <w:rPr>
                <w:rFonts w:ascii="仿宋_GB2312" w:hAnsi="仿宋_GB2312" w:cs="仿宋_GB2312" w:eastAsia="仿宋_GB2312"/>
              </w:rPr>
              <w:t>。</w:t>
            </w:r>
          </w:p>
          <w:p>
            <w:pPr>
              <w:pStyle w:val="null3"/>
              <w:ind w:firstLine="400"/>
            </w:pPr>
            <w:r>
              <w:rPr>
                <w:rFonts w:ascii="仿宋_GB2312" w:hAnsi="仿宋_GB2312" w:cs="仿宋_GB2312" w:eastAsia="仿宋_GB2312"/>
              </w:rPr>
              <w:t>2.</w:t>
            </w:r>
            <w:r>
              <w:rPr>
                <w:rFonts w:ascii="仿宋_GB2312" w:hAnsi="仿宋_GB2312" w:cs="仿宋_GB2312" w:eastAsia="仿宋_GB2312"/>
              </w:rPr>
              <w:t>项目实施保障</w:t>
            </w:r>
          </w:p>
          <w:p>
            <w:pPr>
              <w:pStyle w:val="null3"/>
              <w:ind w:firstLine="400"/>
            </w:pPr>
            <w:r>
              <w:rPr>
                <w:rFonts w:ascii="仿宋_GB2312" w:hAnsi="仿宋_GB2312" w:cs="仿宋_GB2312" w:eastAsia="仿宋_GB2312"/>
              </w:rPr>
              <w:t>中标单位需为项目实施提供专业化、规范化、高品质的服务，针对项目团队组织、项目进度管理、实施过程、项目管理、质量保障等方面提出一套完整的实施方案。</w:t>
            </w:r>
          </w:p>
          <w:p>
            <w:pPr>
              <w:pStyle w:val="null3"/>
              <w:ind w:firstLine="400"/>
            </w:pPr>
            <w:r>
              <w:rPr>
                <w:rFonts w:ascii="仿宋_GB2312" w:hAnsi="仿宋_GB2312" w:cs="仿宋_GB2312" w:eastAsia="仿宋_GB2312"/>
              </w:rPr>
              <w:t>3.</w:t>
            </w:r>
            <w:r>
              <w:rPr>
                <w:rFonts w:ascii="仿宋_GB2312" w:hAnsi="仿宋_GB2312" w:cs="仿宋_GB2312" w:eastAsia="仿宋_GB2312"/>
              </w:rPr>
              <w:t>项目验收要求</w:t>
            </w:r>
          </w:p>
          <w:p>
            <w:pPr>
              <w:pStyle w:val="null3"/>
              <w:ind w:firstLine="400"/>
            </w:pPr>
            <w:r>
              <w:rPr>
                <w:rFonts w:ascii="仿宋_GB2312" w:hAnsi="仿宋_GB2312" w:cs="仿宋_GB2312" w:eastAsia="仿宋_GB2312"/>
              </w:rPr>
              <w:t>1)</w:t>
            </w:r>
            <w:r>
              <w:rPr>
                <w:rFonts w:ascii="仿宋_GB2312" w:hAnsi="仿宋_GB2312" w:cs="仿宋_GB2312" w:eastAsia="仿宋_GB2312"/>
              </w:rPr>
              <w:t>经过试运行期后，且无重大事故发生，在提交全部相关文档、代码等交付物的前提下，中标单位可以向采购方提出系统验收申请，进行验收，验收应由采购方邀请有关专家组织现场验收。</w:t>
            </w:r>
          </w:p>
          <w:p>
            <w:pPr>
              <w:pStyle w:val="null3"/>
              <w:ind w:firstLine="400"/>
            </w:pPr>
            <w:r>
              <w:rPr>
                <w:rFonts w:ascii="仿宋_GB2312" w:hAnsi="仿宋_GB2312" w:cs="仿宋_GB2312" w:eastAsia="仿宋_GB2312"/>
              </w:rPr>
              <w:t>2)</w:t>
            </w:r>
            <w:r>
              <w:rPr>
                <w:rFonts w:ascii="仿宋_GB2312" w:hAnsi="仿宋_GB2312" w:cs="仿宋_GB2312" w:eastAsia="仿宋_GB2312"/>
              </w:rPr>
              <w:t>项目成果提交包括以下：</w:t>
            </w:r>
          </w:p>
          <w:p>
            <w:pPr>
              <w:pStyle w:val="null3"/>
              <w:ind w:firstLine="400"/>
            </w:pPr>
            <w:r>
              <w:rPr>
                <w:rFonts w:ascii="仿宋_GB2312" w:hAnsi="仿宋_GB2312" w:cs="仿宋_GB2312" w:eastAsia="仿宋_GB2312"/>
              </w:rPr>
              <w:t>（</w:t>
            </w:r>
            <w:r>
              <w:rPr>
                <w:rFonts w:ascii="仿宋_GB2312" w:hAnsi="仿宋_GB2312" w:cs="仿宋_GB2312" w:eastAsia="仿宋_GB2312"/>
              </w:rPr>
              <w:t>1）系统安装文件、源代码及详细说明文档；</w:t>
            </w:r>
          </w:p>
          <w:p>
            <w:pPr>
              <w:pStyle w:val="null3"/>
              <w:ind w:firstLine="400"/>
            </w:pPr>
            <w:r>
              <w:rPr>
                <w:rFonts w:ascii="仿宋_GB2312" w:hAnsi="仿宋_GB2312" w:cs="仿宋_GB2312" w:eastAsia="仿宋_GB2312"/>
              </w:rPr>
              <w:t>（</w:t>
            </w:r>
            <w:r>
              <w:rPr>
                <w:rFonts w:ascii="仿宋_GB2312" w:hAnsi="仿宋_GB2312" w:cs="仿宋_GB2312" w:eastAsia="仿宋_GB2312"/>
              </w:rPr>
              <w:t>2）项目实施过程中产生的各类文档，包括各类规范及标准化成果文档；</w:t>
            </w:r>
          </w:p>
          <w:p>
            <w:pPr>
              <w:pStyle w:val="null3"/>
              <w:ind w:firstLine="400"/>
            </w:pPr>
            <w:r>
              <w:rPr>
                <w:rFonts w:ascii="仿宋_GB2312" w:hAnsi="仿宋_GB2312" w:cs="仿宋_GB2312" w:eastAsia="仿宋_GB2312"/>
              </w:rPr>
              <w:t>（</w:t>
            </w:r>
            <w:r>
              <w:rPr>
                <w:rFonts w:ascii="仿宋_GB2312" w:hAnsi="仿宋_GB2312" w:cs="仿宋_GB2312" w:eastAsia="仿宋_GB2312"/>
              </w:rPr>
              <w:t>3）系统开发及项目实施等相关文档，包括但不限于项目实施计划、项目需求说明书、设计说明书、测试报告、操作手册、部署手册。</w:t>
            </w:r>
          </w:p>
          <w:p>
            <w:pPr>
              <w:pStyle w:val="null3"/>
              <w:ind w:firstLine="600"/>
            </w:pPr>
            <w:r>
              <w:rPr>
                <w:rFonts w:ascii="仿宋_GB2312" w:hAnsi="仿宋_GB2312" w:cs="仿宋_GB2312" w:eastAsia="仿宋_GB2312"/>
              </w:rPr>
              <w:t>4.</w:t>
            </w:r>
            <w:r>
              <w:rPr>
                <w:rFonts w:ascii="仿宋_GB2312" w:hAnsi="仿宋_GB2312" w:cs="仿宋_GB2312" w:eastAsia="仿宋_GB2312"/>
              </w:rPr>
              <w:t>保密工作要求</w:t>
            </w:r>
          </w:p>
          <w:p>
            <w:pPr>
              <w:pStyle w:val="null3"/>
              <w:ind w:firstLine="600"/>
            </w:pPr>
            <w:r>
              <w:rPr>
                <w:rFonts w:ascii="仿宋_GB2312" w:hAnsi="仿宋_GB2312" w:cs="仿宋_GB2312" w:eastAsia="仿宋_GB2312"/>
              </w:rPr>
              <w:t>中标单位应为本项目所配备的人员须与采购方签订由采购方制定的保密协议，并遵照执行。</w:t>
            </w:r>
          </w:p>
          <w:p>
            <w:pPr>
              <w:pStyle w:val="null3"/>
              <w:ind w:firstLine="402"/>
            </w:pPr>
            <w:r>
              <w:rPr>
                <w:rFonts w:ascii="仿宋_GB2312" w:hAnsi="仿宋_GB2312" w:cs="仿宋_GB2312" w:eastAsia="仿宋_GB2312"/>
                <w:b/>
              </w:rPr>
              <w:t>（六）服务要求</w:t>
            </w:r>
          </w:p>
          <w:p>
            <w:pPr>
              <w:pStyle w:val="null3"/>
              <w:ind w:firstLine="6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服务期限：在运维服务期内，对于影响平台正常。运行的故障修复时间不超过</w:t>
            </w:r>
            <w:r>
              <w:rPr>
                <w:rFonts w:ascii="仿宋_GB2312" w:hAnsi="仿宋_GB2312" w:cs="仿宋_GB2312" w:eastAsia="仿宋_GB2312"/>
              </w:rPr>
              <w:t>12小时，重大问题应立即启动应急预案，保障平台正常使用，并尽快修复问题。</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服务人员：安排参与本项目实施、并对本项目熟悉的人员负责本项目的运维服务。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自合同签订之日起至2026年12月31日止；成交人需完成所有磋商文件要求工作，并通过项目验收。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陕西省自然资源信息中心（陕西省地质资料档案馆）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预付款，合同签订后，乙方向甲方出具等额的符合国家规定的发票，达到付款条件起15个工作日内，支付合同总金额的60.0%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进度款，完成项目建设内容并验收通过后，乙方向甲方出具等额的符合国家规定的发票，达到付款条件起15个工作日内，支付合同总金额的40.0%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1、按《中华人民共和国民法典》以及相关法律的条款执行。 2、乙方履约延误 2- 1、如乙方事先未征得甲方同意并得到甲方的谅解而单方面延迟执行合同，每延误一天的赔偿费按合同金额的百分之零点五 （0.5%）计收。误期赔偿费的最高限额 为合同价格的百分之五（5%）。一旦达到误期赔偿费的最高限额，甲方可终止合 同。 2-2、在履行合同过程中，如果乙方遇 到可能妨碍按时提供产品服务的情况，应及时以书面形式将拖延的事实，可能拖 延的期限和理由通知甲方。甲方在收到乙方通知后，应尽快对情况进行评价，并确定是否通过修改合同，酌情延长服务时间 或对乙方加收误期赔偿金。每延误一周的赔偿费 按合同金额的百分之零点五（0.5%）计收，直至提供服务为止。误期赔偿费 的最高限额为合同价格的百分之五（5%）。一 旦达到误期赔偿费的最高限额，甲方可终止合同。 3、违约终止合同：未按合 同要求提供相应数量产品服务或不能满足技术要求以及不合格产品等违约行为，甲方会同监督机构有权终止合同，对乙方违 约行为进行追究，乙方须退回甲方前期支付的费用，同时支付合同金额5%的赔偿金，不足以弥补损失的，据实增加赔偿金 额，并按政府采购法的有关规定进行相应的处罚。 4、本合同履行过程中，如因乙方违约，甲方提起诉讼的，乙方应当承担甲 方为实现权利而产生的费用，包括但不限于诉讼 费、律师费、鉴定费、评估费等费用。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成交供应商需在项⽬结束后提交纸投标⽂件正本壹份、副本贰份、（与线上电⼦投标⽂件⼀致，胶装后封⾯盖鲜章）。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有效的资格主体证明</w:t>
            </w:r>
          </w:p>
        </w:tc>
        <w:tc>
          <w:tcPr>
            <w:tcW w:type="dxa" w:w="3322"/>
          </w:tcPr>
          <w:p>
            <w:pPr>
              <w:pStyle w:val="null3"/>
            </w:pPr>
            <w:r>
              <w:rPr>
                <w:rFonts w:ascii="仿宋_GB2312" w:hAnsi="仿宋_GB2312" w:cs="仿宋_GB2312" w:eastAsia="仿宋_GB2312"/>
              </w:rPr>
              <w:t>供应商应为具有独⽴承担⺠事责任能⼒的法⼈或其他组织，提供法⼈或者其他组织的营业执照 等证明⽂件，⾃然⼈的⾝份证明。供应商需在项⽬电⼦化交易系统中按要求提供相关证明材料并进⾏电⼦签章。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法⼈代表授权委托书</w:t>
            </w:r>
          </w:p>
        </w:tc>
        <w:tc>
          <w:tcPr>
            <w:tcW w:type="dxa" w:w="3322"/>
          </w:tcPr>
          <w:p>
            <w:pPr>
              <w:pStyle w:val="null3"/>
            </w:pPr>
            <w:r>
              <w:rPr>
                <w:rFonts w:ascii="仿宋_GB2312" w:hAnsi="仿宋_GB2312" w:cs="仿宋_GB2312" w:eastAsia="仿宋_GB2312"/>
              </w:rPr>
              <w:t>供应商为法⼈单位的法定代表⼈亲⾃参加投标时，须提供本⼈⾝份证复印件；法定代表⼈授权他⼈参加投标时，须提供法定代表⼈委托授权书，同时提供被授权代表开标前六⽉内任意⼀个⽉在投标⼈单位的社保缴纳证 明材料。（投标⼈为⾮法⼈单位的）投标⽂件中凡是需要法定代表⼈签字或盖章之处 ，⾮法⼈单位的负责⼈均参照执⾏。</w:t>
            </w:r>
          </w:p>
        </w:tc>
        <w:tc>
          <w:tcPr>
            <w:tcW w:type="dxa" w:w="1661"/>
          </w:tcPr>
          <w:p>
            <w:pPr>
              <w:pStyle w:val="null3"/>
            </w:pPr>
            <w:r>
              <w:rPr>
                <w:rFonts w:ascii="仿宋_GB2312" w:hAnsi="仿宋_GB2312" w:cs="仿宋_GB2312" w:eastAsia="仿宋_GB2312"/>
              </w:rPr>
              <w:t>供应商应提交的相关资格证明材料 法定代表人身份证明书及法人委托授权书格式.docx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提供经审计的2025年度的财务报告或提交磋商响应⽂件截⽌时间前六个⽉内其基本账⼾开⼾银⾏出 具的资信证明；其他组织和⾃然⼈提供银⾏出具的资信证明或财务报表；供应商需在项⽬电⼦化交易系统中按要求提供相关证 明材料并进⾏电⼦签章。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提供2025年8⽉⾄今任意⼀个⽉已缴存的社会保障资⾦缴存单据或社保机构开具的社会保险 参保缴费证明，依法不需要缴纳社会保障资⾦的单位应提供相关证明材料；供应商需在项⽬电⼦化交易系统中按要求提供相关 证明材料并进⾏电⼦签章。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提供2025年8⽉⾄今任意⼀个⽉的纳税证明或税务机关开具的完税证明，依法免税的单位应提供相关 证明材料；供应商需在项⽬电⼦化交易系统中按要求提供相关证明材料并进⾏电⼦签章。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信⽤记录查询</w:t>
            </w:r>
          </w:p>
        </w:tc>
        <w:tc>
          <w:tcPr>
            <w:tcW w:type="dxa" w:w="3322"/>
          </w:tcPr>
          <w:p>
            <w:pPr>
              <w:pStyle w:val="null3"/>
            </w:pPr>
            <w:r>
              <w:rPr>
                <w:rFonts w:ascii="仿宋_GB2312" w:hAnsi="仿宋_GB2312" w:cs="仿宋_GB2312" w:eastAsia="仿宋_GB2312"/>
              </w:rPr>
              <w:t>供应商不得为“信⽤中国”⽹站（www.creditchina.gov.cn）被列⼊“失信被执⾏⼈”“重⼤税收违法 案件当事⼈名单”的供应商，不得为“中国政府采”(www.ccgp.gov.cn)被列⼊“政府采购严重违法失信⾏为记录名单”的 供应商。以代理机构开标当天在相关⽹站查询结果为准。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⽆重⼤违法记录声明</w:t>
            </w:r>
          </w:p>
        </w:tc>
        <w:tc>
          <w:tcPr>
            <w:tcW w:type="dxa" w:w="3322"/>
          </w:tcPr>
          <w:p>
            <w:pPr>
              <w:pStyle w:val="null3"/>
            </w:pPr>
            <w:r>
              <w:rPr>
                <w:rFonts w:ascii="仿宋_GB2312" w:hAnsi="仿宋_GB2312" w:cs="仿宋_GB2312" w:eastAsia="仿宋_GB2312"/>
              </w:rPr>
              <w:t>参加政府采购活动前三年内，在经营活动中没有重⼤违法记录：参加政府采购活动前三年内，在经营活动中没有重⼤违法记录提供书⾯声明；供应商需在项⽬电⼦化交易系统中按要求提供相关证明材料 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具有履⾏合同所必需的设备和专业技术能⼒</w:t>
            </w:r>
          </w:p>
        </w:tc>
        <w:tc>
          <w:tcPr>
            <w:tcW w:type="dxa" w:w="3322"/>
          </w:tcPr>
          <w:p>
            <w:pPr>
              <w:pStyle w:val="null3"/>
            </w:pPr>
            <w:r>
              <w:rPr>
                <w:rFonts w:ascii="仿宋_GB2312" w:hAnsi="仿宋_GB2312" w:cs="仿宋_GB2312" w:eastAsia="仿宋_GB2312"/>
              </w:rPr>
              <w:t>提供书⾯声明，包括声明具有履⾏合同所必需的设备和专业技术能⼒；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与项⽬的⼀致性</w:t>
            </w:r>
          </w:p>
        </w:tc>
        <w:tc>
          <w:tcPr>
            <w:tcW w:type="dxa" w:w="3322"/>
          </w:tcPr>
          <w:p>
            <w:pPr>
              <w:pStyle w:val="null3"/>
            </w:pPr>
            <w:r>
              <w:rPr>
                <w:rFonts w:ascii="仿宋_GB2312" w:hAnsi="仿宋_GB2312" w:cs="仿宋_GB2312" w:eastAsia="仿宋_GB2312"/>
              </w:rPr>
              <w:t>磋商响应文件中项⽬名称、项⽬编号与本项⽬⼀致</w:t>
            </w:r>
          </w:p>
        </w:tc>
        <w:tc>
          <w:tcPr>
            <w:tcW w:type="dxa" w:w="1661"/>
          </w:tcPr>
          <w:p>
            <w:pPr>
              <w:pStyle w:val="null3"/>
            </w:pPr>
            <w:r>
              <w:rPr>
                <w:rFonts w:ascii="仿宋_GB2312" w:hAnsi="仿宋_GB2312" w:cs="仿宋_GB2312" w:eastAsia="仿宋_GB2312"/>
              </w:rPr>
              <w:t>响应文件封面 商务应答表 供应商应提交的相关资格证明材料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满⾜竞争性磋商⽂件要求的服务期限</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时满⾜以下条款：（1）货币单位符合采购⽂件要求（2）报价符合唯⼀性要求（3）未超出采购预算或最⾼限价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磋商响应⽂件签章</w:t>
            </w:r>
          </w:p>
        </w:tc>
        <w:tc>
          <w:tcPr>
            <w:tcW w:type="dxa" w:w="3322"/>
          </w:tcPr>
          <w:p>
            <w:pPr>
              <w:pStyle w:val="null3"/>
            </w:pPr>
            <w:r>
              <w:rPr>
                <w:rFonts w:ascii="仿宋_GB2312" w:hAnsi="仿宋_GB2312" w:cs="仿宋_GB2312" w:eastAsia="仿宋_GB2312"/>
              </w:rPr>
              <w:t>磋商响应⽂件签章均符合采购⽂件要求，且⽆遗漏。</w:t>
            </w:r>
          </w:p>
        </w:tc>
        <w:tc>
          <w:tcPr>
            <w:tcW w:type="dxa" w:w="1661"/>
          </w:tcPr>
          <w:p>
            <w:pPr>
              <w:pStyle w:val="null3"/>
            </w:pPr>
            <w:r>
              <w:rPr>
                <w:rFonts w:ascii="仿宋_GB2312" w:hAnsi="仿宋_GB2312" w:cs="仿宋_GB2312" w:eastAsia="仿宋_GB2312"/>
              </w:rPr>
              <w:t>响应文件封面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其他⽆效磋商的情形</w:t>
            </w:r>
          </w:p>
        </w:tc>
        <w:tc>
          <w:tcPr>
            <w:tcW w:type="dxa" w:w="3322"/>
          </w:tcPr>
          <w:p>
            <w:pPr>
              <w:pStyle w:val="null3"/>
            </w:pPr>
            <w:r>
              <w:rPr>
                <w:rFonts w:ascii="仿宋_GB2312" w:hAnsi="仿宋_GB2312" w:cs="仿宋_GB2312" w:eastAsia="仿宋_GB2312"/>
              </w:rPr>
              <w:t>没有出现法律法规或磋商⽂件明确规定的其他被视为“⽆效磋商”的情形及未实质性响应磋商⽂件的情况。</w:t>
            </w:r>
          </w:p>
        </w:tc>
        <w:tc>
          <w:tcPr>
            <w:tcW w:type="dxa" w:w="1661"/>
          </w:tcPr>
          <w:p>
            <w:pPr>
              <w:pStyle w:val="null3"/>
            </w:pPr>
            <w:r>
              <w:rPr>
                <w:rFonts w:ascii="仿宋_GB2312" w:hAnsi="仿宋_GB2312" w:cs="仿宋_GB2312" w:eastAsia="仿宋_GB2312"/>
              </w:rPr>
              <w:t>响应文件封面 供应商应提交的相关资格证明材料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根据各投标文件对本项目的建设背景、建设目标、业务分析、建设需求是否准确、全面、详细，进行综合评议：A.描述全面完整，需求理解把握准确，分析到位，解决措施科学完善、切实可行，得12分；B.描述较为全面，需求理解较为准确，分析基本合理，解决措施合理可行，得9分；C.描述基本全面，需求理解基本准确，分析简单，解决措施基本合理可行，得6分； C.描述简单，需求理解有偏差，分析欠缺，得4分； D.内容简单笼统，缺少可行性，得2分； E.其他或未提供不得分。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根据各投标文件对深化平台功能应用、省市两级数据贯通、畅通跨部门数据共享与全省全面推广等相关业务应用的功能设计描述，是否完全响应招标要求、内容是否清晰、合理方面进行综合评议： A.方案详尽，合理可行，逻辑清楚，针对性及可行性强，得12分； B.方案较完善，有一定的逻辑性、针对性、可行性，得9分； C.方案内容基本合理，基本可行得6分； D.方案内容简单笼统，方案针对性一般得4分； E.方案内容缺失、方案针对性较差得2分； F.其他或未提供不得分。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对实施方案的完整性、合理性进行打分，实施方案包括进度计划、人员配置、项目实施管理措施、安全保障措施、系统培训等内容： A.方案详尽，合理可行，逻辑清楚，针对性及可行性强，得9分； B.方案较完善，有一定的逻辑性、针对性、可行性，得7分； C.方案内容基本合理，基本可行得5分； D.方案内容简单笼统，方案针对性一般得3分； E.方案内容缺失、方案针对性较差得1分； F.其他或未提供不得分。无相关内容，或内容过于简单无法评价的不得分。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1、供应商具备ISO9001质量管理体系、ISO14001环境管理体系、ISO45001职业健康安全管理体系，ISO27001信息安全管理体系、ISO20000信息技术服务管理体系认证证书每提供一个证书得1分； 2、供应商提供 ITSS信息技术服务标准符合性证书的得2分，否则不得分； 3、供应商提供信息系统建设和服务能力认证（CS）的得2分，否则不得分； 2、具备五星级售后服务认证证书的得1分。 注：需提供相关证书(有效期内）复印件（或扫描件）并加盖公章证书应在有效期内，否则不得分。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投入人员配备</w:t>
            </w:r>
          </w:p>
        </w:tc>
        <w:tc>
          <w:tcPr>
            <w:tcW w:type="dxa" w:w="2492"/>
          </w:tcPr>
          <w:p>
            <w:pPr>
              <w:pStyle w:val="null3"/>
            </w:pPr>
            <w:r>
              <w:rPr>
                <w:rFonts w:ascii="仿宋_GB2312" w:hAnsi="仿宋_GB2312" w:cs="仿宋_GB2312" w:eastAsia="仿宋_GB2312"/>
              </w:rPr>
              <w:t>1、拟派项目负责人具备信息系统项目管理师证书，同时具备正高级职称的得3分，不满足不得分； 2、拟派项目技术负责人具备注册测绘师证书，同时具备正高级职称及地理信息安全保密培训合格证明的得3分，不满足不得分； 3、拟派项目组成员（项目负责人、技术负责人除外）具有注册测绘师资格证书，每人得1分，最高得4分； 4、拟派项目组成员（项目负责人、技术负责人除外）具有软件设计师证书的每提供一个得1分，最高得3分； 5、拟派项目组成员（项目负责人、技术负责人除外）具有系统集成项目管理工程师证书的每提供一个得1分，最高得3分。 注：应提供证书（需在有效期内）复印件（或扫描件）加盖单位公章，和供应商半年内任意一个月为其缴纳社保的证明，未提供或材料不合格者不得分。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1、对售后服务方案内容，包括售后服务体系、售后服务期限、 售后服务响应、售后服务人员、售后服务内容等方面进行综合评价： A.方案详尽，合理可行，逻辑清楚，针对性及可行性强，得5分； B.方案较完善，有一定的逻辑性、针对性、可行性，得4分； C.方案内容基本合理，基本可行得3分； D.方案内容简单笼统，方案针对性一般得2分； E.方案内容缺失、方案针对性较差得1分； F.其他或未提供不得分。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w:t>
            </w:r>
          </w:p>
        </w:tc>
        <w:tc>
          <w:tcPr>
            <w:tcW w:type="dxa" w:w="2492"/>
          </w:tcPr>
          <w:p>
            <w:pPr>
              <w:pStyle w:val="null3"/>
            </w:pPr>
            <w:r>
              <w:rPr>
                <w:rFonts w:ascii="仿宋_GB2312" w:hAnsi="仿宋_GB2312" w:cs="仿宋_GB2312" w:eastAsia="仿宋_GB2312"/>
              </w:rPr>
              <w:t>供应商具有与自然资源相关的软件著作权登记证书或专利证书的，每提供一个得1分，最多得10分。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具备本地化服务能力，包括但不限于在采购方所在地有固定经营场所或能及时有效提供本地化服务等，得4分，不足或未提供不得分。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供应商提供2022年1月1日至今地理信息系统开发类项目业绩（以合同签订日期为准），每提供1个得2分，最高得10分。备注：响应文件中提供合同复印件加盖公章。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类似业绩一览表（1）.docx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供应商针对本项目提交的保密承诺，承诺内容包含但不限于本项目服务要求内容；提供保密承诺的得2分，未提供的不得分。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1、经初审合格的磋商文件，其磋商二次最终的报价为有效磋商报价； 2、满足磋商文 件要求且最终提交价格最低的磋商报价为评标基准价。 3、磋商报价得分=(评审基准 价／磋商总报价)×10磋商报价不完整的，本项得0分。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详见附件：类似业绩一览表（1）.docx</w:t>
      </w:r>
    </w:p>
    <w:p>
      <w:pPr>
        <w:pStyle w:val="null3"/>
        <w:ind w:firstLine="960"/>
      </w:pPr>
      <w:r>
        <w:rPr>
          <w:rFonts w:ascii="仿宋_GB2312" w:hAnsi="仿宋_GB2312" w:cs="仿宋_GB2312" w:eastAsia="仿宋_GB2312"/>
        </w:rPr>
        <w:t>详见附件：法定代表人身份证明书及法人委托授权书格式.docx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详见附件：政府采购合同0812.定.docx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