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版本号：GXHC-20260720260512001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第三中学2026-2027年专项服务采购项目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GXHC-202607</w:t>
      </w:r>
      <w:r>
        <w:br/>
      </w:r>
      <w:r>
        <w:br/>
      </w:r>
      <w:r>
        <w:br/>
      </w:r>
    </w:p>
    <w:p>
      <w:pPr>
        <w:pStyle w:val="null3"/>
        <w:jc w:val="center"/>
        <w:outlineLvl w:val="2"/>
      </w:pPr>
      <w:r>
        <w:rPr>
          <w:rFonts w:ascii="仿宋_GB2312" w:hAnsi="仿宋_GB2312" w:cs="仿宋_GB2312" w:eastAsia="仿宋_GB2312"/>
          <w:sz w:val="28"/>
          <w:b/>
        </w:rPr>
        <w:t>商洛市第三中学</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商洛市第三中学</w:t>
      </w:r>
      <w:r>
        <w:rPr>
          <w:rFonts w:ascii="仿宋_GB2312" w:hAnsi="仿宋_GB2312" w:cs="仿宋_GB2312" w:eastAsia="仿宋_GB2312"/>
        </w:rPr>
        <w:t>委托，拟对</w:t>
      </w:r>
      <w:r>
        <w:rPr>
          <w:rFonts w:ascii="仿宋_GB2312" w:hAnsi="仿宋_GB2312" w:cs="仿宋_GB2312" w:eastAsia="仿宋_GB2312"/>
        </w:rPr>
        <w:t>第三中学2026-2027年专项服务采购项目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GXHC-202607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第三中学2026-2027年专项服务采购项目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第三中学2026-2027年专项服务采购项目，项目地点：商州区沙河子镇西涧村商洛市第三中学院内，项目采购内容：为保障校园师生人身安全与财产安全，维护校园正常教学、生活秩序，落实校园安全管理要求，提升校园应急处置能力，需增加服务人员28名。其中学生管教17名、厨师4名、安保6人，保洁1名。具体要求详见磋商文件及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采购包1（第三中学2026-2027年专项服务采购项目）：属于专门面向中小企业采购。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3、网站截图：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4、书面声明：提供具有履行本合同所必需的设备和专业技术能力的声明。</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6、落实政府采购政策需满足的资格要求：本项目专门面向中小企业采购（残疾人福利性单位、监狱企业视同中小企业）</w:t>
      </w:r>
    </w:p>
    <w:p>
      <w:pPr>
        <w:pStyle w:val="null3"/>
      </w:pPr>
      <w:r>
        <w:rPr>
          <w:rFonts w:ascii="仿宋_GB2312" w:hAnsi="仿宋_GB2312" w:cs="仿宋_GB2312" w:eastAsia="仿宋_GB2312"/>
        </w:rPr>
        <w:t>7、保证金缴纳：提供本项目投标保证金交纳凭证；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商洛市商州区沙河子镇西涧村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商洛市第三中学经办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18091408373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陕西省商洛市商州区商郡城2幢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13154078736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采购包1：1,891,027.00元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商洛市第三中学</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满足国家、行业规范及采购要求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联系人：李昱</w:t>
      </w:r>
    </w:p>
    <w:p>
      <w:pPr>
        <w:pStyle w:val="null3"/>
      </w:pPr>
      <w:r>
        <w:rPr>
          <w:rFonts w:ascii="仿宋_GB2312" w:hAnsi="仿宋_GB2312" w:cs="仿宋_GB2312" w:eastAsia="仿宋_GB2312"/>
        </w:rPr>
        <w:t>联系电话：0914-8080065</w:t>
      </w:r>
    </w:p>
    <w:p>
      <w:pPr>
        <w:pStyle w:val="null3"/>
      </w:pPr>
      <w:r>
        <w:rPr>
          <w:rFonts w:ascii="仿宋_GB2312" w:hAnsi="仿宋_GB2312" w:cs="仿宋_GB2312" w:eastAsia="仿宋_GB2312"/>
        </w:rPr>
        <w:t>地址：商洛市商郡城北门2幢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第三中学2026-2027年专项服务采购项目，项目地点：商州区沙河子镇西涧村商洛市第三中学院内，项目采购内容：为保障校园师生人身安全与财产安全，维护校园正常教学、生活秩序，落实校园安全管理要求，提升校园应急处置能力，需增加服务人员28名。其中学生管教17名、厨师4名、安保6人，保洁1名。具体要求详见磋商文件及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1,891,027.00</w:t>
      </w:r>
    </w:p>
    <w:p>
      <w:pPr>
        <w:pStyle w:val="null3"/>
      </w:pPr>
      <w:r>
        <w:rPr>
          <w:rFonts w:ascii="仿宋_GB2312" w:hAnsi="仿宋_GB2312" w:cs="仿宋_GB2312" w:eastAsia="仿宋_GB2312"/>
        </w:rPr>
        <w:t>采购包最高限价（元）: 1,891,027.00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管教厨师等劳务派遣</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1,891,027.00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标的名称：管教厨师等劳务派遣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一、人员配置</w:t>
            </w:r>
          </w:p>
          <w:p>
            <w:pPr>
              <w:pStyle w:val="null3"/>
              <w:jc w:val="left"/>
            </w:pPr>
            <w:r>
              <w:rPr>
                <w:rFonts w:ascii="仿宋_GB2312" w:hAnsi="仿宋_GB2312" w:cs="仿宋_GB2312" w:eastAsia="仿宋_GB2312"/>
                <w:sz w:val="24"/>
                <w:color w:val="000000"/>
              </w:rPr>
              <w:t>（1）、管教人员</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年龄30岁以内，退役军人。主要负责：学生日常行为管理和习惯养成教育；夜间值班、宿舍巡查、周末陪护；配合教师开展行为矫治和心理疏导；突发事件应急处置。</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17，</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（2）、保安人员</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要求年龄45岁以内，持有保安员证。1、负责所属区域停车场服务与管理 2、配备门房出入管理，24小时维稳保安，夜间巡视不少于2小时。3、负责每日的的安全保卫工作； 4、已配备的安防设施设备等（如门禁系统）须按相关管理规定实施管理保养，确保性能完好。</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6，</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（3）、大厨</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 xml:space="preserve">1、餐厅的食品加工制作（包含热菜、凉菜小吃面点制作）、卫生防疫、就餐环境等必须达到国家相关规定的卫生标准。 2、服务方须每周/月/季度（根据实际情况，调整）拟定食谱，经主管部门审核后实施。3、严格管理、妥善保管餐厅设施设备及各类餐具用具；  </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副厨</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1、餐厅的食品加工制作（包含热菜、凉菜小吃面点制作）、卫生防疫、就餐环境等必须达到国家相关规定的卫生标准。 2、服务方须每周/月/季度（根据实际情况，调整）拟定食谱，经主管部门审核后实施。3、严格管理、妥善保管餐厅设施设备及各类餐具用具；</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（5）、帮厨</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1、餐厅的食品加工制作（包含热菜、凉菜小吃面点制作）、卫生防疫、就餐环境等必须达到国家相关规定的卫生标准。 2、服务方须每周/月/季度（根据实际情况，调整）拟定食谱，经主管部门审核后实施。3、严格管理、妥善保管餐厅设施设备及各类餐具用具；</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（6）、配菜</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1、餐厅的食品加工制作（包含热菜、凉菜小吃面点制作）、卫生防疫、就餐环境等必须达到国家相关规定的卫生标准。 2、服务方须每周/月/季度（根据实际情况，调整）拟定食谱，经主管部门审核后实施。3、严格管理、妥善保管餐厅设施设备及各类餐具用具；</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（7）、保洁服务人员</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1、负责所属区域保洁工作，争取使用保洁设备，负责所属区域内水电设备运行情况的反映。2、所有保洁人员完成公共区域卫生保洁任务，每周≥2次.（会议室、活动室、院内等）；</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名，</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color w:val="000000"/>
              </w:rPr>
              <w:t>二、其他费用</w:t>
            </w:r>
          </w:p>
          <w:p>
            <w:pPr>
              <w:pStyle w:val="null3"/>
              <w:jc w:val="left"/>
            </w:pPr>
            <w:r>
              <w:rPr>
                <w:rFonts w:ascii="仿宋_GB2312" w:hAnsi="仿宋_GB2312" w:cs="仿宋_GB2312" w:eastAsia="仿宋_GB2312"/>
                <w:sz w:val="24"/>
                <w:color w:val="000000"/>
              </w:rPr>
              <w:t>1、装备费用等</w:t>
            </w:r>
          </w:p>
          <w:p>
            <w:pPr>
              <w:pStyle w:val="null3"/>
              <w:jc w:val="left"/>
            </w:pPr>
            <w:r>
              <w:rPr>
                <w:rFonts w:ascii="仿宋_GB2312" w:hAnsi="仿宋_GB2312" w:cs="仿宋_GB2312" w:eastAsia="仿宋_GB2312"/>
                <w:sz w:val="24"/>
                <w:color w:val="000000"/>
              </w:rPr>
              <w:t>两季两套服装、员工福利、培训费、基础保洁用具等；</w:t>
            </w:r>
          </w:p>
          <w:p>
            <w:pPr>
              <w:pStyle w:val="null3"/>
              <w:jc w:val="left"/>
            </w:pP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项，</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r>
              <w:rPr>
                <w:rFonts w:ascii="仿宋_GB2312" w:hAnsi="仿宋_GB2312" w:cs="仿宋_GB2312" w:eastAsia="仿宋_GB2312"/>
                <w:sz w:val="24"/>
                <w:b/>
                <w:color w:val="000000"/>
              </w:rPr>
              <w:t>实际数量（人）：</w:t>
            </w:r>
            <w:r>
              <w:rPr>
                <w:rFonts w:ascii="仿宋_GB2312" w:hAnsi="仿宋_GB2312" w:cs="仿宋_GB2312" w:eastAsia="仿宋_GB2312"/>
                <w:sz w:val="24"/>
                <w:color w:val="000000"/>
              </w:rPr>
              <w:t>28</w:t>
            </w:r>
          </w:p>
          <w:p>
            <w:pPr>
              <w:pStyle w:val="null3"/>
              <w:jc w:val="both"/>
            </w:pPr>
            <w:r>
              <w:rPr>
                <w:rFonts w:ascii="仿宋_GB2312" w:hAnsi="仿宋_GB2312" w:cs="仿宋_GB2312" w:eastAsia="仿宋_GB2312"/>
                <w:sz w:val="24"/>
                <w:color w:val="000000"/>
              </w:rPr>
              <w:t>2、员工社保缴纳金额</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按商洛市社保缴纳标准，共计28人（至少包含但不限于：养老+工伤）；</w:t>
            </w:r>
          </w:p>
          <w:p>
            <w:pPr>
              <w:pStyle w:val="null3"/>
              <w:jc w:val="left"/>
            </w:pP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人，</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28</w:t>
            </w:r>
            <w:r>
              <w:rPr>
                <w:rFonts w:ascii="仿宋_GB2312" w:hAnsi="仿宋_GB2312" w:cs="仿宋_GB2312" w:eastAsia="仿宋_GB2312"/>
                <w:sz w:val="24"/>
                <w:b/>
                <w:color w:val="000000"/>
              </w:rPr>
              <w:t>实际数量（月）：</w:t>
            </w:r>
            <w:r>
              <w:rPr>
                <w:rFonts w:ascii="仿宋_GB2312" w:hAnsi="仿宋_GB2312" w:cs="仿宋_GB2312" w:eastAsia="仿宋_GB2312"/>
                <w:sz w:val="24"/>
                <w:color w:val="000000"/>
              </w:rPr>
              <w:t>12</w:t>
            </w:r>
          </w:p>
          <w:p>
            <w:pPr>
              <w:pStyle w:val="null3"/>
              <w:jc w:val="both"/>
            </w:pPr>
            <w:r>
              <w:rPr>
                <w:rFonts w:ascii="仿宋_GB2312" w:hAnsi="仿宋_GB2312" w:cs="仿宋_GB2312" w:eastAsia="仿宋_GB2312"/>
                <w:sz w:val="24"/>
                <w:color w:val="000000"/>
              </w:rPr>
              <w:t>3、公司运营管理费用</w:t>
            </w:r>
          </w:p>
          <w:p>
            <w:pPr>
              <w:pStyle w:val="null3"/>
              <w:jc w:val="left"/>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按人员支出总费用5%计取；</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项，</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p>
          <w:p>
            <w:pPr>
              <w:pStyle w:val="null3"/>
              <w:jc w:val="both"/>
            </w:pPr>
            <w:r>
              <w:rPr>
                <w:rFonts w:ascii="仿宋_GB2312" w:hAnsi="仿宋_GB2312" w:cs="仿宋_GB2312" w:eastAsia="仿宋_GB2312"/>
                <w:sz w:val="24"/>
                <w:color w:val="000000"/>
              </w:rPr>
              <w:t>4、税金</w:t>
            </w:r>
          </w:p>
          <w:p>
            <w:pPr>
              <w:pStyle w:val="null3"/>
            </w:pPr>
            <w:r>
              <w:rPr>
                <w:rFonts w:ascii="仿宋_GB2312" w:hAnsi="仿宋_GB2312" w:cs="仿宋_GB2312" w:eastAsia="仿宋_GB2312"/>
                <w:sz w:val="24"/>
                <w:b/>
                <w:color w:val="000000"/>
              </w:rPr>
              <w:t>内容描述：</w:t>
            </w:r>
            <w:r>
              <w:rPr>
                <w:rFonts w:ascii="仿宋_GB2312" w:hAnsi="仿宋_GB2312" w:cs="仿宋_GB2312" w:eastAsia="仿宋_GB2312"/>
                <w:sz w:val="24"/>
                <w:color w:val="000000"/>
              </w:rPr>
              <w:t>运营3%计取；</w:t>
            </w:r>
            <w:r>
              <w:rPr>
                <w:rFonts w:ascii="仿宋_GB2312" w:hAnsi="仿宋_GB2312" w:cs="仿宋_GB2312" w:eastAsia="仿宋_GB2312"/>
                <w:sz w:val="24"/>
                <w:b/>
                <w:color w:val="000000"/>
              </w:rPr>
              <w:t>单位：</w:t>
            </w:r>
            <w:r>
              <w:rPr>
                <w:rFonts w:ascii="仿宋_GB2312" w:hAnsi="仿宋_GB2312" w:cs="仿宋_GB2312" w:eastAsia="仿宋_GB2312"/>
                <w:sz w:val="24"/>
                <w:color w:val="000000"/>
              </w:rPr>
              <w:t>项，</w:t>
            </w:r>
            <w:r>
              <w:rPr>
                <w:rFonts w:ascii="仿宋_GB2312" w:hAnsi="仿宋_GB2312" w:cs="仿宋_GB2312" w:eastAsia="仿宋_GB2312"/>
                <w:sz w:val="24"/>
                <w:b/>
                <w:color w:val="000000"/>
              </w:rPr>
              <w:t>数量：</w:t>
            </w:r>
            <w:r>
              <w:rPr>
                <w:rFonts w:ascii="仿宋_GB2312" w:hAnsi="仿宋_GB2312" w:cs="仿宋_GB2312" w:eastAsia="仿宋_GB2312"/>
                <w:sz w:val="24"/>
                <w:color w:val="000000"/>
              </w:rPr>
              <w:t>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三、其他事项</w:t>
            </w:r>
          </w:p>
          <w:p>
            <w:pPr>
              <w:pStyle w:val="null3"/>
            </w:pPr>
            <w:r>
              <w:rPr>
                <w:rFonts w:ascii="仿宋_GB2312" w:hAnsi="仿宋_GB2312" w:cs="仿宋_GB2312" w:eastAsia="仿宋_GB2312"/>
                <w:sz w:val="24"/>
              </w:rPr>
              <w:t>1、投标人拟派往本项目所有服务人员均需提供健康证。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服务人员28名，其中学生管教17名、厨师4名、安保6人，保洁1名。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商州区沙河子镇西涧村商洛市第三中学院内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满足国家、行业规范及采购要求。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本项目采用据实结算方式进行费用结算，最终结算费用按甲方实际核定的在岗派遣人员数量、实际出勤工时 / 在岗天数及合同约定单价据实核算，以双方确认的月度考勤、人员花名册及服务确认单为结算依据。实行按季度结算承包金。乙方须向甲方提供税票，甲方于次季度 10 日前支付上季度承包金</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于次季度 10 日前支付上季度承包金</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于次季度 10 日前支付上季度承包金</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于次季度 10 日前支付上季度承包金</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1.乙方未按合同规定履行合同条款，甲方有权按合同约定及有关规定进行处罚或终止合同。 2.乙方应制定相应的工作制度及安全措施，确保规范操作、文明礼仪、安全无误的做好各项服务。如乙方与员工发生争议或纠纷、工伤及不安全事故，均与甲方无关，概由乙方自负全责。 3.由于乙方原因给甲方造成损失的，由乙方承担全部赔偿责任。 4.由于甲方原因给乙方造成损失的，乙方有权要求赔偿责任。 5.甲、乙双方应当全面履行各自的权利和义务，共同遵守合同条款，否则构成违约，违约方应向对方支付违约金合同总额的5％。</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响应文件格式中”标的清单“以总价填写，分项报价填写在”响应服务分项报价表“中。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本项目专门面向中小企业采购（残疾人福利性单位、监狱企业视同中小企业）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提供本项目投标保证金交纳凭证；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响应服务分项报价表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响应文件上法定代表人或其授权代表人的签字齐全并加盖电子公章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响应服务分项报价表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响应服务分项报价表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响应服务分项报价表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未超出采购预算、超出经营范围投标</w:t>
            </w:r>
          </w:p>
        </w:tc>
        <w:tc>
          <w:tcPr>
            <w:tcW w:type="dxa" w:w="1661"/>
          </w:tcPr>
          <w:p>
            <w:pPr>
              <w:pStyle w:val="null3"/>
            </w:pPr>
            <w:r>
              <w:rPr>
                <w:rFonts w:ascii="仿宋_GB2312" w:hAnsi="仿宋_GB2312" w:cs="仿宋_GB2312" w:eastAsia="仿宋_GB2312"/>
              </w:rPr>
              <w:t>响应服务分项报价表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商务响应及合同条款</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 （6分）</w:t>
            </w:r>
          </w:p>
        </w:tc>
        <w:tc>
          <w:tcPr>
            <w:tcW w:type="dxa" w:w="2492"/>
          </w:tcPr>
          <w:p>
            <w:pPr>
              <w:pStyle w:val="null3"/>
            </w:pPr>
            <w:r>
              <w:rPr>
                <w:rFonts w:ascii="仿宋_GB2312" w:hAnsi="仿宋_GB2312" w:cs="仿宋_GB2312" w:eastAsia="仿宋_GB2312"/>
              </w:rPr>
              <w:t>提供近三年同类别的服务项目业绩（相同业主只认定一份业绩），每提供1份得2分，满分6分。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企业资质（6分）</w:t>
            </w:r>
          </w:p>
        </w:tc>
        <w:tc>
          <w:tcPr>
            <w:tcW w:type="dxa" w:w="2492"/>
          </w:tcPr>
          <w:p>
            <w:pPr>
              <w:pStyle w:val="null3"/>
            </w:pPr>
            <w:r>
              <w:rPr>
                <w:rFonts w:ascii="仿宋_GB2312" w:hAnsi="仿宋_GB2312" w:cs="仿宋_GB2312" w:eastAsia="仿宋_GB2312"/>
              </w:rPr>
              <w:t>具备劳务派遣资质、人力资源服务资质、提供具有公安机关批准的保安服务许可证，本企业在商洛市公安局的保安服务备案证明（企业注册地在商洛辖区以外的提供，商洛本地企业不提供），每提供一项得2分，满分6分；资质过期或无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财务状况 （6分）</w:t>
            </w:r>
          </w:p>
        </w:tc>
        <w:tc>
          <w:tcPr>
            <w:tcW w:type="dxa" w:w="2492"/>
          </w:tcPr>
          <w:p>
            <w:pPr>
              <w:pStyle w:val="null3"/>
            </w:pPr>
            <w:r>
              <w:rPr>
                <w:rFonts w:ascii="仿宋_GB2312" w:hAnsi="仿宋_GB2312" w:cs="仿宋_GB2312" w:eastAsia="仿宋_GB2312"/>
              </w:rPr>
              <w:t>供应商提供开标前半年内任意3个月的缴税凭证，每个月得1分，共计3分； 供应商提供社保参保证明及开标前半年内任意三个月社保缴费凭证，每个月得1分，共计3分；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 （10分）</w:t>
            </w:r>
          </w:p>
        </w:tc>
        <w:tc>
          <w:tcPr>
            <w:tcW w:type="dxa" w:w="2492"/>
          </w:tcPr>
          <w:p>
            <w:pPr>
              <w:pStyle w:val="null3"/>
            </w:pPr>
            <w:r>
              <w:rPr>
                <w:rFonts w:ascii="仿宋_GB2312" w:hAnsi="仿宋_GB2312" w:cs="仿宋_GB2312" w:eastAsia="仿宋_GB2312"/>
              </w:rPr>
              <w:t>总体服务方案（10分）：针对本项目用工模式，编制专属可行的服务实施方案。有比较完善的管理组织，清晰的列出主要针对本项目的管理流程。 ①方案针对性强、贴合项目现场、服务逻辑完整、管理流程清晰得8（含）-10分； ②方案基本合理、逻辑一般、少量套用通用模板得4（含）-7分； ③方案简单粗糙、针对性差、不符合本项目用工要求得1（含）-3分；未提供方案不得分。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服务保障（15分）</w:t>
            </w:r>
          </w:p>
        </w:tc>
        <w:tc>
          <w:tcPr>
            <w:tcW w:type="dxa" w:w="2492"/>
          </w:tcPr>
          <w:p>
            <w:pPr>
              <w:pStyle w:val="null3"/>
            </w:pPr>
            <w:r>
              <w:rPr>
                <w:rFonts w:ascii="仿宋_GB2312" w:hAnsi="仿宋_GB2312" w:cs="仿宋_GB2312" w:eastAsia="仿宋_GB2312"/>
              </w:rPr>
              <w:t>管教服务：结合本学校未成年学生管理特点，针对本项目服务内容制定针对性、完善的质量保障体系； ①质量管控架构清晰，具有日常巡查、考核考评、闭环整改监督机制，分岗位保障措施详实，实施计划完整合理，贴合校园后勤服务管理要求，能够有效保障服务质量得3（含）-4分； ②质量保障完整，具备基础管控流程，但岗位专项保障措施简单，缺少针对学生人性化管理细节，监督考核频次不完善，实施阶段划分粗略得1（含）-2分； 未提供本项目质量保障措施及实施计划，本项不得分 保洁管理服务：有详细的保洁服务方案，具有专业的保洁人员，自动化保洁设备，保洁时间安排合理、工具齐全、有具体的符合国家相关要求的服务质量标准、具体的服务质量自检措施及整改措施等得2分，本项可适当加分，最多再加1分；未提供者本项不得分。满分3分 安保管理服务：有详细的安保方案，岗位配备合理，操作规程规范，应急预案及支撑能力强的得3分，本项可适当加分，最多再加1分；未提供者本项不得分。满分4分 餐饮服务：有详尽的卫生管理办法；餐厨用具清洁、保养管理办法；餐饮服务主要保障工作人员具备一定的工作经验和业务素质，持有有效健康证；食品菜谱的制作标准，方案合理，可操作新强，描述清晰，且能针对性满足项目需求需求得3分，本项可适当加分，最多再加1分；未提供者本项不得分。满分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突发事件应急预案（5分）</w:t>
            </w:r>
          </w:p>
        </w:tc>
        <w:tc>
          <w:tcPr>
            <w:tcW w:type="dxa" w:w="2492"/>
          </w:tcPr>
          <w:p>
            <w:pPr>
              <w:pStyle w:val="null3"/>
            </w:pPr>
            <w:r>
              <w:rPr>
                <w:rFonts w:ascii="仿宋_GB2312" w:hAnsi="仿宋_GB2312" w:cs="仿宋_GB2312" w:eastAsia="仿宋_GB2312"/>
              </w:rPr>
              <w:t>投标人结合本校园寄宿制学生管理特点，充分考虑未成年人身心安全，针对员工伤、劳务纠纷、突发离职、安全事故、突发事件火灾、水浸等常见突发事件制定专项应急预案； ①应急组织机构清晰，明确岗位应急分工，兼顾学生疏散、秩序管控、响应机制完善，配备应急物资、常态化应急演练及完整台账，贴合项目管理要求，得3（含）-5分。 ②应急预案内容较完整，包含主要突发事件，具备基础人员处置流程，岗位分工简单，缺少物资保障或演练计划得1（含）-2分。 未提供应急处置预案，本项不得分。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内部管理制度台账（5分）</w:t>
            </w:r>
          </w:p>
        </w:tc>
        <w:tc>
          <w:tcPr>
            <w:tcW w:type="dxa" w:w="2492"/>
          </w:tcPr>
          <w:p>
            <w:pPr>
              <w:pStyle w:val="null3"/>
            </w:pPr>
            <w:r>
              <w:rPr>
                <w:rFonts w:ascii="仿宋_GB2312" w:hAnsi="仿宋_GB2312" w:cs="仿宋_GB2312" w:eastAsia="仿宋_GB2312"/>
              </w:rPr>
              <w:t>公司必备制度：劳动合同管理制度、薪酬发放制度、社保管理制度、工伤处理制度、离职管理制度、应急预案等。 ①制度齐全、台账完整得4（含）-5分 ②制度基本完整得2（含）-3分； ③制度不完整有缺漏项得0-2分。（未提供不得分）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人员组织架构及岗位职责 （10分）</w:t>
            </w:r>
          </w:p>
        </w:tc>
        <w:tc>
          <w:tcPr>
            <w:tcW w:type="dxa" w:w="2492"/>
          </w:tcPr>
          <w:p>
            <w:pPr>
              <w:pStyle w:val="null3"/>
            </w:pPr>
            <w:r>
              <w:rPr>
                <w:rFonts w:ascii="仿宋_GB2312" w:hAnsi="仿宋_GB2312" w:cs="仿宋_GB2312" w:eastAsia="仿宋_GB2312"/>
              </w:rPr>
              <w:t>组织架构及岗位职责说明：架构完整、层级清晰，实行分区包干、定岗定责。管教、后厨、保安、保洁四类岗位岗位职责齐全，覆盖日常作业、管理巡查、卫生消杀、食品安全、学生管控、应急处置等内容。 ①组织架构明确，岗位无重叠、无盲区，明确作业区域、值守时段、工作流程，排班合理、分工明确得8（含）-10分；， ②有基本组织架构，岗位职责基本齐全，岗位划分较为清晰，无明显漏洞得4（含）-7分。 ③组织架构不明确，岗位职责简单笼统、分工模糊、岗位混岗，缺少关键岗位说明得0-3分。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公司用人考核机制（5分）</w:t>
            </w:r>
          </w:p>
        </w:tc>
        <w:tc>
          <w:tcPr>
            <w:tcW w:type="dxa" w:w="2492"/>
          </w:tcPr>
          <w:p>
            <w:pPr>
              <w:pStyle w:val="null3"/>
            </w:pPr>
            <w:r>
              <w:rPr>
                <w:rFonts w:ascii="仿宋_GB2312" w:hAnsi="仿宋_GB2312" w:cs="仿宋_GB2312" w:eastAsia="仿宋_GB2312"/>
              </w:rPr>
              <w:t>投标人建立完善的人员招录、审核、试用、在岗考核、奖惩淘汰用人管理机制。包含日常考勤、服务规范、工作纪律、学生管理、卫生标准、职业道德等考核内容。 ①考核流程规范、奖惩分明、动态管控、人员更换机制合理，贴合项目管理要求。得3（含）-5分 ②基本切合实际、基本能满足项目实际情况得1（含）-2分； 未提供考核机制不得分。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人员培训体系 （5分）</w:t>
            </w:r>
          </w:p>
        </w:tc>
        <w:tc>
          <w:tcPr>
            <w:tcW w:type="dxa" w:w="2492"/>
          </w:tcPr>
          <w:p>
            <w:pPr>
              <w:pStyle w:val="null3"/>
            </w:pPr>
            <w:r>
              <w:rPr>
                <w:rFonts w:ascii="仿宋_GB2312" w:hAnsi="仿宋_GB2312" w:cs="仿宋_GB2312" w:eastAsia="仿宋_GB2312"/>
              </w:rPr>
              <w:t>投标单位建立完善的岗前培训体系，培训计划明确，针对管教、厨师、保洁、保安岗位制定差异化培训内容，包含安全管理、食品安全、学生管控、卫生消杀、礼仪规范、应急处置等内容。 ①具备完整培训体系，拥有培训台账、考核标准，培训流程规范、贴合岗位用工要求得3（含）-5分； ②具备基础培训制度，培训资料简单、培训流程一般得1（含）-2分； 无培训方案不得分。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 （5分）</w:t>
            </w:r>
          </w:p>
        </w:tc>
        <w:tc>
          <w:tcPr>
            <w:tcW w:type="dxa" w:w="2492"/>
          </w:tcPr>
          <w:p>
            <w:pPr>
              <w:pStyle w:val="null3"/>
            </w:pPr>
            <w:r>
              <w:rPr>
                <w:rFonts w:ascii="仿宋_GB2312" w:hAnsi="仿宋_GB2312" w:cs="仿宋_GB2312" w:eastAsia="仿宋_GB2312"/>
              </w:rPr>
              <w:t>1、承诺：接受采购人对本项目服务的考核、监督及管理； 2、承诺：定期调研采购人对服务质量的满意度并加以改进，确保服务工作的优质高效； 3、承诺：上岗人员固定，不随意更换，若出现服务人员因事、病等不能工作的，能及时调整其他服务人员补充，确保服务工作的正常进行； 4、承诺：储备可调度人员，调度人员可保障重大活动、突发事件的临时任务调度需要。 5、承诺：清晰承诺本项目所有人员薪资福利等费用按时发放，承诺完整规范。 此项满分5分，依据供应商承诺方案完整度赋0-5分。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 响应 （2分）</w:t>
            </w:r>
          </w:p>
        </w:tc>
        <w:tc>
          <w:tcPr>
            <w:tcW w:type="dxa" w:w="2492"/>
          </w:tcPr>
          <w:p>
            <w:pPr>
              <w:pStyle w:val="null3"/>
            </w:pPr>
            <w:r>
              <w:rPr>
                <w:rFonts w:ascii="仿宋_GB2312" w:hAnsi="仿宋_GB2312" w:cs="仿宋_GB2312" w:eastAsia="仿宋_GB2312"/>
              </w:rPr>
              <w:t>响应文件中对服务费用、专项服务内容及范围、服务管理标准等合同主要条款要求全面响应，具体合同主要条款响应说明得1-2分，无合同主要条款响应说明不得分。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1.经初审合格的响应文件，其报价为有效报价。对符合政策性扣减的有效磋商报价进行政策性扣减，并依据扣减后的价格（评审价格）进行价格评审。 2.最低有效的最后磋商报价为基准价，计20分 价格分P=20×Pmin/ Pn Pmin：合格供应商报价中的最低价，Pn：第n个供应商的磋商报价；价格分四舍五入，保留两位小数。 经评审委员会一致认定，供应商的磋商总报价低于公认市场成本，或超过采购预算,其磋商将被拒绝，按无效处理。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响应服务分项报价表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详见附件：响应服务分项报价表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详见附件：第三中学专项服务（合同）.docx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