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4127F">
      <w:pPr>
        <w:keepLines w:val="0"/>
        <w:pageBreakBefore w:val="0"/>
        <w:kinsoku/>
        <w:wordWrap/>
        <w:overflowPunct/>
        <w:topLinePunct w:val="0"/>
        <w:bidi w:val="0"/>
        <w:snapToGrid/>
        <w:spacing w:line="560" w:lineRule="exact"/>
        <w:jc w:val="center"/>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合同主要条款</w:t>
      </w:r>
    </w:p>
    <w:p w14:paraId="2EA89F59">
      <w:pPr>
        <w:keepLines w:val="0"/>
        <w:pageBreakBefore w:val="0"/>
        <w:kinsoku/>
        <w:wordWrap/>
        <w:overflowPunct/>
        <w:topLinePunct w:val="0"/>
        <w:bidi w:val="0"/>
        <w:snapToGrid/>
        <w:spacing w:line="560" w:lineRule="exact"/>
        <w:jc w:val="left"/>
        <w:rPr>
          <w:rFonts w:hint="eastAsia" w:ascii="国标仿宋-GB/T 2312" w:hAnsi="国标仿宋-GB/T 2312" w:eastAsia="国标仿宋-GB/T 2312" w:cs="国标仿宋-GB/T 2312"/>
          <w:color w:val="auto"/>
          <w:sz w:val="32"/>
          <w:szCs w:val="32"/>
          <w:lang w:val="en-US" w:eastAsia="zh-CN"/>
        </w:rPr>
      </w:pPr>
    </w:p>
    <w:p w14:paraId="461A7664">
      <w:pPr>
        <w:keepLines w:val="0"/>
        <w:pageBreakBefore w:val="0"/>
        <w:kinsoku/>
        <w:wordWrap/>
        <w:overflowPunct/>
        <w:topLinePunct w:val="0"/>
        <w:bidi w:val="0"/>
        <w:snapToGrid/>
        <w:spacing w:line="560" w:lineRule="exact"/>
        <w:jc w:val="left"/>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甲方：</w:t>
      </w:r>
      <w:r>
        <w:rPr>
          <w:rFonts w:hint="eastAsia" w:ascii="国标仿宋-GB/T 2312" w:hAnsi="国标仿宋-GB/T 2312" w:eastAsia="国标仿宋-GB/T 2312" w:cs="国标仿宋-GB/T 2312"/>
          <w:color w:val="auto"/>
          <w:sz w:val="32"/>
          <w:szCs w:val="32"/>
          <w:u w:val="single"/>
          <w:lang w:val="en-US" w:eastAsia="zh-CN"/>
        </w:rPr>
        <w:t xml:space="preserve">                       </w:t>
      </w:r>
    </w:p>
    <w:p w14:paraId="20506EF2">
      <w:pPr>
        <w:keepLines w:val="0"/>
        <w:pageBreakBefore w:val="0"/>
        <w:kinsoku/>
        <w:wordWrap/>
        <w:overflowPunct/>
        <w:topLinePunct w:val="0"/>
        <w:bidi w:val="0"/>
        <w:snapToGrid/>
        <w:spacing w:line="560" w:lineRule="exact"/>
        <w:jc w:val="left"/>
        <w:rPr>
          <w:rFonts w:hint="eastAsia" w:ascii="国标仿宋-GB/T 2312" w:hAnsi="国标仿宋-GB/T 2312" w:eastAsia="国标仿宋-GB/T 2312" w:cs="国标仿宋-GB/T 2312"/>
          <w:color w:val="auto"/>
          <w:sz w:val="32"/>
          <w:szCs w:val="32"/>
          <w:u w:val="single"/>
          <w:lang w:val="en-US" w:eastAsia="zh-CN"/>
        </w:rPr>
      </w:pPr>
      <w:r>
        <w:rPr>
          <w:rFonts w:hint="eastAsia" w:ascii="国标仿宋-GB/T 2312" w:hAnsi="国标仿宋-GB/T 2312" w:eastAsia="国标仿宋-GB/T 2312" w:cs="国标仿宋-GB/T 2312"/>
          <w:color w:val="auto"/>
          <w:sz w:val="32"/>
          <w:szCs w:val="32"/>
          <w:lang w:val="en-US" w:eastAsia="zh-CN"/>
        </w:rPr>
        <w:t>乙方：</w:t>
      </w:r>
      <w:r>
        <w:rPr>
          <w:rFonts w:hint="eastAsia" w:ascii="国标仿宋-GB/T 2312" w:hAnsi="国标仿宋-GB/T 2312" w:eastAsia="国标仿宋-GB/T 2312" w:cs="国标仿宋-GB/T 2312"/>
          <w:color w:val="auto"/>
          <w:sz w:val="32"/>
          <w:szCs w:val="32"/>
          <w:u w:val="single"/>
          <w:lang w:val="en-US" w:eastAsia="zh-CN"/>
        </w:rPr>
        <w:t xml:space="preserve">                       </w:t>
      </w:r>
    </w:p>
    <w:p w14:paraId="2D3AB203">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根据依据《中华人民共和国民法典》和《中华人民共和国政府采购法》及有关法规之规定，甲乙双方本着公平、公开、公正和诚实守信的原则，经过充分协商，甲方特将</w:t>
      </w:r>
      <w:r>
        <w:rPr>
          <w:rFonts w:hint="eastAsia" w:ascii="国标仿宋-GB/T 2312" w:hAnsi="国标仿宋-GB/T 2312" w:eastAsia="国标仿宋-GB/T 2312" w:cs="国标仿宋-GB/T 2312"/>
          <w:color w:val="auto"/>
          <w:sz w:val="32"/>
          <w:szCs w:val="32"/>
          <w:u w:val="single"/>
          <w:lang w:val="en-US" w:eastAsia="zh-CN"/>
        </w:rPr>
        <w:t>商洛市第三中学专项服务采购项目</w:t>
      </w:r>
      <w:r>
        <w:rPr>
          <w:rFonts w:hint="eastAsia" w:ascii="国标仿宋-GB/T 2312" w:hAnsi="国标仿宋-GB/T 2312" w:eastAsia="国标仿宋-GB/T 2312" w:cs="国标仿宋-GB/T 2312"/>
          <w:color w:val="auto"/>
          <w:sz w:val="32"/>
          <w:szCs w:val="32"/>
          <w:lang w:val="en-US" w:eastAsia="zh-CN"/>
        </w:rPr>
        <w:t>等服务承包给乙方。双方达成协议如下，以资共同遵守。</w:t>
      </w:r>
    </w:p>
    <w:p w14:paraId="05F1407D">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一、合同履行时间：1年 （自合同签订之日起计算）</w:t>
      </w:r>
      <w:r>
        <w:rPr>
          <w:rFonts w:hint="eastAsia" w:ascii="国标仿宋-GB/T 2312" w:hAnsi="国标仿宋-GB/T 2312" w:eastAsia="国标仿宋-GB/T 2312" w:cs="国标仿宋-GB/T 2312"/>
          <w:color w:val="auto"/>
          <w:sz w:val="32"/>
          <w:szCs w:val="32"/>
          <w:lang w:val="en-US" w:eastAsia="zh-CN" w:bidi="ar-SA"/>
        </w:rPr>
        <w:t>。</w:t>
      </w:r>
    </w:p>
    <w:p w14:paraId="351DDDD5">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u w:val="single"/>
          <w:lang w:val="en-US" w:eastAsia="zh-CN"/>
        </w:rPr>
      </w:pPr>
      <w:r>
        <w:rPr>
          <w:rFonts w:hint="eastAsia" w:ascii="国标仿宋-GB/T 2312" w:hAnsi="国标仿宋-GB/T 2312" w:eastAsia="国标仿宋-GB/T 2312" w:cs="国标仿宋-GB/T 2312"/>
          <w:color w:val="auto"/>
          <w:sz w:val="32"/>
          <w:szCs w:val="32"/>
          <w:u w:val="single"/>
          <w:lang w:val="en-US" w:eastAsia="zh-CN"/>
        </w:rPr>
        <w:t>1、起止时间：20  年  月  日至   年 月 日止。</w:t>
      </w:r>
    </w:p>
    <w:p w14:paraId="3731884A">
      <w:pPr>
        <w:pStyle w:val="2"/>
        <w:keepNext/>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楷体_GB2312" w:hAnsi="楷体_GB2312" w:eastAsia="楷体_GB2312" w:cs="楷体_GB2312"/>
          <w:color w:val="auto"/>
          <w:sz w:val="32"/>
          <w:szCs w:val="32"/>
          <w:lang w:val="en-US" w:eastAsia="zh-CN" w:bidi="ar-SA"/>
        </w:rPr>
      </w:pPr>
      <w:r>
        <w:rPr>
          <w:rFonts w:hint="eastAsia" w:ascii="楷体_GB2312" w:hAnsi="楷体_GB2312" w:eastAsia="楷体_GB2312" w:cs="楷体_GB2312"/>
          <w:color w:val="auto"/>
          <w:sz w:val="32"/>
          <w:szCs w:val="32"/>
          <w:lang w:val="en-US" w:eastAsia="zh-CN" w:bidi="ar-SA"/>
        </w:rPr>
        <w:t>2、甲方依据《专项服务考核标准》对乙方进行考核，考核合格的，采购人可根据项目实施情况续签服务合同，考核不合格甲方不再续签合同的，乙方应保证服务的平滑过渡，持续提供服务直到新的服务商驻场后才能撤离。</w:t>
      </w:r>
    </w:p>
    <w:p w14:paraId="3B53D49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3、合同签订后</w:t>
      </w:r>
      <w:r>
        <w:rPr>
          <w:rFonts w:hint="eastAsia" w:ascii="国标仿宋-GB/T 2312" w:hAnsi="国标仿宋-GB/T 2312" w:eastAsia="国标仿宋-GB/T 2312" w:cs="国标仿宋-GB/T 2312"/>
          <w:color w:val="auto"/>
          <w:sz w:val="32"/>
          <w:szCs w:val="32"/>
          <w:u w:val="single"/>
          <w:lang w:val="en-US" w:eastAsia="zh-CN"/>
        </w:rPr>
        <w:t xml:space="preserve"> 3 </w:t>
      </w:r>
      <w:r>
        <w:rPr>
          <w:rFonts w:hint="eastAsia" w:ascii="国标仿宋-GB/T 2312" w:hAnsi="国标仿宋-GB/T 2312" w:eastAsia="国标仿宋-GB/T 2312" w:cs="国标仿宋-GB/T 2312"/>
          <w:color w:val="auto"/>
          <w:sz w:val="32"/>
          <w:szCs w:val="32"/>
          <w:lang w:val="en-US" w:eastAsia="zh-CN"/>
        </w:rPr>
        <w:t>日内将相关人员派遣至项目所在地。</w:t>
      </w:r>
    </w:p>
    <w:p w14:paraId="50A2637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二、合同价款及结算方式：</w:t>
      </w:r>
    </w:p>
    <w:p w14:paraId="1F5FBD4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u w:val="single"/>
          <w:lang w:val="en-US" w:eastAsia="zh-CN"/>
        </w:rPr>
      </w:pPr>
      <w:r>
        <w:rPr>
          <w:rFonts w:hint="eastAsia" w:ascii="国标仿宋-GB/T 2312" w:hAnsi="国标仿宋-GB/T 2312" w:eastAsia="国标仿宋-GB/T 2312" w:cs="国标仿宋-GB/T 2312"/>
          <w:color w:val="auto"/>
          <w:sz w:val="32"/>
          <w:szCs w:val="32"/>
          <w:lang w:val="en-US" w:eastAsia="zh-CN"/>
        </w:rPr>
        <w:t>（一）合同价款：</w:t>
      </w:r>
      <w:r>
        <w:rPr>
          <w:rFonts w:hint="eastAsia" w:ascii="国标仿宋-GB/T 2312" w:hAnsi="国标仿宋-GB/T 2312" w:eastAsia="国标仿宋-GB/T 2312" w:cs="国标仿宋-GB/T 2312"/>
          <w:color w:val="auto"/>
          <w:sz w:val="32"/>
          <w:szCs w:val="32"/>
          <w:u w:val="single"/>
          <w:lang w:val="en-US" w:eastAsia="zh-CN"/>
        </w:rPr>
        <w:t xml:space="preserve">                  </w:t>
      </w:r>
      <w:r>
        <w:rPr>
          <w:rFonts w:hint="eastAsia" w:ascii="国标仿宋-GB/T 2312" w:hAnsi="国标仿宋-GB/T 2312" w:eastAsia="国标仿宋-GB/T 2312" w:cs="国标仿宋-GB/T 2312"/>
          <w:color w:val="auto"/>
          <w:sz w:val="32"/>
          <w:szCs w:val="32"/>
          <w:lang w:val="en-US" w:eastAsia="zh-CN"/>
        </w:rPr>
        <w:t>大写</w:t>
      </w:r>
      <w:r>
        <w:rPr>
          <w:rFonts w:hint="eastAsia" w:ascii="国标仿宋-GB/T 2312" w:hAnsi="国标仿宋-GB/T 2312" w:eastAsia="国标仿宋-GB/T 2312" w:cs="国标仿宋-GB/T 2312"/>
          <w:color w:val="auto"/>
          <w:sz w:val="32"/>
          <w:szCs w:val="32"/>
          <w:u w:val="single"/>
          <w:lang w:val="en-US" w:eastAsia="zh-CN"/>
        </w:rPr>
        <w:t xml:space="preserve"> （            ）             </w:t>
      </w:r>
    </w:p>
    <w:p w14:paraId="4E237A0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总承包金中包含：员工工资、正常值班、节假日值班、特殊加班、各类保险、社保、劳保、福利、工作服、夜间巡逻、管理费、税金等。(设备耗材甲方负责）。</w:t>
      </w:r>
    </w:p>
    <w:p w14:paraId="11978E66">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楷体_GB2312" w:hAnsi="楷体_GB2312" w:eastAsia="楷体_GB2312" w:cs="楷体_GB2312"/>
          <w:color w:val="auto"/>
          <w:sz w:val="32"/>
          <w:szCs w:val="32"/>
          <w:lang w:val="en-US" w:eastAsia="zh-CN" w:bidi="ar-SA"/>
        </w:rPr>
      </w:pPr>
      <w:r>
        <w:rPr>
          <w:rFonts w:hint="eastAsia" w:ascii="楷体_GB2312" w:hAnsi="楷体_GB2312" w:eastAsia="楷体_GB2312" w:cs="楷体_GB2312"/>
          <w:color w:val="auto"/>
          <w:sz w:val="32"/>
          <w:szCs w:val="32"/>
          <w:lang w:val="en-US" w:eastAsia="zh-CN" w:bidi="ar-SA"/>
        </w:rPr>
        <w:t>（三）</w:t>
      </w:r>
      <w:r>
        <w:rPr>
          <w:rFonts w:hint="eastAsia" w:ascii="楷体_GB2312" w:hAnsi="楷体_GB2312" w:eastAsia="楷体_GB2312" w:cs="楷体_GB2312"/>
          <w:color w:val="auto"/>
          <w:sz w:val="32"/>
          <w:szCs w:val="32"/>
          <w:lang w:val="en-US" w:eastAsia="zh-CN"/>
        </w:rPr>
        <w:t>本项目采用据实结算方式进行费用结算，最终结算费用按甲方实际核定的在岗派遣人员数量、实际出勤工时 / 在岗天数及合同约定单价据实核算，以双方确认的月度考勤、人员花名册及服务确认单为结算依据。</w:t>
      </w:r>
    </w:p>
    <w:p w14:paraId="34369578">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（四）结算方式：转账。实行按季度结算承包金。乙方须向甲方提供税票，甲方于次季度</w:t>
      </w:r>
      <w:r>
        <w:rPr>
          <w:rFonts w:hint="eastAsia" w:ascii="国标仿宋-GB/T 2312" w:hAnsi="国标仿宋-GB/T 2312" w:eastAsia="国标仿宋-GB/T 2312" w:cs="国标仿宋-GB/T 2312"/>
          <w:color w:val="auto"/>
          <w:sz w:val="32"/>
          <w:szCs w:val="32"/>
          <w:u w:val="single"/>
          <w:lang w:val="en-US" w:eastAsia="zh-CN"/>
        </w:rPr>
        <w:t xml:space="preserve"> 10 </w:t>
      </w:r>
      <w:r>
        <w:rPr>
          <w:rFonts w:hint="eastAsia" w:ascii="国标仿宋-GB/T 2312" w:hAnsi="国标仿宋-GB/T 2312" w:eastAsia="国标仿宋-GB/T 2312" w:cs="国标仿宋-GB/T 2312"/>
          <w:color w:val="auto"/>
          <w:sz w:val="32"/>
          <w:szCs w:val="32"/>
          <w:lang w:val="en-US" w:eastAsia="zh-CN"/>
        </w:rPr>
        <w:t>日前支付上季度承包金。</w:t>
      </w:r>
    </w:p>
    <w:p w14:paraId="0855687E">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（五）员工工资：乙方应保证每月15日前按时足额发放员工工资,每季度末向甲方提供工资及社保缴纳凭证；乙方未按时发放员工工资及福利，甲方有权提前终止合同。</w:t>
      </w:r>
    </w:p>
    <w:p w14:paraId="36684332">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楷体_GB2312" w:hAnsi="楷体_GB2312" w:eastAsia="楷体_GB2312" w:cs="楷体_GB2312"/>
          <w:color w:val="auto"/>
          <w:sz w:val="32"/>
          <w:szCs w:val="32"/>
          <w:lang w:val="en-US" w:eastAsia="zh-CN" w:bidi="ar-SA"/>
        </w:rPr>
      </w:pPr>
      <w:r>
        <w:rPr>
          <w:rFonts w:hint="eastAsia" w:ascii="国标仿宋-GB/T 2312" w:hAnsi="国标仿宋-GB/T 2312" w:eastAsia="国标仿宋-GB/T 2312" w:cs="国标仿宋-GB/T 2312"/>
          <w:color w:val="auto"/>
          <w:sz w:val="32"/>
          <w:szCs w:val="32"/>
          <w:lang w:val="en-US" w:eastAsia="zh-CN"/>
        </w:rPr>
        <w:t>（</w:t>
      </w:r>
      <w:r>
        <w:rPr>
          <w:rFonts w:hint="eastAsia" w:ascii="楷体_GB2312" w:hAnsi="楷体_GB2312" w:eastAsia="楷体_GB2312" w:cs="楷体_GB2312"/>
          <w:color w:val="auto"/>
          <w:sz w:val="32"/>
          <w:szCs w:val="32"/>
          <w:lang w:val="en-US" w:eastAsia="zh-CN" w:bidi="ar-SA"/>
        </w:rPr>
        <w:t>六）员工食宿：项目实施期间，甲方无偿提供所有派驻人员的住宿及就餐场所；所有派驻人员的餐费等相关费用全部由乙方承担，包含在投标综合单价及合同总价内，招标人不另行计取、不单独增补。</w:t>
      </w:r>
    </w:p>
    <w:p w14:paraId="6965DFF9">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三、承包范围及服务内容</w:t>
      </w:r>
    </w:p>
    <w:p w14:paraId="7F556841">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1.管教人员主要负责：学生日常行为管理和习惯养成教育；军事训练、夜间值班、宿舍巡查、周末陪护；配合教师开展行为矫治和心理疏导；突发事件应急处置。</w:t>
      </w:r>
    </w:p>
    <w:p w14:paraId="1AF3006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2.安保服务主要负责：保障校内基本环境卫生、公共秩序维护、来访人员、车辆身份确认及登记工作、办公楼宇内外的安全巡视检查、办公室物品的搬迁服务、防汛紧急处置、来访人员引导服务</w:t>
      </w:r>
      <w:r>
        <w:rPr>
          <w:rFonts w:hint="eastAsia" w:ascii="楷体_GB2312" w:hAnsi="楷体_GB2312" w:eastAsia="楷体_GB2312" w:cs="楷体_GB2312"/>
          <w:color w:val="auto"/>
          <w:sz w:val="32"/>
          <w:szCs w:val="32"/>
          <w:lang w:val="en-US" w:eastAsia="zh-CN"/>
        </w:rPr>
        <w:t>及24小时安防监控巡视</w:t>
      </w:r>
      <w:r>
        <w:rPr>
          <w:rFonts w:hint="eastAsia" w:ascii="国标仿宋-GB/T 2312" w:hAnsi="国标仿宋-GB/T 2312" w:eastAsia="国标仿宋-GB/T 2312" w:cs="国标仿宋-GB/T 2312"/>
          <w:color w:val="auto"/>
          <w:sz w:val="32"/>
          <w:szCs w:val="32"/>
          <w:lang w:val="en-US" w:eastAsia="zh-CN"/>
        </w:rPr>
        <w:t>等安全防范工作。</w:t>
      </w:r>
    </w:p>
    <w:p w14:paraId="6C34609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3.厨房人员主要负责：提供日常用餐（三餐制作），须满足</w:t>
      </w:r>
      <w:r>
        <w:rPr>
          <w:rFonts w:hint="eastAsia" w:ascii="国标仿宋-GB/T 2312" w:hAnsi="国标仿宋-GB/T 2312" w:eastAsia="国标仿宋-GB/T 2312" w:cs="国标仿宋-GB/T 2312"/>
          <w:color w:val="auto"/>
          <w:sz w:val="32"/>
          <w:szCs w:val="32"/>
          <w:u w:val="single"/>
          <w:lang w:val="en-US" w:eastAsia="zh-CN"/>
        </w:rPr>
        <w:t xml:space="preserve"> 120</w:t>
      </w:r>
      <w:r>
        <w:rPr>
          <w:rFonts w:hint="eastAsia" w:ascii="国标仿宋-GB/T 2312" w:hAnsi="国标仿宋-GB/T 2312" w:eastAsia="国标仿宋-GB/T 2312" w:cs="国标仿宋-GB/T 2312"/>
          <w:color w:val="auto"/>
          <w:sz w:val="32"/>
          <w:szCs w:val="32"/>
          <w:lang w:val="en-US" w:eastAsia="zh-CN"/>
        </w:rPr>
        <w:t>人（根据实际确定）同时就餐,餐厅以劳务外包形式运营。</w:t>
      </w:r>
    </w:p>
    <w:p w14:paraId="4C157C8F">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4.保洁</w:t>
      </w:r>
      <w:r>
        <w:rPr>
          <w:rFonts w:hint="eastAsia" w:ascii="国标仿宋-GB/T 2312" w:hAnsi="国标仿宋-GB/T 2312" w:eastAsia="国标仿宋-GB/T 2312" w:cs="国标仿宋-GB/T 2312"/>
          <w:color w:val="auto"/>
          <w:sz w:val="32"/>
          <w:szCs w:val="32"/>
          <w:lang w:val="en-US" w:eastAsia="zh-CN"/>
        </w:rPr>
        <w:t>服务主要负责：保障公寓楼和综合楼楼梯间、扶手、走廊通道、水房、卫生间；楼外周界、人行道、行车道和绿化区域内的清洁保洁及生活垃圾的清理外运。</w:t>
      </w:r>
    </w:p>
    <w:p w14:paraId="3783E2E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四、双方的权利义务</w:t>
      </w:r>
    </w:p>
    <w:p w14:paraId="15FE5180">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（一）甲方的权利和义务</w:t>
      </w:r>
    </w:p>
    <w:p w14:paraId="195C5353">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rPr>
      </w:pPr>
      <w:r>
        <w:rPr>
          <w:rFonts w:hint="eastAsia" w:ascii="国标仿宋-GB/T 2312" w:hAnsi="国标仿宋-GB/T 2312" w:eastAsia="国标仿宋-GB/T 2312" w:cs="国标仿宋-GB/T 2312"/>
          <w:color w:val="auto"/>
          <w:sz w:val="32"/>
          <w:szCs w:val="32"/>
          <w:lang w:val="en-US" w:eastAsia="zh-CN"/>
        </w:rPr>
        <w:t>1.</w:t>
      </w:r>
      <w:r>
        <w:rPr>
          <w:rFonts w:hint="eastAsia" w:ascii="国标仿宋-GB/T 2312" w:hAnsi="国标仿宋-GB/T 2312" w:eastAsia="国标仿宋-GB/T 2312" w:cs="国标仿宋-GB/T 2312"/>
          <w:color w:val="auto"/>
          <w:sz w:val="32"/>
          <w:szCs w:val="32"/>
        </w:rPr>
        <w:t>审核乙方拟定的工作计划及规章制度、人员配备、</w:t>
      </w:r>
      <w:r>
        <w:rPr>
          <w:rFonts w:hint="eastAsia" w:ascii="国标仿宋-GB/T 2312" w:hAnsi="国标仿宋-GB/T 2312" w:eastAsia="国标仿宋-GB/T 2312" w:cs="国标仿宋-GB/T 2312"/>
          <w:color w:val="auto"/>
          <w:sz w:val="32"/>
          <w:szCs w:val="32"/>
          <w:lang w:eastAsia="zh-CN"/>
        </w:rPr>
        <w:t>人员调配服务</w:t>
      </w:r>
      <w:r>
        <w:rPr>
          <w:rFonts w:hint="eastAsia" w:ascii="国标仿宋-GB/T 2312" w:hAnsi="国标仿宋-GB/T 2312" w:eastAsia="国标仿宋-GB/T 2312" w:cs="国标仿宋-GB/T 2312"/>
          <w:color w:val="auto"/>
          <w:sz w:val="32"/>
          <w:szCs w:val="32"/>
        </w:rPr>
        <w:t>方案、各项物料及设备的配备；</w:t>
      </w:r>
    </w:p>
    <w:p w14:paraId="3E538F8F">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rPr>
      </w:pPr>
      <w:r>
        <w:rPr>
          <w:rFonts w:hint="eastAsia" w:ascii="国标仿宋-GB/T 2312" w:hAnsi="国标仿宋-GB/T 2312" w:eastAsia="国标仿宋-GB/T 2312" w:cs="国标仿宋-GB/T 2312"/>
          <w:color w:val="auto"/>
          <w:sz w:val="32"/>
          <w:szCs w:val="32"/>
        </w:rPr>
        <w:t>2</w:t>
      </w:r>
      <w:r>
        <w:rPr>
          <w:rFonts w:hint="eastAsia" w:ascii="国标仿宋-GB/T 2312" w:hAnsi="国标仿宋-GB/T 2312" w:eastAsia="国标仿宋-GB/T 2312" w:cs="国标仿宋-GB/T 2312"/>
          <w:color w:val="auto"/>
          <w:sz w:val="32"/>
          <w:szCs w:val="32"/>
          <w:lang w:val="en-US" w:eastAsia="zh-CN"/>
        </w:rPr>
        <w:t>.</w:t>
      </w:r>
      <w:r>
        <w:rPr>
          <w:rFonts w:hint="eastAsia" w:ascii="国标仿宋-GB/T 2312" w:hAnsi="国标仿宋-GB/T 2312" w:eastAsia="国标仿宋-GB/T 2312" w:cs="国标仿宋-GB/T 2312"/>
          <w:color w:val="auto"/>
          <w:sz w:val="32"/>
          <w:szCs w:val="32"/>
        </w:rPr>
        <w:t>对</w:t>
      </w:r>
      <w:r>
        <w:rPr>
          <w:rFonts w:hint="eastAsia" w:ascii="国标仿宋-GB/T 2312" w:hAnsi="国标仿宋-GB/T 2312" w:eastAsia="国标仿宋-GB/T 2312" w:cs="国标仿宋-GB/T 2312"/>
          <w:bCs/>
          <w:color w:val="auto"/>
          <w:spacing w:val="-20"/>
          <w:sz w:val="32"/>
          <w:szCs w:val="32"/>
        </w:rPr>
        <w:t>院</w:t>
      </w:r>
      <w:r>
        <w:rPr>
          <w:rFonts w:hint="eastAsia" w:ascii="国标仿宋-GB/T 2312" w:hAnsi="国标仿宋-GB/T 2312" w:eastAsia="国标仿宋-GB/T 2312" w:cs="国标仿宋-GB/T 2312"/>
          <w:color w:val="auto"/>
          <w:sz w:val="32"/>
          <w:szCs w:val="32"/>
        </w:rPr>
        <w:t>内的一切公共设施及设备享有所有权，并有对所属资产的保护、使用和监督权。</w:t>
      </w:r>
    </w:p>
    <w:p w14:paraId="4015FB58">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rPr>
      </w:pPr>
      <w:r>
        <w:rPr>
          <w:rFonts w:hint="eastAsia" w:ascii="国标仿宋-GB/T 2312" w:hAnsi="国标仿宋-GB/T 2312" w:eastAsia="国标仿宋-GB/T 2312" w:cs="国标仿宋-GB/T 2312"/>
          <w:color w:val="auto"/>
          <w:sz w:val="32"/>
          <w:szCs w:val="32"/>
        </w:rPr>
        <w:t>3.有权对乙方管理服务的质量要求进行监督，对不符合质量标准要求的管理服务有权建议整改，对不称职人员可以要求乙方更换。</w:t>
      </w:r>
    </w:p>
    <w:p w14:paraId="3E35B0FA">
      <w:pPr>
        <w:keepLines w:val="0"/>
        <w:pageBreakBefore w:val="0"/>
        <w:kinsoku/>
        <w:wordWrap/>
        <w:overflowPunct/>
        <w:topLinePunct w:val="0"/>
        <w:bidi w:val="0"/>
        <w:snapToGrid/>
        <w:spacing w:line="560" w:lineRule="exact"/>
        <w:ind w:firstLine="640" w:firstLineChars="200"/>
        <w:jc w:val="left"/>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rPr>
        <w:t>4</w:t>
      </w:r>
      <w:r>
        <w:rPr>
          <w:rFonts w:hint="eastAsia" w:ascii="楷体_GB2312" w:hAnsi="楷体_GB2312" w:eastAsia="楷体_GB2312" w:cs="楷体_GB2312"/>
          <w:color w:val="auto"/>
          <w:sz w:val="32"/>
          <w:szCs w:val="32"/>
          <w:lang w:val="en-US" w:eastAsia="zh-CN"/>
        </w:rPr>
        <w:t>.甲方拥有本项目劳务派遣</w:t>
      </w:r>
      <w:bookmarkStart w:id="0" w:name="_GoBack"/>
      <w:bookmarkEnd w:id="0"/>
      <w:r>
        <w:rPr>
          <w:rFonts w:hint="eastAsia" w:ascii="楷体_GB2312" w:hAnsi="楷体_GB2312" w:eastAsia="楷体_GB2312" w:cs="楷体_GB2312"/>
          <w:color w:val="auto"/>
          <w:sz w:val="32"/>
          <w:szCs w:val="32"/>
          <w:lang w:val="en-US" w:eastAsia="zh-CN"/>
        </w:rPr>
        <w:t>人员考勤制度、绩效考核制度的制定权、修改权与最终核定权；乙方负责按甲方核定制度进行日常执行、登记统计，不得自行制定或变更考核考勤规则，所有考勤、考核结果须经甲方审核核定后方可生效。</w:t>
      </w:r>
    </w:p>
    <w:p w14:paraId="15CDB93B">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rPr>
      </w:pPr>
      <w:r>
        <w:rPr>
          <w:rFonts w:hint="eastAsia" w:ascii="国标仿宋-GB/T 2312" w:hAnsi="国标仿宋-GB/T 2312" w:eastAsia="国标仿宋-GB/T 2312" w:cs="国标仿宋-GB/T 2312"/>
          <w:color w:val="auto"/>
          <w:sz w:val="32"/>
          <w:szCs w:val="32"/>
          <w:lang w:val="en-US" w:eastAsia="zh-CN"/>
        </w:rPr>
        <w:t>5.</w:t>
      </w:r>
      <w:r>
        <w:rPr>
          <w:rFonts w:hint="eastAsia" w:ascii="国标仿宋-GB/T 2312" w:hAnsi="国标仿宋-GB/T 2312" w:eastAsia="国标仿宋-GB/T 2312" w:cs="国标仿宋-GB/T 2312"/>
          <w:color w:val="auto"/>
          <w:sz w:val="32"/>
          <w:szCs w:val="32"/>
        </w:rPr>
        <w:t>为乙方的管理服务提供必要的工作条件及所必需的相关资料，包括办公用房、设备工具库房（含相关工具、物料）等设施和涉及本</w:t>
      </w:r>
      <w:r>
        <w:rPr>
          <w:rFonts w:hint="eastAsia" w:ascii="国标仿宋-GB/T 2312" w:hAnsi="国标仿宋-GB/T 2312" w:eastAsia="国标仿宋-GB/T 2312" w:cs="国标仿宋-GB/T 2312"/>
          <w:color w:val="auto"/>
          <w:sz w:val="32"/>
          <w:szCs w:val="32"/>
          <w:lang w:eastAsia="zh-CN"/>
        </w:rPr>
        <w:t>项目</w:t>
      </w:r>
      <w:r>
        <w:rPr>
          <w:rFonts w:hint="eastAsia" w:ascii="国标仿宋-GB/T 2312" w:hAnsi="国标仿宋-GB/T 2312" w:eastAsia="国标仿宋-GB/T 2312" w:cs="国标仿宋-GB/T 2312"/>
          <w:color w:val="auto"/>
          <w:sz w:val="32"/>
          <w:szCs w:val="32"/>
        </w:rPr>
        <w:t>服务所需的验收资料等。为乙方的</w:t>
      </w:r>
      <w:r>
        <w:rPr>
          <w:rFonts w:hint="eastAsia" w:ascii="国标仿宋-GB/T 2312" w:hAnsi="国标仿宋-GB/T 2312" w:eastAsia="国标仿宋-GB/T 2312" w:cs="国标仿宋-GB/T 2312"/>
          <w:color w:val="auto"/>
          <w:sz w:val="32"/>
          <w:szCs w:val="32"/>
          <w:lang w:eastAsia="zh-CN"/>
        </w:rPr>
        <w:t>专项</w:t>
      </w:r>
      <w:r>
        <w:rPr>
          <w:rFonts w:hint="eastAsia" w:ascii="国标仿宋-GB/T 2312" w:hAnsi="国标仿宋-GB/T 2312" w:eastAsia="国标仿宋-GB/T 2312" w:cs="国标仿宋-GB/T 2312"/>
          <w:color w:val="auto"/>
          <w:sz w:val="32"/>
          <w:szCs w:val="32"/>
        </w:rPr>
        <w:t>服务提供相应的协助和配合。</w:t>
      </w:r>
    </w:p>
    <w:p w14:paraId="3C8699A4">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rPr>
      </w:pPr>
      <w:r>
        <w:rPr>
          <w:rFonts w:hint="eastAsia" w:ascii="国标仿宋-GB/T 2312" w:hAnsi="国标仿宋-GB/T 2312" w:eastAsia="国标仿宋-GB/T 2312" w:cs="国标仿宋-GB/T 2312"/>
          <w:color w:val="auto"/>
          <w:sz w:val="32"/>
          <w:szCs w:val="32"/>
          <w:lang w:val="en-US" w:eastAsia="zh-CN"/>
        </w:rPr>
        <w:t>6.</w:t>
      </w:r>
      <w:r>
        <w:rPr>
          <w:rFonts w:hint="eastAsia" w:ascii="国标仿宋-GB/T 2312" w:hAnsi="国标仿宋-GB/T 2312" w:eastAsia="国标仿宋-GB/T 2312" w:cs="国标仿宋-GB/T 2312"/>
          <w:color w:val="auto"/>
          <w:sz w:val="32"/>
          <w:szCs w:val="32"/>
        </w:rPr>
        <w:t>定期组织对乙方服务质量的考核、收集意见和意见，并将结果及时通报乙方。</w:t>
      </w:r>
    </w:p>
    <w:p w14:paraId="2FEB0F15">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rPr>
      </w:pPr>
      <w:r>
        <w:rPr>
          <w:rFonts w:hint="eastAsia" w:ascii="国标仿宋-GB/T 2312" w:hAnsi="国标仿宋-GB/T 2312" w:eastAsia="国标仿宋-GB/T 2312" w:cs="国标仿宋-GB/T 2312"/>
          <w:color w:val="auto"/>
          <w:sz w:val="32"/>
          <w:szCs w:val="32"/>
          <w:lang w:val="en-US" w:eastAsia="zh-CN"/>
        </w:rPr>
        <w:t>7.</w:t>
      </w:r>
      <w:r>
        <w:rPr>
          <w:rFonts w:hint="eastAsia" w:ascii="国标仿宋-GB/T 2312" w:hAnsi="国标仿宋-GB/T 2312" w:eastAsia="国标仿宋-GB/T 2312" w:cs="国标仿宋-GB/T 2312"/>
          <w:color w:val="auto"/>
          <w:sz w:val="32"/>
          <w:szCs w:val="32"/>
        </w:rPr>
        <w:t>有义务督促乙方加强</w:t>
      </w:r>
      <w:r>
        <w:rPr>
          <w:rFonts w:hint="eastAsia" w:ascii="国标仿宋-GB/T 2312" w:hAnsi="国标仿宋-GB/T 2312" w:eastAsia="国标仿宋-GB/T 2312" w:cs="国标仿宋-GB/T 2312"/>
          <w:color w:val="auto"/>
          <w:sz w:val="32"/>
          <w:szCs w:val="32"/>
          <w:lang w:eastAsia="zh-CN"/>
        </w:rPr>
        <w:t>人员</w:t>
      </w:r>
      <w:r>
        <w:rPr>
          <w:rFonts w:hint="eastAsia" w:ascii="国标仿宋-GB/T 2312" w:hAnsi="国标仿宋-GB/T 2312" w:eastAsia="国标仿宋-GB/T 2312" w:cs="国标仿宋-GB/T 2312"/>
          <w:color w:val="auto"/>
          <w:sz w:val="32"/>
          <w:szCs w:val="32"/>
        </w:rPr>
        <w:t>管理、设备管理与服务过程中的安全管理。</w:t>
      </w:r>
    </w:p>
    <w:p w14:paraId="71D778F3">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rPr>
      </w:pPr>
      <w:r>
        <w:rPr>
          <w:rFonts w:hint="eastAsia" w:ascii="国标仿宋-GB/T 2312" w:hAnsi="国标仿宋-GB/T 2312" w:eastAsia="国标仿宋-GB/T 2312" w:cs="国标仿宋-GB/T 2312"/>
          <w:color w:val="auto"/>
          <w:sz w:val="32"/>
          <w:szCs w:val="32"/>
          <w:lang w:val="en-US" w:eastAsia="zh-CN"/>
        </w:rPr>
        <w:t>8.</w:t>
      </w:r>
      <w:r>
        <w:rPr>
          <w:rFonts w:hint="eastAsia" w:ascii="国标仿宋-GB/T 2312" w:hAnsi="国标仿宋-GB/T 2312" w:eastAsia="国标仿宋-GB/T 2312" w:cs="国标仿宋-GB/T 2312"/>
          <w:color w:val="auto"/>
          <w:sz w:val="32"/>
          <w:szCs w:val="32"/>
        </w:rPr>
        <w:t>按照合同付款、结算约定向乙方支付管理与服务费用。</w:t>
      </w:r>
    </w:p>
    <w:p w14:paraId="08F44CA9">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rPr>
      </w:pPr>
      <w:r>
        <w:rPr>
          <w:rFonts w:hint="eastAsia" w:ascii="国标仿宋-GB/T 2312" w:hAnsi="国标仿宋-GB/T 2312" w:eastAsia="国标仿宋-GB/T 2312" w:cs="国标仿宋-GB/T 2312"/>
          <w:color w:val="auto"/>
          <w:sz w:val="32"/>
          <w:szCs w:val="32"/>
          <w:lang w:val="en-US" w:eastAsia="zh-CN"/>
        </w:rPr>
        <w:t>9.</w:t>
      </w:r>
      <w:r>
        <w:rPr>
          <w:rFonts w:hint="eastAsia" w:ascii="国标仿宋-GB/T 2312" w:hAnsi="国标仿宋-GB/T 2312" w:eastAsia="国标仿宋-GB/T 2312" w:cs="国标仿宋-GB/T 2312"/>
          <w:color w:val="auto"/>
          <w:sz w:val="32"/>
          <w:szCs w:val="32"/>
        </w:rPr>
        <w:t>为乙方有效开展工作提供其他必要的便利。</w:t>
      </w:r>
    </w:p>
    <w:p w14:paraId="7880359B">
      <w:pPr>
        <w:keepLines w:val="0"/>
        <w:pageBreakBefore w:val="0"/>
        <w:kinsoku/>
        <w:wordWrap/>
        <w:overflowPunct/>
        <w:topLinePunct w:val="0"/>
        <w:bidi w:val="0"/>
        <w:snapToGrid/>
        <w:spacing w:line="560" w:lineRule="exact"/>
        <w:ind w:firstLine="640" w:firstLineChars="200"/>
        <w:jc w:val="left"/>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lang w:val="en-US" w:eastAsia="zh-CN"/>
        </w:rPr>
        <w:t>10.</w:t>
      </w:r>
      <w:r>
        <w:rPr>
          <w:rFonts w:hint="eastAsia" w:ascii="楷体_GB2312" w:hAnsi="楷体_GB2312" w:eastAsia="楷体_GB2312" w:cs="楷体_GB2312"/>
          <w:color w:val="auto"/>
          <w:sz w:val="32"/>
          <w:szCs w:val="32"/>
        </w:rPr>
        <w:t>对乙方工作人员在工作中发生的不文明行为,甲方有权采取措施制止,若因此造成不良后果，</w:t>
      </w:r>
      <w:r>
        <w:rPr>
          <w:rFonts w:hint="eastAsia" w:ascii="楷体_GB2312" w:hAnsi="楷体_GB2312" w:eastAsia="楷体_GB2312" w:cs="楷体_GB2312"/>
          <w:color w:val="auto"/>
          <w:sz w:val="32"/>
          <w:szCs w:val="32"/>
          <w:lang w:eastAsia="zh-CN"/>
        </w:rPr>
        <w:t>一切后果由乙方全权承担，并</w:t>
      </w:r>
      <w:r>
        <w:rPr>
          <w:rFonts w:hint="eastAsia" w:ascii="楷体_GB2312" w:hAnsi="楷体_GB2312" w:eastAsia="楷体_GB2312" w:cs="楷体_GB2312"/>
          <w:color w:val="auto"/>
          <w:sz w:val="32"/>
          <w:szCs w:val="32"/>
        </w:rPr>
        <w:t>追究乙方及直接责任人的责任。</w:t>
      </w:r>
    </w:p>
    <w:p w14:paraId="3A5E247A">
      <w:pPr>
        <w:keepLines w:val="0"/>
        <w:pageBreakBefore w:val="0"/>
        <w:kinsoku/>
        <w:wordWrap/>
        <w:overflowPunct/>
        <w:topLinePunct w:val="0"/>
        <w:bidi w:val="0"/>
        <w:snapToGrid/>
        <w:spacing w:line="560" w:lineRule="exact"/>
        <w:ind w:firstLine="640" w:firstLineChars="200"/>
        <w:jc w:val="left"/>
        <w:rPr>
          <w:rFonts w:hint="eastAsia" w:ascii="国标仿宋-GB/T 2312" w:hAnsi="国标仿宋-GB/T 2312" w:eastAsia="国标仿宋-GB/T 2312" w:cs="国标仿宋-GB/T 2312"/>
          <w:color w:val="auto"/>
          <w:sz w:val="32"/>
          <w:szCs w:val="32"/>
        </w:rPr>
      </w:pPr>
      <w:r>
        <w:rPr>
          <w:rFonts w:hint="eastAsia" w:ascii="国标仿宋-GB/T 2312" w:hAnsi="国标仿宋-GB/T 2312" w:eastAsia="国标仿宋-GB/T 2312" w:cs="国标仿宋-GB/T 2312"/>
          <w:color w:val="auto"/>
          <w:sz w:val="32"/>
          <w:szCs w:val="32"/>
        </w:rPr>
        <w:t>1</w:t>
      </w:r>
      <w:r>
        <w:rPr>
          <w:rFonts w:hint="eastAsia" w:ascii="国标仿宋-GB/T 2312" w:hAnsi="国标仿宋-GB/T 2312" w:eastAsia="国标仿宋-GB/T 2312" w:cs="国标仿宋-GB/T 2312"/>
          <w:color w:val="auto"/>
          <w:sz w:val="32"/>
          <w:szCs w:val="32"/>
          <w:lang w:val="en-US" w:eastAsia="zh-CN"/>
        </w:rPr>
        <w:t>1.</w:t>
      </w:r>
      <w:r>
        <w:rPr>
          <w:rFonts w:hint="eastAsia" w:ascii="国标仿宋-GB/T 2312" w:hAnsi="国标仿宋-GB/T 2312" w:eastAsia="国标仿宋-GB/T 2312" w:cs="国标仿宋-GB/T 2312"/>
          <w:color w:val="auto"/>
          <w:sz w:val="32"/>
          <w:szCs w:val="32"/>
        </w:rPr>
        <w:t>按法律规定或经双方商定由甲方承担的其他责任和义务。</w:t>
      </w:r>
    </w:p>
    <w:p w14:paraId="1C10372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（二）乙方的权利和义务</w:t>
      </w:r>
    </w:p>
    <w:p w14:paraId="230FEE61">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1.根据有关法律、法规政策及本合同的规定,制定专项服务各项管理办法、规章制度、服务实施方案、实施细则、人员配备计划、物料和设备配备计划,并报送甲方备查。</w:t>
      </w:r>
    </w:p>
    <w:p w14:paraId="59443D6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2.按甲方规定和要求及乙方的承诺,履行好服务职责。</w:t>
      </w:r>
    </w:p>
    <w:p w14:paraId="2161D29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3.乙方向甲方提供所有工作人员的健康证明及无犯罪记录，确保所使用的工作人员仪容端正、品德良好。</w:t>
      </w:r>
    </w:p>
    <w:p w14:paraId="6AFA5F2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4.按本项目服务内容的总体方案和响应文件中明确的人数及各项细则配备得力人员,定期开展岗位安全培训和教育,确保所配备人员具备与岗位要求相适应的业务素质和工作技能。</w:t>
      </w:r>
    </w:p>
    <w:p w14:paraId="3271DEA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保证从事本项目服务的人员具备相应的职业资格和应有的素质要求。如需调整工作人员及项目主管应事先通报甲方,对甲方提出认为不适合的在岗人员,乙方应作出相应调整。</w:t>
      </w:r>
    </w:p>
    <w:p w14:paraId="7F1806C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5.认真执行国家有关规定，按时发放派遣人员工资，为派遣人员购买雇主责任险。</w:t>
      </w:r>
    </w:p>
    <w:p w14:paraId="1A5EA29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6.乙方必须遵循安全作业和文明作业的规定，在履行本合同的过程中，严格遵守各项安全制度和操作规程,加强对员工的安全教育,凡发生人身安全等事故,均由乙方负责、赔偿。若因乙方公司内部发生劳务纠纷，对甲方造成不良影响，乙方须赔偿相应损失。发生以上情形对甲方造成严重后果的，乙方除应赔偿因此造成的一切损失外，甲方有权单方面解除本合同。</w:t>
      </w:r>
    </w:p>
    <w:p w14:paraId="0BE493D2">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7.必须按法律、法规及有关政策规定为其服务人员签订劳动合同，为服务人员缴纳养老保险、意外伤害险等保险费用，严格执行国家劳动法的相关规定。落实好安全生产的措施和配置安全作业的劳保用品。否则，出现的相关责任由乙方负责，因此给甲方造成损失，由乙方赔偿。</w:t>
      </w:r>
    </w:p>
    <w:p w14:paraId="65310E2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8.工作人员数量必须满足采购人的实际工作需求,灵活调整，且穿着统一标识的工作服。</w:t>
      </w:r>
    </w:p>
    <w:p w14:paraId="2431DB75">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9.不得有违法纵容、煽动工人怠工、罢工等过激行为,或因无视工人权益引致工人怠工、罢工等过激行为。应建立创优评先机制，激励员工争先评优，关心关爱员工，丰富企业文化，增强员工获得感及幸福感。</w:t>
      </w:r>
    </w:p>
    <w:p w14:paraId="093AE1A0">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10.乙方必须承担工作过程中因工伤致残或死亡等全部安全责任。</w:t>
      </w:r>
    </w:p>
    <w:p w14:paraId="32D92B6D">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11.主动积极地配合甲方共同做好防火、防盗、防水、防意外事故等各项措施工作,对所属服务区安全工作负有相关责任。</w:t>
      </w:r>
    </w:p>
    <w:p w14:paraId="49D51A91">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12.未经甲方同意不得将本项服务内容和责任转移给第三方。</w:t>
      </w:r>
    </w:p>
    <w:p w14:paraId="1055014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13.妥善保管相关资料,并按月整理归纳,定期向甲方报告。</w:t>
      </w:r>
    </w:p>
    <w:p w14:paraId="2077320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14.接受并积极配合甲方组织的定期考核、满意度调查等工作,并按甲方提出意见及时进行整改。</w:t>
      </w:r>
    </w:p>
    <w:p w14:paraId="3ECF8B7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五、违约责任</w:t>
      </w:r>
      <w:r>
        <w:rPr>
          <w:rFonts w:hint="eastAsia" w:ascii="国标仿宋-GB/T 2312" w:hAnsi="国标仿宋-GB/T 2312" w:eastAsia="国标仿宋-GB/T 2312" w:cs="国标仿宋-GB/T 2312"/>
          <w:color w:val="auto"/>
          <w:sz w:val="32"/>
          <w:szCs w:val="32"/>
          <w:lang w:val="en-US" w:eastAsia="zh-CN"/>
        </w:rPr>
        <w:tab/>
      </w:r>
      <w:r>
        <w:rPr>
          <w:rFonts w:hint="eastAsia" w:ascii="国标仿宋-GB/T 2312" w:hAnsi="国标仿宋-GB/T 2312" w:eastAsia="国标仿宋-GB/T 2312" w:cs="国标仿宋-GB/T 2312"/>
          <w:color w:val="auto"/>
          <w:sz w:val="32"/>
          <w:szCs w:val="32"/>
          <w:lang w:val="en-US" w:eastAsia="zh-CN"/>
        </w:rPr>
        <w:tab/>
      </w:r>
    </w:p>
    <w:p w14:paraId="493822B4">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1.乙方未按合同规定履行合同条款，甲方有权按合同约定及有关规定进行处罚或终止合同。</w:t>
      </w:r>
    </w:p>
    <w:p w14:paraId="26E8D1A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2.乙方应制定相应的工作制度及安全措施，确保规范操作、文明礼仪、安全无误的做好各项服务。如乙方与员工发生争议或纠纷、工伤及不安全事故，均与甲方无关，概由乙方自负全责。</w:t>
      </w:r>
    </w:p>
    <w:p w14:paraId="511FB9C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3.由于乙方原因给甲方造成损失的，由乙方承担全部赔偿责任。</w:t>
      </w:r>
    </w:p>
    <w:p w14:paraId="557607F2">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4.由于甲方原因给乙方造成损失的，乙方有权要求赔偿责任。</w:t>
      </w:r>
    </w:p>
    <w:p w14:paraId="7B08F04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5.甲、乙双方应当全面履行各自的权利和义务，共同遵守合同条款，否则构成违约，违约方应向对方支付违约金合同总额的5％。</w:t>
      </w:r>
    </w:p>
    <w:p w14:paraId="787497B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六、其他</w:t>
      </w:r>
      <w:r>
        <w:rPr>
          <w:rFonts w:hint="eastAsia" w:ascii="国标仿宋-GB/T 2312" w:hAnsi="国标仿宋-GB/T 2312" w:eastAsia="国标仿宋-GB/T 2312" w:cs="国标仿宋-GB/T 2312"/>
          <w:color w:val="auto"/>
          <w:sz w:val="32"/>
          <w:szCs w:val="32"/>
          <w:lang w:val="en-US" w:eastAsia="zh-CN"/>
        </w:rPr>
        <w:tab/>
      </w:r>
    </w:p>
    <w:p w14:paraId="709FAEB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1.乙方必须加强对员工的安全、遵纪守法、业务技能和文明素质等培训教育，确保高质、高效、和谐完成任务。</w:t>
      </w:r>
    </w:p>
    <w:p w14:paraId="6AC77F5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2.乙方要加强对员工工作态度、操作规范及仪容仪表、着装等方面的规范管理。</w:t>
      </w:r>
    </w:p>
    <w:p w14:paraId="0DC382C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3.因政策规定或其它特殊原因需要终止合同时，甲方可单方提前一个月通知乙方终止合同，双方互不承担违约责任。</w:t>
      </w:r>
    </w:p>
    <w:p w14:paraId="2453A02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4.乙方应加强员工的保密培训，确保甲方信息等安全。</w:t>
      </w:r>
    </w:p>
    <w:p w14:paraId="56822E2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七、合同未尽事宜，双方协商签订补充协议，补充协议与本合同具有同等法律效力。</w:t>
      </w:r>
    </w:p>
    <w:p w14:paraId="150B9835">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八、争议处理，本合同履行期发生争议，双方协商解决，协商不成，任何一方有权在当地法院起诉。</w:t>
      </w:r>
    </w:p>
    <w:p w14:paraId="56AB66E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outlineLvl w:val="9"/>
        <w:rPr>
          <w:rFonts w:hint="eastAsia" w:ascii="国标仿宋-GB/T 2312" w:hAnsi="国标仿宋-GB/T 2312" w:eastAsia="国标仿宋-GB/T 2312" w:cs="国标仿宋-GB/T 2312"/>
          <w:color w:val="auto"/>
          <w:sz w:val="32"/>
          <w:szCs w:val="32"/>
          <w:lang w:val="en-US" w:eastAsia="zh-CN"/>
        </w:rPr>
      </w:pPr>
      <w:r>
        <w:rPr>
          <w:rFonts w:hint="eastAsia" w:ascii="国标仿宋-GB/T 2312" w:hAnsi="国标仿宋-GB/T 2312" w:eastAsia="国标仿宋-GB/T 2312" w:cs="国标仿宋-GB/T 2312"/>
          <w:color w:val="auto"/>
          <w:sz w:val="32"/>
          <w:szCs w:val="32"/>
          <w:lang w:val="en-US" w:eastAsia="zh-CN"/>
        </w:rPr>
        <w:t xml:space="preserve">九、本合同自甲乙双方法定代表人签字盖章之日起生效。本合同一式四份，甲、乙双方各执两份。          </w:t>
      </w:r>
    </w:p>
    <w:p w14:paraId="322828B2">
      <w:pPr>
        <w:keepNext w:val="0"/>
        <w:keepLines w:val="0"/>
        <w:pageBreakBefore w:val="0"/>
        <w:widowControl w:val="0"/>
        <w:kinsoku/>
        <w:wordWrap/>
        <w:overflowPunct/>
        <w:topLinePunct w:val="0"/>
        <w:autoSpaceDE/>
        <w:autoSpaceDN/>
        <w:bidi w:val="0"/>
        <w:adjustRightInd/>
        <w:snapToGrid/>
        <w:spacing w:line="560" w:lineRule="exact"/>
        <w:ind w:right="0" w:rightChars="0" w:firstLine="960" w:firstLineChars="300"/>
        <w:jc w:val="left"/>
        <w:textAlignment w:val="auto"/>
        <w:outlineLvl w:val="9"/>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pPr>
      <w:r>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t>甲方(盖章):                   乙方(盖章): </w:t>
      </w:r>
    </w:p>
    <w:p w14:paraId="3D017412">
      <w:pPr>
        <w:keepNext w:val="0"/>
        <w:keepLines w:val="0"/>
        <w:pageBreakBefore w:val="0"/>
        <w:widowControl w:val="0"/>
        <w:kinsoku/>
        <w:wordWrap/>
        <w:overflowPunct/>
        <w:topLinePunct w:val="0"/>
        <w:autoSpaceDE/>
        <w:autoSpaceDN/>
        <w:bidi w:val="0"/>
        <w:adjustRightInd/>
        <w:snapToGrid/>
        <w:spacing w:line="560" w:lineRule="exact"/>
        <w:ind w:right="0" w:rightChars="0" w:firstLine="960" w:firstLineChars="300"/>
        <w:jc w:val="left"/>
        <w:textAlignment w:val="auto"/>
        <w:outlineLvl w:val="9"/>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pPr>
      <w:r>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t>地址:                        地址: </w:t>
      </w:r>
    </w:p>
    <w:p w14:paraId="4BF6B5BB">
      <w:pPr>
        <w:keepNext w:val="0"/>
        <w:keepLines w:val="0"/>
        <w:pageBreakBefore w:val="0"/>
        <w:widowControl w:val="0"/>
        <w:kinsoku/>
        <w:wordWrap/>
        <w:overflowPunct/>
        <w:topLinePunct w:val="0"/>
        <w:autoSpaceDE/>
        <w:autoSpaceDN/>
        <w:bidi w:val="0"/>
        <w:adjustRightInd/>
        <w:snapToGrid/>
        <w:spacing w:line="560" w:lineRule="exact"/>
        <w:ind w:right="0" w:rightChars="0" w:firstLine="960" w:firstLineChars="300"/>
        <w:jc w:val="left"/>
        <w:textAlignment w:val="auto"/>
        <w:outlineLvl w:val="9"/>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pPr>
      <w:r>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t>法人代表(签字):               法人(签字):</w:t>
      </w:r>
    </w:p>
    <w:p w14:paraId="673096E2">
      <w:pPr>
        <w:keepNext w:val="0"/>
        <w:keepLines w:val="0"/>
        <w:pageBreakBefore w:val="0"/>
        <w:widowControl w:val="0"/>
        <w:kinsoku/>
        <w:wordWrap/>
        <w:overflowPunct/>
        <w:topLinePunct w:val="0"/>
        <w:autoSpaceDE/>
        <w:autoSpaceDN/>
        <w:bidi w:val="0"/>
        <w:adjustRightInd/>
        <w:snapToGrid/>
        <w:spacing w:line="560" w:lineRule="exact"/>
        <w:ind w:right="0" w:rightChars="0" w:firstLine="481"/>
        <w:jc w:val="left"/>
        <w:textAlignment w:val="auto"/>
        <w:outlineLvl w:val="9"/>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pPr>
      <w:r>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t>   开户银行:                    开户银行:</w:t>
      </w:r>
    </w:p>
    <w:p w14:paraId="25A859D5">
      <w:pPr>
        <w:keepNext w:val="0"/>
        <w:keepLines w:val="0"/>
        <w:pageBreakBefore w:val="0"/>
        <w:widowControl w:val="0"/>
        <w:kinsoku/>
        <w:wordWrap/>
        <w:overflowPunct/>
        <w:topLinePunct w:val="0"/>
        <w:autoSpaceDE/>
        <w:autoSpaceDN/>
        <w:bidi w:val="0"/>
        <w:adjustRightInd/>
        <w:snapToGrid/>
        <w:spacing w:line="560" w:lineRule="exact"/>
        <w:ind w:right="0" w:rightChars="0" w:firstLine="960" w:firstLineChars="300"/>
        <w:jc w:val="left"/>
        <w:textAlignment w:val="auto"/>
        <w:outlineLvl w:val="9"/>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pPr>
      <w:r>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t>帐 号:                       账号:</w:t>
      </w:r>
    </w:p>
    <w:p w14:paraId="7EB50047">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outlineLvl w:val="9"/>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pPr>
      <w:r>
        <w:rPr>
          <w:rFonts w:hint="eastAsia"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t>签约日期:2026年  月  日        签约日期:2026年  月  日</w:t>
      </w:r>
    </w:p>
    <w:p w14:paraId="6BB59A3F">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outlineLvl w:val="9"/>
        <w:rPr>
          <w:rFonts w:hint="default" w:ascii="国标仿宋-GB/T 2312" w:hAnsi="国标仿宋-GB/T 2312" w:eastAsia="国标仿宋-GB/T 2312" w:cs="国标仿宋-GB/T 2312"/>
          <w:b w:val="0"/>
          <w:i w:val="0"/>
          <w:caps w:val="0"/>
          <w:color w:val="auto"/>
          <w:spacing w:val="0"/>
          <w:kern w:val="0"/>
          <w:sz w:val="32"/>
          <w:szCs w:val="32"/>
          <w:shd w:val="clear" w:color="auto" w:fill="FFFFFF"/>
          <w:lang w:val="en-US" w:eastAsia="zh-CN" w:bidi="ar"/>
        </w:rPr>
      </w:pPr>
    </w:p>
    <w:p w14:paraId="2A3B7544">
      <w:pPr>
        <w:keepLines w:val="0"/>
        <w:pageBreakBefore w:val="0"/>
        <w:kinsoku/>
        <w:wordWrap/>
        <w:overflowPunct/>
        <w:topLinePunct w:val="0"/>
        <w:bidi w:val="0"/>
        <w:snapToGrid/>
        <w:spacing w:line="560" w:lineRule="exact"/>
        <w:jc w:val="left"/>
        <w:rPr>
          <w:rFonts w:hint="eastAsia" w:ascii="国标仿宋-GB/T 2312" w:hAnsi="国标仿宋-GB/T 2312" w:eastAsia="国标仿宋-GB/T 2312" w:cs="国标仿宋-GB/T 2312"/>
          <w:color w:val="auto"/>
          <w:sz w:val="32"/>
          <w:szCs w:val="32"/>
        </w:rPr>
      </w:pPr>
    </w:p>
    <w:sectPr>
      <w:footerReference r:id="rId3" w:type="default"/>
      <w:pgSz w:w="11906" w:h="16838"/>
      <w:pgMar w:top="2098" w:right="1474"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国标仿宋-GB/T 2312">
    <w:altName w:val="仿宋"/>
    <w:panose1 w:val="020005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4ABC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05381">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105381">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yMDY3YmIyYmFmZDI4MGRmMWZiMzJhZDMxOWI2OGIifQ=="/>
  </w:docVars>
  <w:rsids>
    <w:rsidRoot w:val="00000000"/>
    <w:rsid w:val="11900871"/>
    <w:rsid w:val="12555F47"/>
    <w:rsid w:val="13655850"/>
    <w:rsid w:val="16E82AAB"/>
    <w:rsid w:val="1A2901CA"/>
    <w:rsid w:val="262E3BAA"/>
    <w:rsid w:val="33BC580E"/>
    <w:rsid w:val="33DF41E7"/>
    <w:rsid w:val="5A630835"/>
    <w:rsid w:val="6B2676B6"/>
    <w:rsid w:val="74B05023"/>
    <w:rsid w:val="784D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basedOn w:val="1"/>
    <w:next w:val="1"/>
    <w:qFormat/>
    <w:uiPriority w:val="0"/>
    <w:pPr>
      <w:keepNext/>
      <w:spacing w:line="320" w:lineRule="exact"/>
      <w:jc w:val="both"/>
      <w:outlineLvl w:val="2"/>
    </w:pPr>
    <w:rPr>
      <w:rFonts w:ascii="楷体_GB2312" w:hAnsi="Times New Roman" w:eastAsia="楷体_GB2312"/>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3087</Words>
  <Characters>3150</Characters>
  <Lines>0</Lines>
  <Paragraphs>0</Paragraphs>
  <TotalTime>21</TotalTime>
  <ScaleCrop>false</ScaleCrop>
  <LinksUpToDate>false</LinksUpToDate>
  <CharactersWithSpaces>3395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2023-04-10T09:34:00Z</dcterms:created>
  <dc:creator>Administrator</dc:creator>
  <cp:lastModifiedBy>李李李李李李李＊</cp:lastModifiedBy>
  <cp:lastPrinted>2026-05-11T03:59:00Z</cp:lastPrinted>
  <dcterms:modified xsi:type="dcterms:W3CDTF">2026-05-12T02:23:07Z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B39996E1CFDD45C9BBB6FB7AFFDA1432_13</vt:lpwstr>
  </property>
  <property fmtid="{D5CDD505-2E9C-101B-9397-08002B2CF9AE}" pid="4" name="KSOTemplateDocerSaveRecord">
    <vt:lpwstr>eyJoZGlkIjoiMDA0ZjkxY2QxMTgzNTZlNTkwMTE5MWMwYmY3ZjRjZWMiLCJ1c2VySWQiOiIxMDg0NzU1Nzk1In0=</vt:lpwstr>
  </property>
</Properties>
</file>