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版本号：JXRC-25101920260731001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高分辨扫描电子显微镜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JXRC-251019</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高分辨扫描电子显微镜</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JXRC-251019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高分辨扫描电子显微镜</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的高分辨扫描电子显微镜具有分辨率高，功能更强大，采集速度更快，具有大面积拼接功能。可以实现大样品宏观形貌的测试。仪器还配有功能强大的能谱分析仪，可以对样品的成分进行定性和定量的分析；EBSD配件可以实现对样品的微观结构进行快速、高精度的测量，为我校师生提供了具有世界先进水平的表征手段，进一步提高我校的科研教学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开户银行：民生银行西安分行营业部（转账时须附言：251019投标保证金）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说明：乙方在合同签订前向甲方指定账户交纳履约保证金，履约保证金金额为成交金额的5%（货物类），合同标的物经甲方验收合格后5 个工作日内，甲方将上述保证金无息全额退还乙方。如遇下列情况之一者，合同履约保证金不予退还，作为对采购人的赔偿：（1）合同签订后不能按合同时限要求供货的；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代理服务费收费标准：参照《国家计委关于印发&lt;招标代理服务收费管理暂行办法&gt;的通知》（计价格【2002】1980号）报价依据的80%计费标准向中标人/成交人收取。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的高分辨扫描电子显微镜具有纳米级分辨率与高效成像，并配备大面积拼接功能，可完整呈现大尺寸样品的宏观形貌特征；集成能谱分析（EDS）探头，实现对样品成分的定性识别与定量分析；搭载电子背散射衍射（EBSD）探头，可在原位力热场条件下，对样品微观结构进行快速、高精度的晶体学表征。该设备代表了当前国际先进的材料表征技术水平，将显著提升我校在微观结构分析、成分-性能关联研究等领域的科研能力，为师生开展前沿探索提供关键硬件支撑，助力教学与科研水平的整体跃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4,500,000.00</w:t>
      </w:r>
    </w:p>
    <w:p>
      <w:pPr>
        <w:pStyle w:val="null3"/>
      </w:pPr>
      <w:r>
        <w:rPr>
          <w:rFonts w:ascii="仿宋_GB2312" w:hAnsi="仿宋_GB2312" w:cs="仿宋_GB2312" w:eastAsia="仿宋_GB2312"/>
        </w:rPr>
        <w:t>采购包最高限价（元）: 4,190,000.00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高分辨扫描电子显微镜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标的名称：高分辨扫描电子显微镜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一、技术规格</w:t>
            </w:r>
          </w:p>
          <w:p>
            <w:pPr>
              <w:pStyle w:val="null3"/>
            </w:pPr>
            <w:r>
              <w:rPr>
                <w:rFonts w:ascii="仿宋_GB2312" w:hAnsi="仿宋_GB2312" w:cs="仿宋_GB2312" w:eastAsia="仿宋_GB2312"/>
              </w:rPr>
              <w:t>1、电子光学系统</w:t>
            </w:r>
          </w:p>
          <w:p>
            <w:pPr>
              <w:pStyle w:val="null3"/>
            </w:pPr>
            <w:r>
              <w:rPr>
                <w:rFonts w:ascii="仿宋_GB2312" w:hAnsi="仿宋_GB2312" w:cs="仿宋_GB2312" w:eastAsia="仿宋_GB2312"/>
              </w:rPr>
              <w:t>★1.1 二次电子分辨率：≤0.5nm@15kV, ≤1.0nm@1kV；</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1.2 放大倍率：覆盖20～1,000,000倍（标准宝丽来胶片比）, 根据加速电压和工作距离的改变，放大倍数自动校准，低倍率与高倍率无需模式更换；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1.3 电子枪：肖特基热场发射电子枪；</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1.4 束流：最大束流≥20nA，稳定性≤0.2%/h，抗噪性能≤1%/h；</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1.5 加速电压：覆盖0.02 kV～30 kV且连续可调；</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▲1.6 无漏磁物镜结构，对磁性材料近距离高分辨观察；</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2、样品室及样品台</w:t>
            </w:r>
          </w:p>
          <w:p>
            <w:pPr>
              <w:pStyle w:val="null3"/>
            </w:pPr>
            <w:r>
              <w:rPr>
                <w:rFonts w:ascii="仿宋_GB2312" w:hAnsi="仿宋_GB2312" w:cs="仿宋_GB2312" w:eastAsia="仿宋_GB2312"/>
              </w:rPr>
              <w:t>2.1 样品室：内部直径≥310mm, 高度≥270mm；可容纳的最大样品直径≥250mm，高度≥65mm；</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2.2 样品台移动范围：X≥110mm，Y≥110mm，Z≥50mm，双向倾斜，倾斜范围覆盖-4°~70°，可360°旋转，样品台载重≥5kg；</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▲2.3 配置多功能旋钮操作控制面板；</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2.4 配置样品室内彩色红外CCD，分辨率≥1244*1024，实时观察样品台位置；配置样品台定位CCD，分辨率≥1244*1024。</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2.5 光阑孔径数量或束流档位≥6；</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2.6样品座：≥七孔样品座。</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3、探测器</w:t>
            </w:r>
          </w:p>
          <w:p>
            <w:pPr>
              <w:pStyle w:val="null3"/>
            </w:pPr>
            <w:r>
              <w:rPr>
                <w:rFonts w:ascii="仿宋_GB2312" w:hAnsi="仿宋_GB2312" w:cs="仿宋_GB2312" w:eastAsia="仿宋_GB2312"/>
              </w:rPr>
              <w:t>3.1 样品室内配备二次电子探测器；物镜上方正光轴上镜筒内配备二次电子探测器；</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▲3.2 样品室内配备软件控制伸缩背散射电子探测器；</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▲3.3配置束流检测器或具有样品台吸收电流探测功能；</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4、真空系统</w:t>
            </w:r>
          </w:p>
          <w:p>
            <w:pPr>
              <w:pStyle w:val="null3"/>
            </w:pPr>
            <w:r>
              <w:rPr>
                <w:rFonts w:ascii="仿宋_GB2312" w:hAnsi="仿宋_GB2312" w:cs="仿宋_GB2312" w:eastAsia="仿宋_GB2312"/>
              </w:rPr>
              <w:t>4.1 配置涡轮分子泵和离子泵；配置前级机械泵；</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4.2样品室真空度：高真空模式≤5.0×10</w:t>
            </w:r>
            <w:r>
              <w:rPr>
                <w:rFonts w:ascii="仿宋_GB2312" w:hAnsi="仿宋_GB2312" w:cs="仿宋_GB2312" w:eastAsia="仿宋_GB2312"/>
                <w:sz w:val="21"/>
                <w:vertAlign w:val="superscript"/>
              </w:rPr>
              <w:t xml:space="preserve">-4 </w:t>
            </w:r>
            <w:r>
              <w:rPr>
                <w:rFonts w:ascii="仿宋_GB2312" w:hAnsi="仿宋_GB2312" w:cs="仿宋_GB2312" w:eastAsia="仿宋_GB2312"/>
                <w:sz w:val="21"/>
              </w:rPr>
              <w:t>Pa</w:t>
            </w:r>
            <w:r>
              <w:rPr>
                <w:rFonts w:ascii="仿宋_GB2312" w:hAnsi="仿宋_GB2312" w:cs="仿宋_GB2312" w:eastAsia="仿宋_GB2312"/>
              </w:rPr>
              <w:t>；</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5、数字图像记录系统</w:t>
            </w:r>
          </w:p>
          <w:p>
            <w:pPr>
              <w:pStyle w:val="null3"/>
            </w:pPr>
            <w:r>
              <w:rPr>
                <w:rFonts w:ascii="仿宋_GB2312" w:hAnsi="仿宋_GB2312" w:cs="仿宋_GB2312" w:eastAsia="仿宋_GB2312"/>
              </w:rPr>
              <w:t>5.1 图像扫描：单幅图像（不拼图）扫描分辨率≥30k×20k像素（px）；</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5.2 图像记录格式：TIFF、BMP、JPEG等。</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6、控制终端和数据处理系统</w:t>
            </w:r>
          </w:p>
          <w:p>
            <w:pPr>
              <w:pStyle w:val="null3"/>
            </w:pPr>
            <w:r>
              <w:rPr>
                <w:rFonts w:ascii="仿宋_GB2312" w:hAnsi="仿宋_GB2312" w:cs="仿宋_GB2312" w:eastAsia="仿宋_GB2312"/>
              </w:rPr>
              <w:t>6.1 控制终端处理系统</w:t>
            </w:r>
          </w:p>
          <w:p>
            <w:pPr>
              <w:pStyle w:val="null3"/>
            </w:pPr>
            <w:r>
              <w:rPr>
                <w:rFonts w:ascii="仿宋_GB2312" w:hAnsi="仿宋_GB2312" w:cs="仿宋_GB2312" w:eastAsia="仿宋_GB2312"/>
              </w:rPr>
              <w:t>6.1.1控制终端不低于下述配置： ≥8 核 16 线程; 16 GB内存；硬盘≥1 TB；显示终端 ≥27英寸LCD；</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6.1.2控制系统需集成数据处理系统；</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6.2数据处理系统</w:t>
            </w:r>
          </w:p>
          <w:p>
            <w:pPr>
              <w:pStyle w:val="null3"/>
            </w:pPr>
            <w:r>
              <w:rPr>
                <w:rFonts w:ascii="仿宋_GB2312" w:hAnsi="仿宋_GB2312" w:cs="仿宋_GB2312" w:eastAsia="仿宋_GB2312"/>
              </w:rPr>
              <w:t>6.2.1具备可自动调节功能，具备电子枪对中、真空控制、亮度与衬度、调焦和象散、动态聚焦、倾斜补偿等功能；</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6.2.2 具有双通道功能，可同时显示不同探测器拍摄的图像；</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6.2.3成像时所有探测器之间切换都无需重新调整光路参数；</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6.2.4 配置大面积图像自动拼接软件，可拼接图像数量不小于1000张。</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7、断电保护电源系统 要求断电后能延时3小时以上；</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8、能谱探头</w:t>
            </w:r>
          </w:p>
          <w:p>
            <w:pPr>
              <w:pStyle w:val="null3"/>
            </w:pPr>
            <w:r>
              <w:rPr>
                <w:rFonts w:ascii="仿宋_GB2312" w:hAnsi="仿宋_GB2312" w:cs="仿宋_GB2312" w:eastAsia="仿宋_GB2312"/>
              </w:rPr>
              <w:t>★8.1 能谱探头探测器：分析型SDD硅漂移电制冷探测器，有效面积≥65</w:t>
            </w:r>
            <w:r>
              <w:rPr>
                <w:rFonts w:ascii="仿宋_GB2312" w:hAnsi="仿宋_GB2312" w:cs="仿宋_GB2312" w:eastAsia="仿宋_GB2312"/>
                <w:sz w:val="21"/>
              </w:rPr>
              <w:t>mm</w:t>
            </w:r>
            <w:r>
              <w:rPr>
                <w:rFonts w:ascii="仿宋_GB2312" w:hAnsi="仿宋_GB2312" w:cs="仿宋_GB2312" w:eastAsia="仿宋_GB2312"/>
                <w:sz w:val="21"/>
                <w:vertAlign w:val="superscript"/>
              </w:rPr>
              <w:t>2</w:t>
            </w:r>
            <w:r>
              <w:rPr>
                <w:rFonts w:ascii="仿宋_GB2312" w:hAnsi="仿宋_GB2312" w:cs="仿宋_GB2312" w:eastAsia="仿宋_GB2312"/>
              </w:rPr>
              <w:t>；</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8.2 能量分辨率： Mn Ka保证≤127 eV（@计数率200,000cps）； F Ka 保证≤59 eV（@计数率50,000cps）； C Ka 保证≤46 eV（@计数率50,000cps）；</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8.3元素分析范围：覆盖Be4～Cf98范围；</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8.4探测器可软件控制自动伸缩；具备多探头控制能力，最多可同时控制和处理4个或以上能谱检测器；</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8.5具备元素谱图spectrum Live实时刷新显示功能；具备元素面分布Live实时刷新显示功能；具备零峰修正功能；具有实时谱图比对功能；</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8.6电子图像最高分辨率≥8192*8192像素（px）；元素面分布图分辨率≥4096*4096像素（px）；</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8.7线扫描分析每条线包含≥8192点；定性分析时可自动标识谱峰，可进行谱重构；具备K、L、M全谱线系数据库；</w:t>
            </w:r>
          </w:p>
        </w:tc>
      </w:tr>
      <w:tr>
        <w:tc>
          <w:tcPr>
            <w:tcW w:type="dxa" w:w="2769"/>
          </w:tcPr>
          <w:p>
            <w:pPr>
              <w:pStyle w:val="null3"/>
            </w:pPr>
            <w:r>
              <w:rPr>
                <w:rFonts w:ascii="仿宋_GB2312" w:hAnsi="仿宋_GB2312" w:cs="仿宋_GB2312" w:eastAsia="仿宋_GB2312"/>
              </w:rPr>
              <w:t>34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▲8.8软件具备谱峰剥离、面定量百分比和大面积拼接功能。</w:t>
            </w:r>
          </w:p>
        </w:tc>
      </w:tr>
      <w:tr>
        <w:tc>
          <w:tcPr>
            <w:tcW w:type="dxa" w:w="2769"/>
          </w:tcPr>
          <w:p>
            <w:pPr>
              <w:pStyle w:val="null3"/>
            </w:pPr>
            <w:r>
              <w:rPr>
                <w:rFonts w:ascii="仿宋_GB2312" w:hAnsi="仿宋_GB2312" w:cs="仿宋_GB2312" w:eastAsia="仿宋_GB2312"/>
              </w:rPr>
              <w:t>35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9、电子背散射衍射探头 （EBSD）</w:t>
            </w:r>
          </w:p>
          <w:p>
            <w:pPr>
              <w:pStyle w:val="null3"/>
            </w:pPr>
            <w:r>
              <w:rPr>
                <w:rFonts w:ascii="仿宋_GB2312" w:hAnsi="仿宋_GB2312" w:cs="仿宋_GB2312" w:eastAsia="仿宋_GB2312"/>
              </w:rPr>
              <w:t>★9.1电子背散射衍射探头（EBSD）控制软件与能谱探头控制软件一体化；配高温磷屏；</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9.2 CMOS相机，分辨率≥1244*1024；</w:t>
            </w:r>
          </w:p>
        </w:tc>
      </w:tr>
      <w:tr>
        <w:tc>
          <w:tcPr>
            <w:tcW w:type="dxa" w:w="2769"/>
          </w:tcPr>
          <w:p>
            <w:pPr>
              <w:pStyle w:val="null3"/>
            </w:pPr>
            <w:r>
              <w:rPr>
                <w:rFonts w:ascii="仿宋_GB2312" w:hAnsi="仿宋_GB2312" w:cs="仿宋_GB2312" w:eastAsia="仿宋_GB2312"/>
              </w:rPr>
              <w:t>37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▲9.3 EBSD探头在线解析最高标定速度≥600pps；</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9.4取向精度≤0.05度；</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9.5采用主动式防碰撞传感器设计，在碰撞发生前探测器自动预警并后撤；可用软件控制探测器插入和退出；</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9.6 软件配置 9.6.1支持分屏显示及远程控制；</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9.6.2 电子图像分辨率≥8192*8192 px，EBSD面分布图分辨率≥4096*4096 px；</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9.6.3 具备动态背景自动扣除功能；能对所有晶体材料的EBSD花样进行自动化的标定；配置HKL及ICSD晶体学数据库，数据容量≥5万种；</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9.6.4 配有64位EBSD数据后处理软件包，包含且不限于如下功能： （1）数据修饰；（2）晶粒统计（尺寸、形态等）； （3）晶界分析（特殊晶界、孪晶、CSL界面等、相邻及随机取向差曲线及其相似性分析等）； （4）应变分析（KAM，LAM，GROD，GOS，GND等）； （5）极图和反极图；（6）校准EBSD分析时由于漂移导致的与电子图像产生的失真；（7）软件具备真实相分布和大面积拼接功能和TKD专用样品台。</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9.7 控制处理终端不低于下述配置： ≥8 核 16 线程; ≥16 GB内存；硬盘≥2TB； 显示终端≥27英寸LCD；</w:t>
            </w:r>
          </w:p>
        </w:tc>
      </w:tr>
      <w:tr>
        <w:tc>
          <w:tcPr>
            <w:tcW w:type="dxa" w:w="2769"/>
          </w:tcPr>
          <w:p>
            <w:pPr>
              <w:pStyle w:val="null3"/>
            </w:pPr>
            <w:r>
              <w:rPr>
                <w:rFonts w:ascii="仿宋_GB2312" w:hAnsi="仿宋_GB2312" w:cs="仿宋_GB2312" w:eastAsia="仿宋_GB2312"/>
              </w:rPr>
              <w:t>45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9.8样品制备装置</w:t>
            </w:r>
          </w:p>
          <w:p>
            <w:pPr>
              <w:pStyle w:val="null3"/>
            </w:pPr>
            <w:r>
              <w:rPr>
                <w:rFonts w:ascii="仿宋_GB2312" w:hAnsi="仿宋_GB2312" w:cs="仿宋_GB2312" w:eastAsia="仿宋_GB2312"/>
              </w:rPr>
              <w:t>▲9.8.1 EBSD制样用振动抛光系统：工作盘直径≥φ300 mm; 振幅调节范围覆盖40.0-240Hz;</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9.8.2 EBSD制样用电解抛光系统：抛光/腐蚀工作时间可自行设定；抛光/腐蚀时间可定时可连续实时显示工作时间；抛光（腐蚀）面积可调，样品罩开孔直径10mm，15mm，25mm等；电解液容量≥300ml；</w:t>
            </w:r>
          </w:p>
        </w:tc>
      </w:tr>
      <w:tr>
        <w:tc>
          <w:tcPr>
            <w:tcW w:type="dxa" w:w="2769"/>
          </w:tcPr>
          <w:p>
            <w:pPr>
              <w:pStyle w:val="null3"/>
            </w:pPr>
            <w:r>
              <w:rPr>
                <w:rFonts w:ascii="仿宋_GB2312" w:hAnsi="仿宋_GB2312" w:cs="仿宋_GB2312" w:eastAsia="仿宋_GB2312"/>
              </w:rPr>
              <w:t>47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★10 原位拉伸台和热台（或温控模块），且能在原位力/热条件下进行EBSD测试</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10.1 原位拉伸台最大静态载荷5000N，载荷精度±0.1%F.S.；载荷分辨率：0.1N；最大行程不小于10mm；位移分辨率不大于1μm；力学模式：拉伸；拉伸速率：0.03～2mm/min；加载模式：采用位移控制/载荷控制；采用双电机结构，双向可独立控制，且能对称位移拉伸；</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10.2 原位热台或温控模块控温范围：室温～1000℃;温度稳定性：在设定点±0.1℃；最大升温速率：50℃/min，降温速率可控；</w:t>
            </w:r>
          </w:p>
        </w:tc>
      </w:tr>
      <w:tr>
        <w:tc>
          <w:tcPr>
            <w:tcW w:type="dxa" w:w="2769"/>
          </w:tcPr>
          <w:p>
            <w:pPr>
              <w:pStyle w:val="null3"/>
            </w:pPr>
            <w:r>
              <w:rPr>
                <w:rFonts w:ascii="仿宋_GB2312" w:hAnsi="仿宋_GB2312" w:cs="仿宋_GB2312" w:eastAsia="仿宋_GB2312"/>
              </w:rPr>
              <w:t>50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▲11 本仪器配套等离子清洗系统1套：工作气压：0.5-40 Pa；射频功率：5-50W；功耗：＜200W；</w:t>
            </w:r>
          </w:p>
        </w:tc>
      </w:tr>
      <w:tr>
        <w:tc>
          <w:tcPr>
            <w:tcW w:type="dxa" w:w="2769"/>
          </w:tcPr>
          <w:p>
            <w:pPr>
              <w:pStyle w:val="null3"/>
            </w:pPr>
            <w:r>
              <w:rPr>
                <w:rFonts w:ascii="仿宋_GB2312" w:hAnsi="仿宋_GB2312" w:cs="仿宋_GB2312" w:eastAsia="仿宋_GB2312"/>
              </w:rPr>
              <w:t>51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▲12 本仪器配套主动减震台1套。减振性能：2Hz@-10dB，5Hz@-20dB，10Hz@-25dB；主动减振频域:1.0-100 Hz；</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13 镀金和镀碳系统：</w:t>
            </w:r>
          </w:p>
          <w:p>
            <w:pPr>
              <w:pStyle w:val="null3"/>
            </w:pPr>
            <w:r>
              <w:rPr>
                <w:rFonts w:ascii="仿宋_GB2312" w:hAnsi="仿宋_GB2312" w:cs="仿宋_GB2312" w:eastAsia="仿宋_GB2312"/>
              </w:rPr>
              <w:t>13.1可使用多种金属靶材：Au，Pt等，靶材更换快速方便；</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13.2 溅射电流：1-50mA（最大电流高于50mA），连续可调；溅射时间连续可调；</w:t>
            </w:r>
          </w:p>
        </w:tc>
      </w:tr>
      <w:tr>
        <w:tc>
          <w:tcPr>
            <w:tcW w:type="dxa" w:w="2769"/>
          </w:tcPr>
          <w:p>
            <w:pPr>
              <w:pStyle w:val="null3"/>
            </w:pPr>
            <w:r>
              <w:rPr>
                <w:rFonts w:ascii="仿宋_GB2312" w:hAnsi="仿宋_GB2312" w:cs="仿宋_GB2312" w:eastAsia="仿宋_GB2312"/>
              </w:rPr>
              <w:t>54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▲13.3样品室尺寸≥Φ120*100mm；支持样品台旋转、升降功能，样品台与靶材距离在0-30mm范围内可调。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合同签订后135日历日完成供货、安装、调试并交付使用。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西安理工大学金花校区学科1号楼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按照剩余合同额向甲方开具不可撤销、见索即付的银行保函（或双方协商认可的其他方式），设备安装调试完成，经甲方验收合格并签署《验收合格报告》后，乙方开具增值税专用发票，甲方5个工作日内向乙方退还不可撤销、见索即付的银行保函正本；甲方收到银行保函正本后，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购置合同》（包括合同的配置清单、技术规格资料、技术协议、补充协议等）、装运单据（包括航空、铁路、公路、轮船、邮寄和快递等运单）和装箱清单、报关单据、商检证书等； （2）验收流程 ①到货初检（采购人、中标人共同参与）： 检查外包装完整性、防伪标识、运输损伤情况； 核对货物型号、数量、规格是否与合同一致； 检查随机文件（合格证、说明书、保修卡等）。 ②安装调试验收 按照合同的配置清单、技术规格资料、技术协议、补充协议等进行安装调试； 调试记录完整。 ③性能测试验收（关键指标实测） 连续运行120小时无故障； ④最终验收 设备安装调试完毕、正常运行6个月后。签署《验收报告》，产品保修期自验收合格之日起算，由中标人提供产品保修文件。 （3）中标人安装调试完毕，双方按合同文本及附件进行配件清点及功能认证。 （4）供应商应提供相关设备在安装调试、校验、初始运转中涉及费用（包括试剂、耗材、配件、服务等）应包括在报价中。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产品整体质保3年，其中灯丝质保期（含人工）不低于8年，均需生产厂家提供质保承诺书。质保期内，灯丝更换时由厂家或供应商提供最新产品并由厂家工程师免费更换。 质保期自甲方在货物质量验收合格之日起计算。质保期内出现任何非人为故意损坏的质量问题，由乙方包换或包退，并承担调换或退货的全部费用。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中标供应商未按合同约定的交货日期交货的，每逾期一日，向采购人支付逾期交付货物价款的1‰的违约金。中标供应商支付逾期交货违约金并不免除其交货的责任。 如中标供应商在政府采购合同规定的交货日期后15天内仍未能交货，则视为中标供应商不能交货，采购人有权解除政府采购合同，中标供应商除退还已收取的货款外，还应向采购人偿付政府采购合同总金额20%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一、专用工具、备品备件、安装调试及配套工程等要求 （1）专用工具及备件 应包含但不限于：1. 常规拆装工具如扳手、螺丝刀等，适配多种设备接口，2. 样品钉台100个；3. 导电胶带1卷；清洁剂、镊子等维护必需品；4. 振动抛光用氧化铝抛光液≥0.8升，氧化硅抛光液≥1.5升，振动抛光布1盒，配重3套，夹具3套；5. 标配一片0.1mm厚度的Pt或Au靶;标配碳丝（长度≥1米）/碳棒。 （2）安装调试要求 安装标准：执行GB50231-2009《机械设备安装工程施工及验收通用规范》； 人员培训：提供相关操作人员培训资料。 （3）配套工程 无 （4）质量保证 质量追溯：提供制造商原厂质量证明或质量检验报告； 货物要求：以采购人的要求为准，为采购人提供全新的货物（包括零部件）。 （5）售后服务 响应时限：设备发生故障后，供应商应及时提供技术支持，接到通知后4小时内响应，24小时内提出处理方案;如需现场处理，应在48小时内到达现场。 定期维护：每半年提供免费预防性维护服务。 二、付款条件（因系统编制受限，付款方式招标文件中有不一致的以此处为准）： 合同签订后5个工作日内，甲方向乙方支付合同总价的40%；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 三、产品保修期内，修理、更换、退货要求 （1）质量标准：中标人的产品质量应当符合国家行业规定的标准，并无任何瑕疵；中标人应按配置清单要求提供原装产品，除人为因素损坏外，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投标保证金缴纳凭证 其他材料 投标函 投标人基本信息 企业关联关系声明函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投标产品的技术指标满足或高于招标文件要求的，得满分30分。 1.带“★”标识（共4项）的参数需求为实质性要求，必须响应并满足参数需求。 2.带“▲”号技术指标满分20分（共10项），有一项不满足扣2分； 3.无标识技术参数满分10分（共40项），每有一项负偏离扣0.25分。 注：对标“▲”和“★”号技术参数供应商必须提供相关技术参数佐证材料（包括但不限于技术说明书或国家认可的检测机构出具的检测报告或制造商检验报告或产品彩页或官网功能截图等）予以证明其技术参数的响应性。未提供或评审委员会认定所提供材料无法有效证明的将视为不满足本参数要求。 2、对无标识技术参数投标人在投标文件中应尽可能多地提供技术支持资料予以证明其技术指标响应性，并在技术响应偏离表中标注对应页码及位置。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投标人针对本项目提供完整的项目实施方案。内容包含：①供货运输方案；②具有健全的产品安装、调试、试运行及验收方案；③团队人员配置计划；④应急预案。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上述4项评审内容全部满足评审标准得6分；每有一个评审内容缺项扣1.5分；每有一项评审内容存在缺陷，扣（0-1.5）分。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企业诚信声誉好、同类项目客户评价非常满意、没有或极少投诉等）。 设备选型方案思路清晰、科学合理、可行性强、完全满足采购人需求得4分； 设备选型方案思路清晰、科学合理、可行性较强、满足采购人需求得3分； 设备选型方案合理、可行性一般、基本满足采购人需求得2分； 设备选型方案不合理、可行性弱、不满足采购人需求得1分； 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上述2项评审内容全部满足评审标准得6分；每有一个评审内容缺项扣3分，扣完为止；每有一项评审内容存在缺陷，扣（0-3）分。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设备故障及维修服务到场响应时限及措施、备品备件供应计划等方面；②提供售后服务承诺且符合实际需求；③培训方案。 二、评审标准 1、完整性：方案须全面，对评审内容中的各项要求有详细描述； 2、可实施性：切合本项目实际情况，实施步骤清晰、合理； 3、针对性：方案能够紧扣项目实际情况，内容科学合理。 三、赋分依据（满分3分） 上述3项评审内容全部满足评审标准得3分；每有一个评审内容缺项扣1分，扣完为止；每有一项评审内容存在缺陷，扣（0-1）分。 说明：1、缺陷是指内容没有结合项目实际需求、虽有内容但不完善、内容表述前后不一致、套用其他项目方案或与项目需求不匹配及其他不利于项目实施的等任意一种情形。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整体质保期满足招标文件要求（3年）的基础上，每增加一年得2分（产品验收合格后开始计算），最高得4分； 在投标人承诺的质保期的基础上每增加1年主机免人工服务费加1分，最高2分；必须提供生产厂家承诺，无承诺不得分。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商务响应偏离表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5月1日至投标文件递交截止时间前（以合同签订日期为准）所投产品的业绩，需提供完整且清晰有效的合同复印件及对应货款发票(可查验)，合同内容必须包含首页，产品名称、型号以及签章页。每提供一份完整资料得1分，最多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详见附件：拟签订的采购合同模版.docx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