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版本号：YC26001007(CGQ)20260422001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遗物和花圈处置服务项目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YC26001007(CGQ)</w:t>
      </w:r>
      <w:r>
        <w:br/>
      </w:r>
      <w:r>
        <w:br/>
      </w:r>
      <w:r>
        <w:br/>
      </w:r>
    </w:p>
    <w:p>
      <w:pPr>
        <w:pStyle w:val="null3"/>
        <w:jc w:val="center"/>
        <w:outlineLvl w:val="2"/>
      </w:pPr>
      <w:r>
        <w:rPr>
          <w:rFonts w:ascii="仿宋_GB2312" w:hAnsi="仿宋_GB2312" w:cs="仿宋_GB2312" w:eastAsia="仿宋_GB2312"/>
          <w:sz w:val="28"/>
          <w:b/>
        </w:rPr>
        <w:t>西安市殡仪馆</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西安市殡仪馆</w:t>
      </w:r>
      <w:r>
        <w:rPr>
          <w:rFonts w:ascii="仿宋_GB2312" w:hAnsi="仿宋_GB2312" w:cs="仿宋_GB2312" w:eastAsia="仿宋_GB2312"/>
        </w:rPr>
        <w:t>委托，拟对</w:t>
      </w:r>
      <w:r>
        <w:rPr>
          <w:rFonts w:ascii="仿宋_GB2312" w:hAnsi="仿宋_GB2312" w:cs="仿宋_GB2312" w:eastAsia="仿宋_GB2312"/>
        </w:rPr>
        <w:t>遗物和花圈处置服务项目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YC26001007(CGQ)</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遗物和花圈处置服务项目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殡仪馆提供遗体接运、遗体冷藏、遗体火化、骨灰寄存安葬及安放等全流程殡葬服务，运营过程中产生的遗物、花圈等废弃物，统一归集至祭奠园指定存放位置，需依规、及时开展处置工作。为保障馆内环境整洁有序，规范废弃物处置全流程，契合国家环保及殡葬行业管理相关要求，提升场馆整体运营服务质量，本馆现采购遗物和花圈处置服务，明确处置标准、作业要求及权责划分，确保遗物和花圈处置工作安全、环保、高效开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采购包1（西安市殡仪馆遗物和花圈处置服务项目）：属于专门面向中小企业采购。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1、投标人主体：提供投标人有效存续的的法人或其他组织的营业执照/事业单位法人证书/非企业专业服务机构执业许可证/民办非企业单位登记证书；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财务状况报告（以下三种资料提供任意一种即可）：（1）提供2024或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2）其开标前半年内基本开户银行出具的资信证明；（3）信用担保机构出具的投标担保函；</w:t>
      </w:r>
    </w:p>
    <w:p>
      <w:pPr>
        <w:pStyle w:val="null3"/>
      </w:pPr>
      <w:r>
        <w:rPr>
          <w:rFonts w:ascii="仿宋_GB2312" w:hAnsi="仿宋_GB2312" w:cs="仿宋_GB2312" w:eastAsia="仿宋_GB2312"/>
        </w:rPr>
        <w:t>3、纳税证明：提供供应商2025年4月至今已缴纳任意一个月完税凭证或税务机关开具的完税证明（时间以税款所属日期为准，凭据应有税务机关或代收机关的公章或业务专用章）；依法免税的应提供相关文件证明；</w:t>
      </w:r>
    </w:p>
    <w:p>
      <w:pPr>
        <w:pStyle w:val="null3"/>
      </w:pPr>
      <w:r>
        <w:rPr>
          <w:rFonts w:ascii="仿宋_GB2312" w:hAnsi="仿宋_GB2312" w:cs="仿宋_GB2312" w:eastAsia="仿宋_GB2312"/>
        </w:rPr>
        <w:t>4、社会保障资金缴纳证明：提供供应商2025年4月至今已缴存的任意一个月的社会保障资金缴存单据或社保机构开具的社会保险参保缴费情况证明；依法不需要缴纳社会保障资金的应提供相关文件证明；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5、参加政府采购活动前3年内在经营活动中没有重大违法记录：参加政府采购活动前3年内在经营活动中没有重大违法记录的书面声明</w:t>
      </w:r>
    </w:p>
    <w:p>
      <w:pPr>
        <w:pStyle w:val="null3"/>
      </w:pPr>
      <w:r>
        <w:rPr>
          <w:rFonts w:ascii="仿宋_GB2312" w:hAnsi="仿宋_GB2312" w:cs="仿宋_GB2312" w:eastAsia="仿宋_GB2312"/>
        </w:rPr>
        <w:t>6、具有履行合同所必需的设备和专业技术能力：具有履行合同所必需的设备和专业技术能力的承诺函。</w:t>
      </w:r>
    </w:p>
    <w:p>
      <w:pPr>
        <w:pStyle w:val="null3"/>
      </w:pPr>
      <w:r>
        <w:rPr>
          <w:rFonts w:ascii="仿宋_GB2312" w:hAnsi="仿宋_GB2312" w:cs="仿宋_GB2312" w:eastAsia="仿宋_GB2312"/>
        </w:rPr>
        <w:t>7、投标人性质：本项目仅允许中小企业参与投标</w:t>
      </w:r>
    </w:p>
    <w:p>
      <w:pPr>
        <w:pStyle w:val="null3"/>
      </w:pPr>
      <w:r>
        <w:rPr>
          <w:rFonts w:ascii="仿宋_GB2312" w:hAnsi="仿宋_GB2312" w:cs="仿宋_GB2312" w:eastAsia="仿宋_GB2312"/>
        </w:rPr>
        <w:t>8、信用记录：未被列入“信用中国”网站及“中国政府采购网”网站失信被执行人、 重大税收违法案件当事人名单、政府采购严重违法失信行为记录名单。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西安市殡仪馆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长安区鸣犊留公三村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西安市殡仪馆经办刘杰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85696027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吴东、赵醒文、张耀峰，赵利科，李楠，董海龙，屈小军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13279436331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代理服务费收费标准：1、参照（发改办价格[2011]534号）收费标准计取； 2、代理服务费收款账户名称:亿诚建设项目管理有限公司 开户行:中国民生银行西安吉祥路支行 账号：699295538 行号:305791012112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西安市殡仪馆</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西安市殡仪馆</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西安市殡仪馆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联系人：吴东、董海龙、屈小军</w:t>
      </w:r>
    </w:p>
    <w:p>
      <w:pPr>
        <w:pStyle w:val="null3"/>
      </w:pPr>
      <w:r>
        <w:rPr>
          <w:rFonts w:ascii="仿宋_GB2312" w:hAnsi="仿宋_GB2312" w:cs="仿宋_GB2312" w:eastAsia="仿宋_GB2312"/>
        </w:rPr>
        <w:t>联系电话：13279436331</w:t>
      </w:r>
    </w:p>
    <w:p>
      <w:pPr>
        <w:pStyle w:val="null3"/>
      </w:pPr>
      <w:r>
        <w:rPr>
          <w:rFonts w:ascii="仿宋_GB2312" w:hAnsi="仿宋_GB2312" w:cs="仿宋_GB2312" w:eastAsia="仿宋_GB2312"/>
        </w:rPr>
        <w:t>地址：西安市高新区丈八五路高科尚都ONE尚城A座10F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殡仪馆提供遗体接运、遗体冷藏、遗体火化、骨灰寄存安葬及安放等全流程殡葬服务，运营过程中产生的遗物、花圈等废弃物，统一归集至祭奠园指定存放位置，需依规、及时开展处置工作。为保障馆内环境整洁有序，规范废弃物处置全流程，契合国家环保及殡葬行业管理相关要求，提升场馆整体运营服务质量，本馆现采购遗物和花圈处置服务，明确处置标准、作业要求及权责划分，确保遗物和花圈处置工作安全、环保、高效开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遗物和花圈处置服务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标的名称：遗物和花圈处置服务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color w:val="000000"/>
              </w:rPr>
              <w:t>服务内容</w:t>
            </w:r>
            <w:r>
              <w:rPr>
                <w:rFonts w:ascii="仿宋_GB2312" w:hAnsi="仿宋_GB2312" w:cs="仿宋_GB2312" w:eastAsia="仿宋_GB2312"/>
                <w:sz w:val="21"/>
                <w:b/>
                <w:color w:val="000000"/>
              </w:rPr>
              <w:t>：</w:t>
            </w:r>
          </w:p>
          <w:p>
            <w:pPr>
              <w:pStyle w:val="null3"/>
            </w:pPr>
            <w:r>
              <w:rPr>
                <w:rFonts w:ascii="仿宋_GB2312" w:hAnsi="仿宋_GB2312" w:cs="仿宋_GB2312" w:eastAsia="仿宋_GB2312"/>
                <w:sz w:val="21"/>
                <w:color w:val="000000"/>
              </w:rPr>
              <w:t>服务区域为西安市殡仪馆全域，所有区域产生的遗物、花圈均统一归集至祭奠园指定存放位置，核心工作内容为：在祭奠园指定存放位置完成遗物、花圈的集中收集、专业压缩、密闭装车，每日从该存放位置统一拉运，将废弃物运输至垃圾处理场并完成合规交接与处置，全程规范做好作业记录及台账管理工作。</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color w:val="000000"/>
              </w:rPr>
              <w:t>技术要求</w:t>
            </w:r>
            <w:r>
              <w:rPr>
                <w:rFonts w:ascii="仿宋_GB2312" w:hAnsi="仿宋_GB2312" w:cs="仿宋_GB2312" w:eastAsia="仿宋_GB2312"/>
                <w:sz w:val="21"/>
                <w:b/>
                <w:color w:val="000000"/>
              </w:rPr>
              <w:t>：</w:t>
            </w:r>
          </w:p>
          <w:p>
            <w:pPr>
              <w:pStyle w:val="null3"/>
            </w:pPr>
            <w:r>
              <w:rPr>
                <w:rFonts w:ascii="仿宋_GB2312" w:hAnsi="仿宋_GB2312" w:cs="仿宋_GB2312" w:eastAsia="仿宋_GB2312"/>
                <w:sz w:val="21"/>
                <w:color w:val="000000"/>
              </w:rPr>
              <w:t>1.每日完成到馆内祭奠园指定位置拉运遗物、花圈等，做到日产日清、无堆积无遗漏，收集时间贴合馆内运营节奏，不得影响正常殡葬服务开展。</w:t>
            </w:r>
          </w:p>
          <w:p>
            <w:pPr>
              <w:pStyle w:val="null3"/>
            </w:pPr>
            <w:r>
              <w:rPr>
                <w:rFonts w:ascii="仿宋_GB2312" w:hAnsi="仿宋_GB2312" w:cs="仿宋_GB2312" w:eastAsia="仿宋_GB2312"/>
                <w:sz w:val="21"/>
                <w:color w:val="000000"/>
              </w:rPr>
              <w:t>2.对从祭奠园指定存放位置收集的遗物、花圈进行专业压缩处理，压缩作业全程落实防污染措施，保持作业区域整洁，杜绝二次污染。</w:t>
            </w:r>
          </w:p>
          <w:p>
            <w:pPr>
              <w:pStyle w:val="null3"/>
            </w:pPr>
            <w:r>
              <w:rPr>
                <w:rFonts w:ascii="仿宋_GB2312" w:hAnsi="仿宋_GB2312" w:cs="仿宋_GB2312" w:eastAsia="仿宋_GB2312"/>
                <w:sz w:val="21"/>
                <w:color w:val="000000"/>
              </w:rPr>
              <w:t>3.从祭奠园指定存放位置拉运的压缩后废弃物，须采用密闭式方式运输，全程严格执行密闭运输相关规范。</w:t>
            </w:r>
          </w:p>
          <w:p>
            <w:pPr>
              <w:pStyle w:val="null3"/>
            </w:pPr>
            <w:r>
              <w:rPr>
                <w:rFonts w:ascii="仿宋_GB2312" w:hAnsi="仿宋_GB2312" w:cs="仿宋_GB2312" w:eastAsia="仿宋_GB2312"/>
                <w:sz w:val="21"/>
                <w:color w:val="000000"/>
              </w:rPr>
              <w:t>4.从祭奠园指定存放位置拉运至垃圾处理场的全运输过程，确保废弃物无外溢、无散落，详实记录作业全轨迹，包含祭奠园存放位置收集时间、运输出发时间、处置交接详情等信息，建立完整台账，并按要求向本馆提交作业报告。</w:t>
            </w:r>
          </w:p>
          <w:p>
            <w:pPr>
              <w:pStyle w:val="null3"/>
            </w:pPr>
            <w:r>
              <w:rPr>
                <w:rFonts w:ascii="仿宋_GB2312" w:hAnsi="仿宋_GB2312" w:cs="仿宋_GB2312" w:eastAsia="仿宋_GB2312"/>
                <w:sz w:val="21"/>
                <w:color w:val="000000"/>
              </w:rPr>
              <w:t>5.在指定垃圾处理场完成废弃物的合规交接与处置，妥善留存处置凭证并及时提交本馆。</w:t>
            </w:r>
          </w:p>
          <w:p>
            <w:pPr>
              <w:pStyle w:val="null3"/>
            </w:pPr>
            <w:r>
              <w:rPr>
                <w:rFonts w:ascii="仿宋_GB2312" w:hAnsi="仿宋_GB2312" w:cs="仿宋_GB2312" w:eastAsia="仿宋_GB2312"/>
                <w:sz w:val="21"/>
                <w:color w:val="000000"/>
              </w:rPr>
              <w:t>6.配备专人作为日常对接专员，专属负责与本馆的工作衔接，及时响应本馆的作业调整要求，高效处理各类突发情况。</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color w:val="000000"/>
              </w:rPr>
              <w:t>服务要求</w:t>
            </w:r>
          </w:p>
          <w:p>
            <w:pPr>
              <w:pStyle w:val="null3"/>
            </w:pPr>
            <w:r>
              <w:rPr>
                <w:rFonts w:ascii="仿宋_GB2312" w:hAnsi="仿宋_GB2312" w:cs="仿宋_GB2312" w:eastAsia="仿宋_GB2312"/>
                <w:sz w:val="21"/>
                <w:color w:val="000000"/>
              </w:rPr>
              <w:t>1.成交供应商须配备符合国家环保标准及道路运输要求的密闭式压缩设备、运输车辆等，设备及车辆需定期检修维护，保持性能良好、车身整洁；车辆需张贴规范标识，不得在馆内随意停放，从祭奠园指定存放位置拉运作业时，按馆内指定路线行驶、指定区域操作。</w:t>
            </w:r>
          </w:p>
          <w:p>
            <w:pPr>
              <w:pStyle w:val="null3"/>
            </w:pPr>
            <w:r>
              <w:rPr>
                <w:rFonts w:ascii="仿宋_GB2312" w:hAnsi="仿宋_GB2312" w:cs="仿宋_GB2312" w:eastAsia="仿宋_GB2312"/>
                <w:sz w:val="21"/>
                <w:color w:val="000000"/>
              </w:rPr>
              <w:t>2.成交供应商工作人员须经专业培训合格后上岗，作业时配备齐全劳动防护用品；在祭奠园指定存放位置及馆内相关区域作业过程中，严格遵守本馆场馆管理规定、消防安全制度及相关安全操作规程，规范操作作业设备。</w:t>
            </w:r>
          </w:p>
          <w:p>
            <w:pPr>
              <w:pStyle w:val="null3"/>
            </w:pPr>
            <w:r>
              <w:rPr>
                <w:rFonts w:ascii="仿宋_GB2312" w:hAnsi="仿宋_GB2312" w:cs="仿宋_GB2312" w:eastAsia="仿宋_GB2312"/>
                <w:sz w:val="21"/>
                <w:color w:val="000000"/>
              </w:rPr>
              <w:t>3.成交供应商工作人员在祭奠园指定存放位置及馆内作业期间，如发生工伤、意外事故等，一切人身损害赔偿、财产损失及相关费用均与本馆无关，由成交供应商全额承担。</w:t>
            </w:r>
          </w:p>
          <w:p>
            <w:pPr>
              <w:pStyle w:val="null3"/>
            </w:pPr>
            <w:r>
              <w:rPr>
                <w:rFonts w:ascii="仿宋_GB2312" w:hAnsi="仿宋_GB2312" w:cs="仿宋_GB2312" w:eastAsia="仿宋_GB2312"/>
                <w:sz w:val="21"/>
                <w:color w:val="000000"/>
              </w:rPr>
              <w:t>4.成交供应商从祭奠园指定存放位置拉运、处置废弃物的全过程，须严格遵守《中华人民共和国环境保护法》《固体废物污染环境防治法》等国家及地方环保相关法律法规，符合道路运输及固体废物处置的环保要求。</w:t>
            </w:r>
          </w:p>
          <w:p>
            <w:pPr>
              <w:pStyle w:val="null3"/>
            </w:pPr>
            <w:r>
              <w:rPr>
                <w:rFonts w:ascii="仿宋_GB2312" w:hAnsi="仿宋_GB2312" w:cs="仿宋_GB2312" w:eastAsia="仿宋_GB2312"/>
                <w:sz w:val="21"/>
                <w:color w:val="000000"/>
              </w:rPr>
              <w:t>5.成交供应商从祭奠园指定存放位置拉运废弃物过程中，若发生废弃物外溢、撒漏等情况，须第一时间采取应急清理措施，同时承担环保部门核定的罚款金额；若发生于馆内，还需全额承担本馆因清扫、处理撒漏物产生的人工、物料、设备等所有相关费用。</w:t>
            </w:r>
          </w:p>
          <w:p>
            <w:pPr>
              <w:pStyle w:val="null3"/>
            </w:pPr>
            <w:r>
              <w:rPr>
                <w:rFonts w:ascii="仿宋_GB2312" w:hAnsi="仿宋_GB2312" w:cs="仿宋_GB2312" w:eastAsia="仿宋_GB2312"/>
                <w:sz w:val="21"/>
                <w:color w:val="000000"/>
              </w:rPr>
              <w:t>6.若因成交供应商从祭奠园指定存放位置拉运、处置废弃物的行为，引发环保方面的投诉、举报、行政处罚等情形，所有法律责任、行政处罚费用及由此给本馆造成的名誉、经济损失，均由成交供应商全额承担。</w:t>
            </w:r>
          </w:p>
          <w:p>
            <w:pPr>
              <w:pStyle w:val="null3"/>
            </w:pPr>
            <w:r>
              <w:rPr>
                <w:rFonts w:ascii="仿宋_GB2312" w:hAnsi="仿宋_GB2312" w:cs="仿宋_GB2312" w:eastAsia="仿宋_GB2312"/>
                <w:sz w:val="21"/>
                <w:color w:val="000000"/>
              </w:rPr>
              <w:t>7.若因成交供应商从祭奠园指定存放位置拉运废弃物发生外溢、撒漏等行为引发社会不良影响，本馆将依法追究成交供应商的全部法律责任；同时成交供应商须承担本馆处理该事件的一切费用，并赔偿本馆的名誉损失。</w:t>
            </w:r>
          </w:p>
          <w:p>
            <w:pPr>
              <w:pStyle w:val="null3"/>
            </w:pPr>
            <w:r>
              <w:rPr>
                <w:rFonts w:ascii="仿宋_GB2312" w:hAnsi="仿宋_GB2312" w:cs="仿宋_GB2312" w:eastAsia="仿宋_GB2312"/>
                <w:sz w:val="21"/>
                <w:color w:val="000000"/>
              </w:rPr>
              <w:t>8.成交供应商及工作人员须严格遵守保密规定，不得泄露本馆任何内部资料，包括但不限于火化信息、丧属个人信息、场馆运营数据、管理规定、祭奠园作业相关数据等；若发生信息泄露，成交供应商须承担由此给本馆及丧属造成的全部损失，本馆有权单方面解除合同并追究成交供应商的法律责任。</w:t>
            </w:r>
          </w:p>
          <w:p>
            <w:pPr>
              <w:pStyle w:val="null3"/>
            </w:pPr>
            <w:r>
              <w:rPr>
                <w:rFonts w:ascii="仿宋_GB2312" w:hAnsi="仿宋_GB2312" w:cs="仿宋_GB2312" w:eastAsia="仿宋_GB2312"/>
                <w:sz w:val="21"/>
                <w:color w:val="000000"/>
              </w:rPr>
              <w:t>9.成交供应商在祭奠园指定存放位置及馆内作业过程中，不得损坏本馆的设施、设备、绿化等；若造成损坏，成交供应商须在规定时间内无偿修复或照价赔偿。</w:t>
            </w:r>
          </w:p>
          <w:p>
            <w:pPr>
              <w:pStyle w:val="null3"/>
            </w:pPr>
            <w:r>
              <w:rPr>
                <w:rFonts w:ascii="仿宋_GB2312" w:hAnsi="仿宋_GB2312" w:cs="仿宋_GB2312" w:eastAsia="仿宋_GB2312"/>
                <w:sz w:val="21"/>
                <w:color w:val="000000"/>
              </w:rPr>
              <w:t>10.本馆有权对成交供应商在祭奠园指定存放位置的日常作业过程、台账记录、设备维护等情况进行不定期检查、抽查，成交供应商须积极配合；对检查发现的问题，须按本馆要求限期整改，整改不合格的，本馆有权扣除成交供应商服务费。</w:t>
            </w:r>
          </w:p>
          <w:p>
            <w:pPr>
              <w:pStyle w:val="null3"/>
            </w:pPr>
            <w:r>
              <w:rPr>
                <w:rFonts w:ascii="仿宋_GB2312" w:hAnsi="仿宋_GB2312" w:cs="仿宋_GB2312" w:eastAsia="仿宋_GB2312"/>
                <w:sz w:val="21"/>
                <w:color w:val="000000"/>
              </w:rPr>
              <w:t>11.成交供应商须按要求配备项目负责人、巡逻员、驾驶员、装车员等岗位人员，所有人员须定岗定责，保障遗物和花圈等处置全流程作业的有序开展。</w:t>
            </w:r>
          </w:p>
          <w:p>
            <w:pPr>
              <w:pStyle w:val="null3"/>
            </w:pPr>
            <w:r>
              <w:rPr>
                <w:rFonts w:ascii="仿宋_GB2312" w:hAnsi="仿宋_GB2312" w:cs="仿宋_GB2312" w:eastAsia="仿宋_GB2312"/>
                <w:sz w:val="21"/>
                <w:color w:val="000000"/>
              </w:rPr>
              <w:t>12、服务期间，如遇本馆祭奠园指定存放位置调整、作业区域变更、作业要求修改等情况，</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须无条件配合本馆的作业安排，不得以此为由要求增加服务费用。</w:t>
            </w:r>
          </w:p>
          <w:p>
            <w:pPr>
              <w:pStyle w:val="null3"/>
            </w:pPr>
            <w:r>
              <w:rPr>
                <w:rFonts w:ascii="仿宋_GB2312" w:hAnsi="仿宋_GB2312" w:cs="仿宋_GB2312" w:eastAsia="仿宋_GB2312"/>
                <w:sz w:val="21"/>
                <w:color w:val="000000"/>
              </w:rPr>
              <w:t>13、若</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未按本需求书要求履行遗物和花圈归集等、祭奠园指定存放位置拉运及处置相关义务，本馆有权单方面解除合同，</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须全额或部分退还本馆已支付的相关费用，并承担由此给本馆造成的一切损失。</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须配备项目负责人、巡逻员、驾驶员、装车员等岗位人员，所有人员须定岗定责。</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须配备符合国家环保标准及道路运输要求的密闭式压缩设备、运输车辆。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合同签署之日起一年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西安市殡仪馆馆内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由投标人提出验收申请，采购人收到验收申请后组织验收。投标人提供的服务必须符合国家标准和行业标准。投标人承诺的技术、服务条款必须与投标时提供的完全一致，不存在任何偏差。如出现不一致，投标人将承担违约责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合同签订后按季度支付，每三个月结算一次，第一季度服务完成验收合格后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第二季度服务完成验收合格后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第三季度服务完成验收合格后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第四季度服务完成验收合格后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按照合同约定内容执行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电子投标文件制作过程中，需要法定代表人签字或盖章的地方，请使用“法人CA锁”进行签章或直接签字或盖章；文件需要逐页加盖供应商公章或使用“CA锁”进行逐页盖章。2、成交供应商在领取成交通知书前，须向采购代理机构提供纸质版响应文件1套，且提供的响应文件必须与在陕西省政府采购综合管理平台的项目电子化交易系统中递交的电子响应文件内容一致，纸质版响应文件必须装订成册签字盖章。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投标人主体</w:t>
            </w:r>
          </w:p>
        </w:tc>
        <w:tc>
          <w:tcPr>
            <w:tcW w:type="dxa" w:w="3322"/>
          </w:tcPr>
          <w:p>
            <w:pPr>
              <w:pStyle w:val="null3"/>
            </w:pPr>
            <w:r>
              <w:rPr>
                <w:rFonts w:ascii="仿宋_GB2312" w:hAnsi="仿宋_GB2312" w:cs="仿宋_GB2312" w:eastAsia="仿宋_GB2312"/>
              </w:rPr>
              <w:t>提供投标人有效存续的的法人或其他组织的营业执照/事业单位法人证书/非企业专业服务机构执业许可证/民办非企业单位登记证书；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报告（以下三种资料提供任意一种即可）：（1）提供2024或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2）其开标前半年内基本开户银行出具的资信证明；（3）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提供供应商2025年4月至今已缴纳任意一个月完税凭证或税务机关开具的完税证明（时间以税款所属日期为准，凭据应有税务机关或代收机关的公章或业务专用章）；依法免税的应提供相关文件证明；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提供供应商2025年4月至今已缴存的任意一个月的社会保障资金缴存单据或社保机构开具的社会保险参保缴费情况证明；依法不需要缴纳社会保障资金的应提供相关文件证明；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投标人性质</w:t>
            </w:r>
          </w:p>
        </w:tc>
        <w:tc>
          <w:tcPr>
            <w:tcW w:type="dxa" w:w="3322"/>
          </w:tcPr>
          <w:p>
            <w:pPr>
              <w:pStyle w:val="null3"/>
            </w:pPr>
            <w:r>
              <w:rPr>
                <w:rFonts w:ascii="仿宋_GB2312" w:hAnsi="仿宋_GB2312" w:cs="仿宋_GB2312" w:eastAsia="仿宋_GB2312"/>
              </w:rPr>
              <w:t>本项目仅允许中小企业参与投标</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未被列入“信用中国”网站及“中国政府采购网”网站失信被执行人、 重大税收违法案件当事人名单、政府采购严重违法失信行为记录名单。</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服务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响应文件的签署、盖章符合采购文件要求，且无遗漏。</w:t>
            </w:r>
          </w:p>
        </w:tc>
        <w:tc>
          <w:tcPr>
            <w:tcW w:type="dxa" w:w="1661"/>
          </w:tcPr>
          <w:p>
            <w:pPr>
              <w:pStyle w:val="null3"/>
            </w:pPr>
            <w:r>
              <w:rPr>
                <w:rFonts w:ascii="仿宋_GB2312" w:hAnsi="仿宋_GB2312" w:cs="仿宋_GB2312" w:eastAsia="仿宋_GB2312"/>
              </w:rPr>
              <w:t>售后服务方案.docx 业绩.docx 服务内容及服务邀请应答表 中小企业声明函 商务应答表 应急处置能力.docx 服务质量保障措施方案.docx 处置工艺与环保方案.docx 处置流程与规范性.docx 资格证明文件.docx 法定代表人身份证明书及授权委托书.docx 响应文件封面 人员配置.docx 服务质量跟进制度及监督考核方案管理制度.docx 残疾人福利性单位声明函 保密制度.docx 环保设备与技术保障.docx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符合采购文件要求、合法有效。</w:t>
            </w:r>
          </w:p>
        </w:tc>
        <w:tc>
          <w:tcPr>
            <w:tcW w:type="dxa" w:w="1661"/>
          </w:tcPr>
          <w:p>
            <w:pPr>
              <w:pStyle w:val="null3"/>
            </w:pPr>
            <w:r>
              <w:rPr>
                <w:rFonts w:ascii="仿宋_GB2312" w:hAnsi="仿宋_GB2312" w:cs="仿宋_GB2312" w:eastAsia="仿宋_GB2312"/>
              </w:rPr>
              <w:t>法定代表人身份证明书及授权委托书.docx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磋商项目技术、服务、商务及其他要求响应</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不存在围标串标</w:t>
            </w:r>
          </w:p>
        </w:tc>
        <w:tc>
          <w:tcPr>
            <w:tcW w:type="dxa" w:w="3322"/>
          </w:tcPr>
          <w:p>
            <w:pPr>
              <w:pStyle w:val="null3"/>
            </w:pPr>
            <w:r>
              <w:rPr>
                <w:rFonts w:ascii="仿宋_GB2312" w:hAnsi="仿宋_GB2312" w:cs="仿宋_GB2312" w:eastAsia="仿宋_GB2312"/>
              </w:rPr>
              <w:t>不存在以下情形： （1）不同供应商委托同一单位或者个人办理投标事宜； （2）不同供应商的响应文件载明的项目管理成员或者联系人员为同一人；（3）不同供应商的响应文件异常一致或者响应报价呈规律性差异。</w:t>
            </w:r>
          </w:p>
        </w:tc>
        <w:tc>
          <w:tcPr>
            <w:tcW w:type="dxa" w:w="1661"/>
          </w:tcPr>
          <w:p>
            <w:pPr>
              <w:pStyle w:val="null3"/>
            </w:pPr>
            <w:r>
              <w:rPr>
                <w:rFonts w:ascii="仿宋_GB2312" w:hAnsi="仿宋_GB2312" w:cs="仿宋_GB2312" w:eastAsia="仿宋_GB2312"/>
              </w:rPr>
              <w:t>售后服务方案.docx 业绩.docx 服务内容及服务邀请应答表 中小企业声明函 商务应答表 应急处置能力.docx 服务质量保障措施方案.docx 处置工艺与环保方案.docx 处置流程与规范性.docx 资格证明文件.docx 法定代表人身份证明书及授权委托书.docx 响应文件封面 人员配置.docx 服务质量跟进制度及监督考核方案管理制度.docx 残疾人福利性单位声明函 保密制度.docx 标的清单 环保设备与技术保障.docx 响应函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1、未超出最高限价；2、报价唯一。</w:t>
            </w:r>
          </w:p>
        </w:tc>
        <w:tc>
          <w:tcPr>
            <w:tcW w:type="dxa" w:w="1661"/>
          </w:tcPr>
          <w:p>
            <w:pPr>
              <w:pStyle w:val="null3"/>
            </w:pPr>
            <w:r>
              <w:rPr>
                <w:rFonts w:ascii="仿宋_GB2312" w:hAnsi="仿宋_GB2312" w:cs="仿宋_GB2312" w:eastAsia="仿宋_GB2312"/>
              </w:rPr>
              <w:t>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供应商针对本项目制定详细的提供切实可行的服务方案（包括但不限于①服务目标②日常管理制度③工作计划④工作方法及措施）等内容赋分：1服务方案内容齐全、针对性及可行性强，得3分； 2.服务方案内容基本齐全，针对性及可行性基本可行，得2分；3.服务方案内容简单，针对性及可行性基本较差得1分；4.方案存在严重缺陷或未提供具体方案，该项不得分。注：以上4项内容，每项3分，最高得12分。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处置工艺与环保方案</w:t>
            </w:r>
          </w:p>
        </w:tc>
        <w:tc>
          <w:tcPr>
            <w:tcW w:type="dxa" w:w="2492"/>
          </w:tcPr>
          <w:p>
            <w:pPr>
              <w:pStyle w:val="null3"/>
            </w:pPr>
            <w:r>
              <w:rPr>
                <w:rFonts w:ascii="仿宋_GB2312" w:hAnsi="仿宋_GB2312" w:cs="仿宋_GB2312" w:eastAsia="仿宋_GB2312"/>
              </w:rPr>
              <w:t>1、采用先进、成熟的环保处置工艺，严格契合《中华人民共和国环境保护法》《固体废物污染环境防治法》及国家、地方环保标准，针对馆内遗物、花圈特性实现分类处置、专业压缩，能有效杜绝二次污染，实现污染物减量化、无害化处置，得10分； 2、采用较先进的处置工艺，基本符合上述环保法规及标准，能完成分类压缩、合规处置，环保措施基本到位，无明显二次污染隐患，得6分； 3、处置工艺常规，仅能完成基础处置流程，环保措施不够完善，存在轻微二次污染风险，仅部分满足环保标准，得3分； 4、未提供具体处置工艺，或工艺落后、不符合环保法规及标准，无法杜绝二次污染，存在严重环保隐患，不得分。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处置工艺与环保方案.docx</w:t>
            </w:r>
          </w:p>
        </w:tc>
      </w:tr>
      <w:tr>
        <w:tc>
          <w:tcPr>
            <w:tcW w:type="dxa" w:w="831"/>
            <w:vMerge/>
          </w:tcPr>
          <w:p/>
        </w:tc>
        <w:tc>
          <w:tcPr>
            <w:tcW w:type="dxa" w:w="1661"/>
          </w:tcPr>
          <w:p>
            <w:pPr>
              <w:pStyle w:val="null3"/>
            </w:pPr>
            <w:r>
              <w:rPr>
                <w:rFonts w:ascii="仿宋_GB2312" w:hAnsi="仿宋_GB2312" w:cs="仿宋_GB2312" w:eastAsia="仿宋_GB2312"/>
              </w:rPr>
              <w:t>处置流程与规范性</w:t>
            </w:r>
          </w:p>
        </w:tc>
        <w:tc>
          <w:tcPr>
            <w:tcW w:type="dxa" w:w="2492"/>
          </w:tcPr>
          <w:p>
            <w:pPr>
              <w:pStyle w:val="null3"/>
            </w:pPr>
            <w:r>
              <w:rPr>
                <w:rFonts w:ascii="仿宋_GB2312" w:hAnsi="仿宋_GB2312" w:cs="仿宋_GB2312" w:eastAsia="仿宋_GB2312"/>
              </w:rPr>
              <w:t>1、严格遵循服务要求，建立标准化全流程处置体系，明确每日拉运时间（贴合馆内运营节奏），实现“集中收集-专业压缩-密闭装车-规范拉运-合规处置-台账管理”全流程闭环，作业记录、台账完整可追溯，有明确的操作规范和流程管控措施的，得10分； 2、 建立基本的处置流程，能按要求完成每日拉运、压缩、处置及台账记录，流程基本规范，台账基本完整，流程管控措施基本合理得，得7分； 3、处置流程部分符合项目需求，台账完整性一般，流程管控措施具有一定的合理性，得4分； 4、处置流程不清晰，操作不规范，未明确拉运时间，压缩、装车、台账管理存在漏洞，无法实现全流程追溯，得1分； 5、 未提供处置流程，或流程混乱，无法满足馆内运营及规范处置要求，不得分。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处置流程与规范性.docx</w:t>
            </w:r>
          </w:p>
        </w:tc>
      </w:tr>
      <w:tr>
        <w:tc>
          <w:tcPr>
            <w:tcW w:type="dxa" w:w="831"/>
            <w:vMerge/>
          </w:tcPr>
          <w:p/>
        </w:tc>
        <w:tc>
          <w:tcPr>
            <w:tcW w:type="dxa" w:w="1661"/>
          </w:tcPr>
          <w:p>
            <w:pPr>
              <w:pStyle w:val="null3"/>
            </w:pPr>
            <w:r>
              <w:rPr>
                <w:rFonts w:ascii="仿宋_GB2312" w:hAnsi="仿宋_GB2312" w:cs="仿宋_GB2312" w:eastAsia="仿宋_GB2312"/>
              </w:rPr>
              <w:t>环保设备与技术保障</w:t>
            </w:r>
          </w:p>
        </w:tc>
        <w:tc>
          <w:tcPr>
            <w:tcW w:type="dxa" w:w="2492"/>
          </w:tcPr>
          <w:p>
            <w:pPr>
              <w:pStyle w:val="null3"/>
            </w:pPr>
            <w:r>
              <w:rPr>
                <w:rFonts w:ascii="仿宋_GB2312" w:hAnsi="仿宋_GB2312" w:cs="仿宋_GB2312" w:eastAsia="仿宋_GB2312"/>
              </w:rPr>
              <w:t>1、配备数量齐全的密闭式压缩设备、密闭运输车辆，设备及车辆符合国家环保标准及道路运输要求，为近3年内购置，运行稳定，有定期检修维护计划，能提供设备检测报告及车辆相关证明，得9分； 2、配备基本的密闭式压缩设备、运输车辆，设备及车辆基本符合环保及运输要求，为近5年内购置，运行基本稳定，有简单维护计划，能提供相关证明，得6分； 3、设备、车辆数量不足或型号不符合要求，运行稳定性差，无维护计划，得3分； 4、未配备符合要求的压缩设备、密闭运输车辆，无法满足每日拉运及环保要求，不得分。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环保设备与技术保障.docx</w:t>
            </w:r>
          </w:p>
        </w:tc>
      </w:tr>
      <w:tr>
        <w:tc>
          <w:tcPr>
            <w:tcW w:type="dxa" w:w="831"/>
            <w:vMerge/>
          </w:tcPr>
          <w:p/>
        </w:tc>
        <w:tc>
          <w:tcPr>
            <w:tcW w:type="dxa" w:w="1661"/>
          </w:tcPr>
          <w:p>
            <w:pPr>
              <w:pStyle w:val="null3"/>
            </w:pPr>
            <w:r>
              <w:rPr>
                <w:rFonts w:ascii="仿宋_GB2312" w:hAnsi="仿宋_GB2312" w:cs="仿宋_GB2312" w:eastAsia="仿宋_GB2312"/>
              </w:rPr>
              <w:t>应急处置能力</w:t>
            </w:r>
          </w:p>
        </w:tc>
        <w:tc>
          <w:tcPr>
            <w:tcW w:type="dxa" w:w="2492"/>
          </w:tcPr>
          <w:p>
            <w:pPr>
              <w:pStyle w:val="null3"/>
            </w:pPr>
            <w:r>
              <w:rPr>
                <w:rFonts w:ascii="仿宋_GB2312" w:hAnsi="仿宋_GB2312" w:cs="仿宋_GB2312" w:eastAsia="仿宋_GB2312"/>
              </w:rPr>
              <w:t>1、建立完善的应急处置方案，针对废弃物撒漏、突发大量处置需求、设备故障等突发情况，有具体处置流程和应对措施，配备应急物资，响应及时，得6分； 2、有基本的应急处置方案，能应对常见突发情况，有简单应对措施，响应时间基本及时，得3分； 3、应急处置方案不完善，应对措施不具体，响应时间不及时，得1分； 4、未提供应急处置方案，无法应对突发情况，不得分。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应急处置能力.docx</w:t>
            </w:r>
          </w:p>
        </w:tc>
      </w:tr>
      <w:tr>
        <w:tc>
          <w:tcPr>
            <w:tcW w:type="dxa" w:w="831"/>
            <w:vMerge/>
          </w:tcPr>
          <w:p/>
        </w:tc>
        <w:tc>
          <w:tcPr>
            <w:tcW w:type="dxa" w:w="1661"/>
          </w:tcPr>
          <w:p>
            <w:pPr>
              <w:pStyle w:val="null3"/>
            </w:pPr>
            <w:r>
              <w:rPr>
                <w:rFonts w:ascii="仿宋_GB2312" w:hAnsi="仿宋_GB2312" w:cs="仿宋_GB2312" w:eastAsia="仿宋_GB2312"/>
              </w:rPr>
              <w:t>保密制度</w:t>
            </w:r>
          </w:p>
        </w:tc>
        <w:tc>
          <w:tcPr>
            <w:tcW w:type="dxa" w:w="2492"/>
          </w:tcPr>
          <w:p>
            <w:pPr>
              <w:pStyle w:val="null3"/>
            </w:pPr>
            <w:r>
              <w:rPr>
                <w:rFonts w:ascii="仿宋_GB2312" w:hAnsi="仿宋_GB2312" w:cs="仿宋_GB2312" w:eastAsia="仿宋_GB2312"/>
              </w:rPr>
              <w:t>1、有完善的遗物保密制度，能严格保护逝者及家属隐私，防止遗物泄露、丢失，有专人负责保密管理，且有应急保密预案的，得6分； 2、有基本的保密制度，能基本保护隐私，有专人负责的，得3分； 3、保密制度不完善，无专人负责的，得1分； 4、无保密制度，存在隐私泄露风险的，不得分。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保密制度.docx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1、人员配置优于采购需求中要求配备人员，人员数量充足、资质齐全，分工合理，责任明确，有完善的人员培训计划，得10分； 2、人员配置满足采购需求中要求配备人员，人员数量充足、资质齐全，分工合理，责任明确，有完善的人员培训计划，得7分； 3、人员配置基本按要求配备相关岗位人员，人员数量基本满足需求，资质基本齐全，分工基本合理，责任基本明确，有简单培训计划，得4分； 4、人员配置不足，岗位缺失，部分人员无相关资质，无具体分工，责任模糊，无培训计划，得1分； 5、未提供人员配置方案，不得分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服务质量保障措施方案</w:t>
            </w:r>
          </w:p>
        </w:tc>
        <w:tc>
          <w:tcPr>
            <w:tcW w:type="dxa" w:w="2492"/>
          </w:tcPr>
          <w:p>
            <w:pPr>
              <w:pStyle w:val="null3"/>
            </w:pPr>
            <w:r>
              <w:rPr>
                <w:rFonts w:ascii="仿宋_GB2312" w:hAnsi="仿宋_GB2312" w:cs="仿宋_GB2312" w:eastAsia="仿宋_GB2312"/>
              </w:rPr>
              <w:t>1.方案紧密贴合实际需求，内容详尽全面、针对性强，完全符合项目要求，得6分； 2.方案符合基本要求，内容阐述基本明确，具有针对性，基本符合项目要求得4分； 3.方案与工作需求存在出入，完整性有待提升，方案内容描述不够详尽，未能充分满足项目要求，方案不具体或存在漏项，得2分； 4.未提供具体方案，该项不得分。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服务质量保障措施方案.docx</w:t>
            </w:r>
          </w:p>
        </w:tc>
      </w:tr>
      <w:tr>
        <w:tc>
          <w:tcPr>
            <w:tcW w:type="dxa" w:w="831"/>
            <w:vMerge/>
          </w:tcPr>
          <w:p/>
        </w:tc>
        <w:tc>
          <w:tcPr>
            <w:tcW w:type="dxa" w:w="1661"/>
          </w:tcPr>
          <w:p>
            <w:pPr>
              <w:pStyle w:val="null3"/>
            </w:pPr>
            <w:r>
              <w:rPr>
                <w:rFonts w:ascii="仿宋_GB2312" w:hAnsi="仿宋_GB2312" w:cs="仿宋_GB2312" w:eastAsia="仿宋_GB2312"/>
              </w:rPr>
              <w:t>服务质量跟进制度及监督考核方案管理制度</w:t>
            </w:r>
          </w:p>
        </w:tc>
        <w:tc>
          <w:tcPr>
            <w:tcW w:type="dxa" w:w="2492"/>
          </w:tcPr>
          <w:p>
            <w:pPr>
              <w:pStyle w:val="null3"/>
            </w:pPr>
            <w:r>
              <w:rPr>
                <w:rFonts w:ascii="仿宋_GB2312" w:hAnsi="仿宋_GB2312" w:cs="仿宋_GB2312" w:eastAsia="仿宋_GB2312"/>
              </w:rPr>
              <w:t>供应商针对本项目制定详细的服务质量跟进制度及监督考核方案管理制度（包括但不限于①服务质量跟进制度②监督考核方案管理制度）等内容赋分：1.管理制度健全、规范，实施计划详细、可行性强，得3分； 2.管理制度简单，实施计划基本可行，得2分； 3.无明确管理制度，实施计划简单，得1分；4.方案存在严重缺陷或未提供具体方案，该项不得分。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服务质量跟进制度及监督考核方案管理制度.docx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1、具有完善的售后服务方案，配备专属日常对接专员，响应及时，能高效处理馆内作业调整、投诉等问题，定期提交作业报告，配合馆内不定期检查，得5分 2、有基本的售后服务方案，配备对接人员，响应时间基本及时，能处理常见问题，配合馆内检查，得3分； 3、售后服务方案不完整，针对性差，无具体的对接人员及响应时间，处理问题较差，得1分。 4、无售后服务方案，该项不得分。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提供供应商2023年1月1日起至投标文件递交截止之日类似项目的业绩，每提供一项得2分，最多得10分（提供业绩的合同复印件或扫描件，以合同签订时间为准），未提供不得分；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采用低价优先法计算，即通过资格审查和符合性审查且价格最低的有效报价为评标基准价，其价格分为满分。 报价得分＝（评标基准价/有效报价）×价格权值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详见附件：法定代表人身份证明书及授权委托书.docx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详见附件：处置工艺与环保方案.docx</w:t>
      </w:r>
    </w:p>
    <w:p>
      <w:pPr>
        <w:pStyle w:val="null3"/>
        <w:ind w:firstLine="960"/>
      </w:pPr>
      <w:r>
        <w:rPr>
          <w:rFonts w:ascii="仿宋_GB2312" w:hAnsi="仿宋_GB2312" w:cs="仿宋_GB2312" w:eastAsia="仿宋_GB2312"/>
        </w:rPr>
        <w:t>详见附件：处置流程与规范性.docx</w:t>
      </w:r>
    </w:p>
    <w:p>
      <w:pPr>
        <w:pStyle w:val="null3"/>
        <w:ind w:firstLine="960"/>
      </w:pPr>
      <w:r>
        <w:rPr>
          <w:rFonts w:ascii="仿宋_GB2312" w:hAnsi="仿宋_GB2312" w:cs="仿宋_GB2312" w:eastAsia="仿宋_GB2312"/>
        </w:rPr>
        <w:t>详见附件：环保设备与技术保障.docx</w:t>
      </w:r>
    </w:p>
    <w:p>
      <w:pPr>
        <w:pStyle w:val="null3"/>
        <w:ind w:firstLine="960"/>
      </w:pPr>
      <w:r>
        <w:rPr>
          <w:rFonts w:ascii="仿宋_GB2312" w:hAnsi="仿宋_GB2312" w:cs="仿宋_GB2312" w:eastAsia="仿宋_GB2312"/>
        </w:rPr>
        <w:t>详见附件：应急处置能力.docx</w:t>
      </w:r>
    </w:p>
    <w:p>
      <w:pPr>
        <w:pStyle w:val="null3"/>
        <w:ind w:firstLine="960"/>
      </w:pPr>
      <w:r>
        <w:rPr>
          <w:rFonts w:ascii="仿宋_GB2312" w:hAnsi="仿宋_GB2312" w:cs="仿宋_GB2312" w:eastAsia="仿宋_GB2312"/>
        </w:rPr>
        <w:t>详见附件：保密制度.docx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详见附件：服务质量保障措施方案.docx</w:t>
      </w:r>
    </w:p>
    <w:p>
      <w:pPr>
        <w:pStyle w:val="null3"/>
        <w:ind w:firstLine="960"/>
      </w:pPr>
      <w:r>
        <w:rPr>
          <w:rFonts w:ascii="仿宋_GB2312" w:hAnsi="仿宋_GB2312" w:cs="仿宋_GB2312" w:eastAsia="仿宋_GB2312"/>
        </w:rPr>
        <w:t>详见附件：服务质量跟进制度及监督考核方案管理制度.docx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详见附件：西安市殡仪馆遗物环保处置服务合同260415.docx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