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8794A">
      <w:pPr>
        <w:pStyle w:val="5"/>
        <w:spacing w:line="360" w:lineRule="auto"/>
        <w:ind w:firstLine="0" w:firstLineChars="0"/>
        <w:jc w:val="center"/>
        <w:rPr>
          <w:rFonts w:hint="eastAsia" w:ascii="宋体" w:hAnsi="宋体" w:cs="宋体"/>
          <w:b/>
          <w:sz w:val="52"/>
          <w:szCs w:val="52"/>
          <w:lang w:eastAsia="zh-CN"/>
        </w:rPr>
      </w:pPr>
    </w:p>
    <w:p w14:paraId="1F86AE4A">
      <w:pPr>
        <w:pStyle w:val="5"/>
        <w:spacing w:line="360" w:lineRule="auto"/>
        <w:ind w:firstLine="0" w:firstLineChars="0"/>
        <w:jc w:val="center"/>
        <w:rPr>
          <w:rFonts w:hint="eastAsia" w:ascii="宋体" w:hAnsi="宋体" w:cs="宋体"/>
          <w:b/>
          <w:sz w:val="52"/>
          <w:szCs w:val="52"/>
          <w:lang w:eastAsia="zh-CN"/>
        </w:rPr>
      </w:pPr>
    </w:p>
    <w:p w14:paraId="0F4487A8">
      <w:pPr>
        <w:pStyle w:val="5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sz w:val="52"/>
          <w:szCs w:val="52"/>
          <w:lang w:eastAsia="zh-CN"/>
        </w:rPr>
        <w:t>西安市殡仪馆遗物和花圈环保处置服务合同</w:t>
      </w:r>
    </w:p>
    <w:p w14:paraId="65A6FFDE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52B2E7C6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22ABAFCC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518C1D7C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347287FF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28D81F26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062FC2A9">
      <w:pPr>
        <w:spacing w:line="360" w:lineRule="auto"/>
        <w:ind w:firstLine="723" w:firstLineChars="200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甲  方：西安市殡仪馆</w:t>
      </w:r>
    </w:p>
    <w:p w14:paraId="714B764D">
      <w:pPr>
        <w:spacing w:line="360" w:lineRule="auto"/>
        <w:ind w:firstLine="723" w:firstLineChars="200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乙  方：</w:t>
      </w:r>
    </w:p>
    <w:p w14:paraId="46BEB841">
      <w:pPr>
        <w:pStyle w:val="5"/>
        <w:spacing w:line="360" w:lineRule="auto"/>
        <w:ind w:firstLine="0" w:firstLineChars="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</w:p>
    <w:p w14:paraId="641CAB4F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二〇二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年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五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月</w:t>
      </w:r>
    </w:p>
    <w:p w14:paraId="3AE4E87D">
      <w:pPr>
        <w:pStyle w:val="5"/>
        <w:spacing w:line="360" w:lineRule="auto"/>
        <w:ind w:firstLine="0" w:firstLineChars="0"/>
        <w:jc w:val="center"/>
        <w:rPr>
          <w:rFonts w:ascii="宋体" w:hAnsi="宋体" w:cs="宋体"/>
          <w:b/>
          <w:sz w:val="52"/>
          <w:szCs w:val="52"/>
        </w:rPr>
      </w:pPr>
    </w:p>
    <w:p w14:paraId="71E4D225">
      <w:pPr>
        <w:spacing w:line="360" w:lineRule="auto"/>
        <w:ind w:firstLine="643" w:firstLineChars="200"/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</w:pPr>
    </w:p>
    <w:p w14:paraId="0D08C9F0">
      <w:pPr>
        <w:spacing w:line="360" w:lineRule="auto"/>
        <w:ind w:firstLine="643" w:firstLineChars="200"/>
        <w:jc w:val="center"/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</w:pPr>
    </w:p>
    <w:p w14:paraId="7AB7E7BC">
      <w:pPr>
        <w:spacing w:line="360" w:lineRule="auto"/>
        <w:ind w:firstLine="643" w:firstLineChars="200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西安市殡仪馆遗物和花圈环保处置服务合同</w:t>
      </w:r>
    </w:p>
    <w:p w14:paraId="4F3B043D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 w14:paraId="7C421FD0">
      <w:pPr>
        <w:spacing w:line="360" w:lineRule="auto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甲  方：西安市殡仪馆</w:t>
      </w:r>
    </w:p>
    <w:p w14:paraId="0A202A0F">
      <w:pPr>
        <w:spacing w:line="360" w:lineRule="auto"/>
        <w:ind w:firstLine="482" w:firstLineChars="200"/>
        <w:rPr>
          <w:rFonts w:ascii="宋体" w:hAnsi="宋体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乙  方：</w:t>
      </w:r>
    </w:p>
    <w:p w14:paraId="0EFA2B43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依据《中华人民共和国民法典》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szCs w:val="24"/>
        </w:rPr>
        <w:t>《中华人民共和国政府采购法》以及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kern w:val="0"/>
          <w:sz w:val="24"/>
          <w:szCs w:val="24"/>
        </w:rPr>
        <w:t>文件、中标通知书，经甲、乙双方协商，签证方确认，达成如下条款。</w:t>
      </w:r>
    </w:p>
    <w:p w14:paraId="3D97EA11"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一、服务项目概况</w:t>
      </w:r>
    </w:p>
    <w:p w14:paraId="6F4784F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服务名称：西安市殡仪馆遗物和花圈环保处置服务项目</w:t>
      </w:r>
    </w:p>
    <w:p w14:paraId="59C5130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服务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地点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：西安市殡仪馆全域，所有区域产生的遗物、花圈均统一归集至祭奠园指定存放位置，乙方在该指定位置开展处置相关作业。</w:t>
      </w:r>
    </w:p>
    <w:p w14:paraId="53F9368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服务期限：自______年______月______日起至______年______月______日止，服务期限为一年；服务期限届满前30日，甲乙双方可协商续约事宜，另行签订补充合同。</w:t>
      </w:r>
    </w:p>
    <w:p w14:paraId="404BB83A"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二、服务内容及要求</w:t>
      </w:r>
    </w:p>
    <w:p w14:paraId="501A85C8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1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核心服务内容</w:t>
      </w:r>
    </w:p>
    <w:p w14:paraId="66AAE3A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乙方需在西安市殡仪馆祭奠园指定存放位置，完成以下全流程服务，全程规范做好作业记录及台账管理：</w:t>
      </w:r>
    </w:p>
    <w:p w14:paraId="6E101C9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1.1、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集中收集：对馆内全域产生、归集至祭奠园指定存放位置的遗物、花圈进行集中整理、分类收集，确保无遗漏、无堆积。</w:t>
      </w:r>
    </w:p>
    <w:p w14:paraId="751E53D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1.2、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专业压缩：对收集的遗物、花圈进行专业压缩处理，压缩作业全程落实防污染措施，保持作业区域整洁，杜绝二次污染。</w:t>
      </w:r>
    </w:p>
    <w:p w14:paraId="20E32E7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1.3、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密闭装车：将压缩后的废弃物采用密闭式方式装车，确保装车过程无散落、无外溢。</w:t>
      </w:r>
    </w:p>
    <w:p w14:paraId="7359A54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1.4、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统一拉运：每日从祭奠园指定存放位置统一拉运废弃物，拉运时间贴合甲方运营节奏，不得影响甲方正常殡葬服务开展。</w:t>
      </w:r>
    </w:p>
    <w:p w14:paraId="0D7DD63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1.5、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合规处置：将拉运的废弃物运输至符合国家环保标准的垃圾处理场，完成合规交接与处置，妥善留存处置凭证。</w:t>
      </w:r>
    </w:p>
    <w:p w14:paraId="7C72291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1.6、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台账管理：详实记录作业全轨迹，包含祭奠园存放位置收集时间、运输出发时间、处置交接详情等信息，建立完整台账，并按甲方要求定期提交作业报告。</w:t>
      </w:r>
    </w:p>
    <w:p w14:paraId="30D4D05C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技术要求</w:t>
      </w:r>
    </w:p>
    <w:p w14:paraId="364582C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2.1、处置时效：每日完成到馆内祭奠园指定位置拉运遗物、花圈等废弃物，做到日产日清、无堆积、无遗漏，拉运时间需提前与甲方沟通确认，贴合甲方运营节奏。</w:t>
      </w:r>
    </w:p>
    <w:p w14:paraId="2F5E1DC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2.2、压缩作业：压缩过程需采用专业设备，落实防污染措施，作业后及时清理作业区域，确保无废弃物残留、无异味扩散，杜绝二次污染。</w:t>
      </w:r>
    </w:p>
    <w:p w14:paraId="5F9BF86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2.3、密闭运输：压缩后的废弃物须采用密闭式运输车辆运输，全程严格执行密闭运输相关规范，运输过程中确保废弃物无外溢、无散落。</w:t>
      </w:r>
    </w:p>
    <w:p w14:paraId="3CBA606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2.4、轨迹与台账：运输全流程需记录作业轨迹，台账内容完整、可追溯，处置凭证真实有效，按甲方要求定期提交作业报告（具体提交频率：与季度结算同步，每季度末提交本季度作业报告）。</w:t>
      </w:r>
    </w:p>
    <w:p w14:paraId="584199E0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2.5、对接响应：配备专人作为日常对接专员，专属负责与甲方的工作衔接，及时响应甲方的作业调整要求，高效处理各类突发情况，响应时间不超过2小时。</w:t>
      </w:r>
    </w:p>
    <w:p w14:paraId="2B588F44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3、服务要求</w:t>
      </w:r>
    </w:p>
    <w:p w14:paraId="1497F80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3.1、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设备要求：乙方须配备符合国家环保标准及道路运输要求的密闭式压缩设备、运输车辆等，设备及车辆需定期检修维护，保持性能良好、车身整洁；车辆需张贴规范标识，不得在甲方馆内随意停放，拉运作业时按甲方指定路线行驶、指定区域操作。</w:t>
      </w:r>
    </w:p>
    <w:p w14:paraId="3CEB008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3.2、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人员要求：乙方工作人员须经专业培训合格后上岗，作业时配备齐全劳动防护用品；在甲方馆内及祭奠园指定存放位置作业过程中，严格遵守甲方场馆管理规定、消防安全制度及相关安全操作规程，规范操作作业设备。</w:t>
      </w:r>
    </w:p>
    <w:p w14:paraId="1D6C246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3.3、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安全责任：乙方工作人员在甲方馆内及作业期间，如发生工伤、意外事故等，一切人身损害赔偿、财产损失及相关费用均与甲方无关，由乙方全额承担。</w:t>
      </w:r>
    </w:p>
    <w:p w14:paraId="3017F0D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3.4、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环保责任：乙方处置废弃物的全过程，须严格遵守国家及地方环保相关法律法规，符合道路运输及固体废物处置的环保要求；若发生废弃物外溢、撒漏等情况，乙方须第一时间采取应急清理措施，同时承担环保部门核定的罚款金额；若发生于甲方馆内，还需全额承担甲方因清扫、处理撒漏物产生的人工、物料、设备等所有相关费用。</w:t>
      </w:r>
    </w:p>
    <w:p w14:paraId="15FF3D1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3.5、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法律责任：若因乙方处置行为，引发环保方面的投诉、举报、行政处罚等情形，所有法律责任、行政处罚费用及由此给甲方造成的名誉、经济损失，均由乙方全额承担；若引发社会舆情事件，甲方有权单方面解除合同，乙方须承担甲方处理该事件的一切费用，并赔偿甲方的名誉损失。</w:t>
      </w:r>
    </w:p>
    <w:p w14:paraId="0251A9F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3.6、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保密要求：乙方及工作人员须严格遵守保密规定，不得泄露甲方任何内部资料，包括但不限于火化信息、丧属个人信息、场馆运营数据、管理规定、祭奠园作业相关数据等；若发生信息泄露，乙方须承担由此给甲方及丧属造成的全部损失，甲方有权单方面解除合同并追究乙方的法律责任。</w:t>
      </w:r>
    </w:p>
    <w:p w14:paraId="15F74F4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3.7、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设施保护：乙方在甲方馆内及祭奠园指定位置作业过程中，不得损坏甲方的设施、设备、绿化等；若造成损坏，乙方须在甲方规定时间内无偿修复或照价赔偿。</w:t>
      </w:r>
    </w:p>
    <w:p w14:paraId="15D6D29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3.8、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人员配置：乙方须按要求配备项目负责人、巡逻员、驾驶员、装车员等岗位人员，所有人员须定岗定责，保障处置全流程作业有序开展，人员配置方案须提前提交甲方备案，人员变动需提前7日书面告知甲方。</w:t>
      </w:r>
    </w:p>
    <w:p w14:paraId="584CAE0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3.9、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监督配合：甲方有权对乙方的日常作业过程、台账记录、设备维护等情况进行不定期检查、抽查，乙方须积极配合；对检查发现的问题，乙方须按甲方要求限期整改，整改不合格的，甲方有权扣除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乙方服务费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。</w:t>
      </w:r>
    </w:p>
    <w:p w14:paraId="659A39D1">
      <w:pPr>
        <w:spacing w:line="360" w:lineRule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三、合同价款</w:t>
      </w:r>
    </w:p>
    <w:p w14:paraId="68A8FC56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1、合同总价为人民币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含税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）：</w:t>
      </w:r>
      <w:r>
        <w:rPr>
          <w:rFonts w:hint="eastAsia" w:ascii="宋体" w:hAnsi="宋体" w:cs="宋体"/>
          <w:kern w:val="0"/>
          <w:sz w:val="24"/>
          <w:szCs w:val="24"/>
        </w:rPr>
        <w:t>（大写）：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整</w:t>
      </w:r>
      <w:r>
        <w:rPr>
          <w:rFonts w:hint="eastAsia" w:ascii="宋体" w:hAnsi="宋体" w:eastAsia="宋体" w:cs="宋体"/>
          <w:kern w:val="0"/>
          <w:sz w:val="24"/>
          <w:szCs w:val="24"/>
        </w:rPr>
        <w:t>（¥：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 w:val="24"/>
          <w:szCs w:val="24"/>
        </w:rPr>
        <w:t>元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 w14:paraId="58D54C19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、合同总价包括：该费用包含乙方完成本合同约定全部服务内容所需的一切费用（包括设备购置/租赁、人员薪酬、运输费、处置费、税费、保险费、应急处置费等），甲方无需额外支付任何其他费用。</w:t>
      </w:r>
    </w:p>
    <w:p w14:paraId="3BD1F287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3、本合同总价为一次性包死价，不受市场价格变化因素的影响。</w:t>
      </w:r>
    </w:p>
    <w:p w14:paraId="00520A0D">
      <w:pPr>
        <w:spacing w:line="360" w:lineRule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四、款项结算</w:t>
      </w:r>
    </w:p>
    <w:p w14:paraId="535840AC">
      <w:pPr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支付方式</w:t>
      </w:r>
      <w:r>
        <w:rPr>
          <w:rFonts w:hint="eastAsia" w:ascii="宋体" w:hAnsi="宋体" w:cs="宋体"/>
          <w:kern w:val="0"/>
          <w:sz w:val="24"/>
          <w:szCs w:val="24"/>
        </w:rPr>
        <w:t>：</w:t>
      </w:r>
    </w:p>
    <w:p w14:paraId="6FEB7090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1.1、</w:t>
      </w:r>
      <w:r>
        <w:rPr>
          <w:rFonts w:hint="eastAsia" w:ascii="宋体" w:hAnsi="宋体" w:cs="宋体"/>
          <w:kern w:val="0"/>
          <w:sz w:val="24"/>
          <w:szCs w:val="24"/>
        </w:rPr>
        <w:t>支付周期：按季度支付，每三个月结算一次；每季度服务完成后，甲方支付合同总款的25%，最后一季度末支付剩余尾款（合同总款的25%）。</w:t>
      </w:r>
    </w:p>
    <w:p w14:paraId="68EA26A6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1.2、</w:t>
      </w:r>
      <w:r>
        <w:rPr>
          <w:rFonts w:hint="eastAsia" w:ascii="宋体" w:hAnsi="宋体" w:cs="宋体"/>
          <w:kern w:val="0"/>
          <w:sz w:val="24"/>
          <w:szCs w:val="24"/>
        </w:rPr>
        <w:t>支付流程：乙方在每个季度结束后5个工作日内，向甲方提交合法有效的发票、季度作业报告、处置凭证及甲方要求的验收合格证明等相关资料；甲方收到乙方提交的资料后，在10个工作日内审核完毕，审核通过后，通过银行转账方式将对应季度服务费用支付至乙方指定账户。</w:t>
      </w:r>
    </w:p>
    <w:p w14:paraId="43A9F292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乙方指定收款账户：</w:t>
      </w:r>
    </w:p>
    <w:p w14:paraId="574C273D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开户行：________________________</w:t>
      </w:r>
    </w:p>
    <w:p w14:paraId="73D211A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户名：__________________________</w:t>
      </w:r>
    </w:p>
    <w:p w14:paraId="1A5C215C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账号：__________________________</w:t>
      </w:r>
    </w:p>
    <w:p w14:paraId="39F672D0">
      <w:pPr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服务验收与费用扣除：</w:t>
      </w:r>
      <w:r>
        <w:rPr>
          <w:rFonts w:hint="eastAsia" w:ascii="宋体" w:hAnsi="宋体" w:cs="宋体"/>
          <w:kern w:val="0"/>
          <w:sz w:val="24"/>
          <w:szCs w:val="24"/>
        </w:rPr>
        <w:t>乙方须按甲方要求完成遗物和花圈归集、祭奠园指定存放位置集中拉运及后续处置全部服务内容，未达到服务标准的，甲方有权扣除相应服务费用，直至服务达到验收标准；若服务严重不达标，甲方有权暂停支付当期服务费用，要求乙方限期整改，整改仍不合格的，按本合同第六条违约责任相关条款处理。</w:t>
      </w:r>
    </w:p>
    <w:p w14:paraId="7E98829C">
      <w:pPr>
        <w:spacing w:line="360" w:lineRule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五、双方权利和义务</w:t>
      </w:r>
    </w:p>
    <w:p w14:paraId="3BD7945B">
      <w:pPr>
        <w:spacing w:line="360" w:lineRule="auto"/>
        <w:ind w:firstLine="482" w:firstLineChars="200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甲方权利和义务</w:t>
      </w:r>
    </w:p>
    <w:p w14:paraId="5BEF3621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1.1、</w:t>
      </w:r>
      <w:r>
        <w:rPr>
          <w:rFonts w:hint="eastAsia" w:ascii="宋体" w:hAnsi="宋体" w:cs="宋体"/>
          <w:kern w:val="0"/>
          <w:sz w:val="24"/>
          <w:szCs w:val="24"/>
        </w:rPr>
        <w:t>有权对乙方的服务质量、作业规范、台账记录等进行监督、检查、考核，对不符合合同约定的服务，有权要求乙方限期整改，扣除相应服务费用。</w:t>
      </w:r>
    </w:p>
    <w:p w14:paraId="78260F1D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1.2、</w:t>
      </w:r>
      <w:r>
        <w:rPr>
          <w:rFonts w:hint="eastAsia" w:ascii="宋体" w:hAnsi="宋体" w:cs="宋体"/>
          <w:kern w:val="0"/>
          <w:sz w:val="24"/>
          <w:szCs w:val="24"/>
        </w:rPr>
        <w:t>向乙方提供祭奠园指定存放位置，明确馆内运营节奏、作业路线、安全管理规定等相关要求，配合乙方开展服务工作；若需调整祭奠园指定存放位置、作业区域或作业要求，需提前书面告知乙方。</w:t>
      </w:r>
    </w:p>
    <w:p w14:paraId="42ED4F64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1.3、</w:t>
      </w:r>
      <w:r>
        <w:rPr>
          <w:rFonts w:hint="eastAsia" w:ascii="宋体" w:hAnsi="宋体" w:cs="宋体"/>
          <w:kern w:val="0"/>
          <w:sz w:val="24"/>
          <w:szCs w:val="24"/>
        </w:rPr>
        <w:t>按本合同约定及时支付服务费用，不得无故拖欠。</w:t>
      </w:r>
    </w:p>
    <w:p w14:paraId="7999E9A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1.4、</w:t>
      </w:r>
      <w:r>
        <w:rPr>
          <w:rFonts w:hint="eastAsia" w:ascii="宋体" w:hAnsi="宋体" w:cs="宋体"/>
          <w:kern w:val="0"/>
          <w:sz w:val="24"/>
          <w:szCs w:val="24"/>
        </w:rPr>
        <w:t>不得干预乙方的正常作业流程（法律法规及合同约定除外），不得要求乙方从事超出本合同约定的服务内容。</w:t>
      </w:r>
    </w:p>
    <w:p w14:paraId="42532472">
      <w:pPr>
        <w:spacing w:line="360" w:lineRule="auto"/>
        <w:ind w:firstLine="482" w:firstLineChars="200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乙方权利和义务</w:t>
      </w:r>
    </w:p>
    <w:p w14:paraId="0AA9F791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1、合同期内招标文件中内容一切费用由乙方承担。</w:t>
      </w:r>
    </w:p>
    <w:p w14:paraId="2A5318BA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2.2、</w:t>
      </w:r>
      <w:r>
        <w:rPr>
          <w:rFonts w:hint="eastAsia" w:ascii="宋体" w:hAnsi="宋体" w:cs="宋体"/>
          <w:kern w:val="0"/>
          <w:sz w:val="24"/>
          <w:szCs w:val="24"/>
        </w:rPr>
        <w:t>严格按照本合同约定及甲方要求，提供符合标准的遗物、花圈环保处置服务，确保服务质量、时效及环保要求达标。</w:t>
      </w:r>
    </w:p>
    <w:p w14:paraId="6BAE0808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2.3、</w:t>
      </w:r>
      <w:r>
        <w:rPr>
          <w:rFonts w:hint="eastAsia" w:ascii="宋体" w:hAnsi="宋体" w:cs="宋体"/>
          <w:kern w:val="0"/>
          <w:sz w:val="24"/>
          <w:szCs w:val="24"/>
        </w:rPr>
        <w:t>负责自身设备、人员的管理，承担设备检修维护、人员培训、安全保障等相关费用及责任。</w:t>
      </w:r>
    </w:p>
    <w:p w14:paraId="14424D12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2.4、</w:t>
      </w:r>
      <w:r>
        <w:rPr>
          <w:rFonts w:hint="eastAsia" w:ascii="宋体" w:hAnsi="宋体" w:cs="宋体"/>
          <w:kern w:val="0"/>
          <w:sz w:val="24"/>
          <w:szCs w:val="24"/>
        </w:rPr>
        <w:t>按要求建立完整的作业台账，定期提交作业报告、处置凭证等相关资料，配合甲方的监督检查、考核及验收工作。</w:t>
      </w:r>
    </w:p>
    <w:p w14:paraId="6A5628E2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2.5、</w:t>
      </w:r>
      <w:r>
        <w:rPr>
          <w:rFonts w:hint="eastAsia" w:ascii="宋体" w:hAnsi="宋体" w:cs="宋体"/>
          <w:kern w:val="0"/>
          <w:sz w:val="24"/>
          <w:szCs w:val="24"/>
        </w:rPr>
        <w:t>承担因自身作业不当、违规操作引发的一切法律责任、经济损失及相关费用（包括但不限于环保罚款、赔偿费用、舆情处理费用等）。</w:t>
      </w:r>
    </w:p>
    <w:p w14:paraId="23DC4888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2.6、</w:t>
      </w:r>
      <w:r>
        <w:rPr>
          <w:rFonts w:hint="eastAsia" w:ascii="宋体" w:hAnsi="宋体" w:cs="宋体"/>
          <w:kern w:val="0"/>
          <w:sz w:val="24"/>
          <w:szCs w:val="24"/>
        </w:rPr>
        <w:t>严格遵守甲方的各项管理规定，不得从事任何影响甲方正常运营、损害甲方声誉的行为；若甲方调整祭奠园指定存放位置、作业区域或作业要求，乙方须无条件配合，不得以此为由要求增加服务费用。</w:t>
      </w:r>
    </w:p>
    <w:p w14:paraId="7C7945C0">
      <w:pPr>
        <w:spacing w:line="360" w:lineRule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、验收依据</w:t>
      </w:r>
    </w:p>
    <w:p w14:paraId="34B9069B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1、合同文本、合同附件、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kern w:val="0"/>
          <w:sz w:val="24"/>
          <w:szCs w:val="24"/>
        </w:rPr>
        <w:t>文件、投标文件。</w:t>
      </w:r>
    </w:p>
    <w:p w14:paraId="41FC407B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2、国内相应的标准、规范。</w:t>
      </w:r>
    </w:p>
    <w:p w14:paraId="46A40AD7">
      <w:pPr>
        <w:spacing w:line="360" w:lineRule="auto"/>
        <w:ind w:firstLine="480" w:firstLineChars="200"/>
        <w:rPr>
          <w:rFonts w:hint="eastAsia" w:ascii="宋体" w:hAnsi="宋体" w:cs="宋体"/>
          <w:strike w:val="0"/>
          <w:dstrike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trike w:val="0"/>
          <w:dstrike w:val="0"/>
          <w:color w:val="auto"/>
          <w:kern w:val="0"/>
          <w:sz w:val="24"/>
          <w:szCs w:val="24"/>
          <w:lang w:val="en-US" w:eastAsia="zh-CN"/>
        </w:rPr>
        <w:t>3、年度服务期满后，甲方进行总体验收，验收资料须包含日常台账记录、季度考核结果等。</w:t>
      </w:r>
    </w:p>
    <w:p w14:paraId="5FC025E6"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七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、违约责任</w:t>
      </w:r>
    </w:p>
    <w:p w14:paraId="51DF6D50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甲方未按本合同约定支付服务费用的，每逾期一日，需向乙方支付应付未付金额0.5‰的违约金；逾期超过30日的，乙方有权暂停提供服务，由此造成的损失由甲方承担。</w:t>
      </w:r>
    </w:p>
    <w:p w14:paraId="13323EE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乙方未按合同约定完成服务内容、未达到服务标准的，甲方有权要求乙方限期整改，整改期间扣除相应的服务费用；整改后仍不合格的，甲方有权解除合同，并要求乙方赔偿由此造成的损失。</w:t>
      </w:r>
    </w:p>
    <w:p w14:paraId="49A31F6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3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乙方违反本合同约定的环保要求、安全规定、保密规定等，给甲方造成损失的，需全额赔偿甲方损失，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乙方应向甲方支付合同总价款20%的违约金。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情节严重的，有权单方面解除合同。</w:t>
      </w:r>
    </w:p>
    <w:p w14:paraId="1BA8D33F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4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乙方未按要求配备人员、设备，影响服务正常开展的，甲方有权要求乙方限期补齐，每逾期一日，乙方需向甲方支付合同总金额0.5‰的违约金；逾期超过15日的，甲方有权解除合同，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乙方应向甲方支付合同总价款20%的违约金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并要求乙方赔偿损失。</w:t>
      </w:r>
    </w:p>
    <w:p w14:paraId="530F899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5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任何一方单方面解除合同（本合同第七条约定情形除外），需向对方支付合同总金额10%的违约金，并赔偿对方由此造成的全部损失。</w:t>
      </w:r>
    </w:p>
    <w:p w14:paraId="5B0DBB3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6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乙方未按本合同约定配合甲方调整祭奠园指定存放位置、作业区域或作业要求，或以此为由要求增加服务费用的，甲方有权扣除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合同价款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；拒不配合导致服务无法正常开展的，甲方有权单方面解除合同，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乙方应向甲方支付合同总价款20%的违约金，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并要求乙方赔偿由此造成的损失。</w:t>
      </w:r>
    </w:p>
    <w:p w14:paraId="115E90C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7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乙方未按本合同约定履行遗物和花圈归集、祭奠园指定存放位置拉运及处置相关义务，甲方有权单方面解除合同，乙方须全额或部分退还甲方已支付的相关费用，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乙方应向甲方支付合同总价款20%的违约金，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并承担由此给甲方造成的一切损失。</w:t>
      </w:r>
    </w:p>
    <w:p w14:paraId="49FCD9F7"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、合同的变更、解除与终止</w:t>
      </w:r>
    </w:p>
    <w:p w14:paraId="27354C4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本合同的任何变更，需经甲乙双方协商一致，签订书面补充合同，补充合同与本合同具有同等法律效力。</w:t>
      </w:r>
    </w:p>
    <w:p w14:paraId="1B4B05F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发生下列情形之一的，一方有权解除合同，并书面通知对方：</w:t>
      </w:r>
    </w:p>
    <w:p w14:paraId="4727A48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2.1、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乙方未按合同约定提供服务，经甲方催告后仍未整改合格，或存在严重违约行为，影响甲方正常运营的；</w:t>
      </w:r>
    </w:p>
    <w:p w14:paraId="21A87CC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2.2、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乙方因自身原因，无法继续提供服务，且未提前30日书面告知甲方的；</w:t>
      </w:r>
    </w:p>
    <w:p w14:paraId="60FAC37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2.3、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因不可抗力（如地震、洪水、政府政策调整等）导致本合同无法继续履行的。</w:t>
      </w:r>
    </w:p>
    <w:p w14:paraId="3733595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3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服务期限届满，本合同自动终止；若甲乙双方未达成续约协议，乙方需在合同终止后3日内，清理完毕作业区域，办理相关交接手续，确保不影响甲方正常运营。</w:t>
      </w:r>
    </w:p>
    <w:p w14:paraId="273EEF09"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九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、不可抗力</w:t>
      </w:r>
    </w:p>
    <w:p w14:paraId="675A348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本合同所称不可抗力，是指不能预见、不能避免并不能克服的客观情况，包括但不限于地震、洪水、台风、火灾、战争、政府政策调整等。</w:t>
      </w:r>
    </w:p>
    <w:p w14:paraId="3E1B5F1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发生不可抗力事件后，受影响一方应立即通知对方，并在事件发生后7日内，提供相关证明文件（如政府部门出具的证明、新闻报道等），双方根据事件影响程度，协商决定是否解除合同、免除部分责任或延期履行合同。</w:t>
      </w:r>
    </w:p>
    <w:p w14:paraId="61FA5775">
      <w:pPr>
        <w:spacing w:line="360" w:lineRule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十、争议解决</w:t>
      </w:r>
    </w:p>
    <w:p w14:paraId="5BFA1731"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甲、乙双方在合同履行过程中产生纠纷，应尽量协商解决，协商不成的，任何一方可向甲方所在地人民法院诉讼解决。</w:t>
      </w:r>
    </w:p>
    <w:p w14:paraId="5081ABFA">
      <w:pPr>
        <w:spacing w:line="360" w:lineRule="auto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、其他</w:t>
      </w:r>
    </w:p>
    <w:p w14:paraId="7F5F6AC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 xml:space="preserve"> 本合同未尽事宜，甲乙双方可另行协商并签订补充合同，补充合同与本合同具有同等法律效力。</w:t>
      </w:r>
    </w:p>
    <w:p w14:paraId="69D98E4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 xml:space="preserve"> 本合同一式肆份，甲方执贰份，乙方执贰份，自双方签字盖章之日起生效，具有同等法律效力。</w:t>
      </w:r>
    </w:p>
    <w:p w14:paraId="76B3233E">
      <w:pPr>
        <w:spacing w:line="360" w:lineRule="auto"/>
        <w:ind w:firstLine="480" w:firstLineChars="200"/>
        <w:rPr>
          <w:rFonts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>3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kern w:val="0"/>
          <w:sz w:val="24"/>
          <w:szCs w:val="24"/>
        </w:rPr>
        <w:t xml:space="preserve"> 本合同所有附件（乙方资质证明、人员配置方案、设备清单等）为本合同不可分割的组成部分，与本合同具有同等法律效力。</w:t>
      </w:r>
    </w:p>
    <w:p w14:paraId="521CC9EB"/>
    <w:tbl>
      <w:tblPr>
        <w:tblStyle w:val="3"/>
        <w:tblW w:w="909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12"/>
      </w:tblGrid>
      <w:tr w14:paraId="4FB3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4581" w:type="dxa"/>
          </w:tcPr>
          <w:p w14:paraId="357B2A11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甲方：</w:t>
            </w:r>
          </w:p>
          <w:p w14:paraId="5109A504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西安市殡仪馆</w:t>
            </w:r>
          </w:p>
        </w:tc>
        <w:tc>
          <w:tcPr>
            <w:tcW w:w="4512" w:type="dxa"/>
          </w:tcPr>
          <w:p w14:paraId="7A0C784B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乙方：</w:t>
            </w:r>
          </w:p>
          <w:p w14:paraId="4B6FE063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14:paraId="7B80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1" w:type="dxa"/>
          </w:tcPr>
          <w:p w14:paraId="3069FAA9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地址：长安区鸣犊留公三村</w:t>
            </w:r>
          </w:p>
        </w:tc>
        <w:tc>
          <w:tcPr>
            <w:tcW w:w="4512" w:type="dxa"/>
          </w:tcPr>
          <w:p w14:paraId="6CC2042D">
            <w:pPr>
              <w:spacing w:line="480" w:lineRule="auto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地址：</w:t>
            </w:r>
          </w:p>
        </w:tc>
      </w:tr>
      <w:tr w14:paraId="6C38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1" w:type="dxa"/>
          </w:tcPr>
          <w:p w14:paraId="0D7EC528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邮编：710000</w:t>
            </w:r>
          </w:p>
        </w:tc>
        <w:tc>
          <w:tcPr>
            <w:tcW w:w="4512" w:type="dxa"/>
          </w:tcPr>
          <w:p w14:paraId="535E592F">
            <w:pPr>
              <w:spacing w:line="480" w:lineRule="auto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邮编：</w:t>
            </w:r>
          </w:p>
        </w:tc>
      </w:tr>
      <w:tr w14:paraId="1E81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4581" w:type="dxa"/>
          </w:tcPr>
          <w:p w14:paraId="3E40D6A9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法定代表人：</w:t>
            </w:r>
          </w:p>
        </w:tc>
        <w:tc>
          <w:tcPr>
            <w:tcW w:w="4512" w:type="dxa"/>
          </w:tcPr>
          <w:p w14:paraId="5877D68D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法定代表人：</w:t>
            </w:r>
          </w:p>
        </w:tc>
      </w:tr>
      <w:tr w14:paraId="1276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4581" w:type="dxa"/>
          </w:tcPr>
          <w:p w14:paraId="64793BCE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负责人：</w:t>
            </w:r>
          </w:p>
        </w:tc>
        <w:tc>
          <w:tcPr>
            <w:tcW w:w="4512" w:type="dxa"/>
          </w:tcPr>
          <w:p w14:paraId="19F84CD8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负责人：</w:t>
            </w:r>
          </w:p>
        </w:tc>
      </w:tr>
      <w:tr w14:paraId="4660C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581" w:type="dxa"/>
          </w:tcPr>
          <w:p w14:paraId="6A778E8D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电话：029-85696027</w:t>
            </w:r>
          </w:p>
        </w:tc>
        <w:tc>
          <w:tcPr>
            <w:tcW w:w="4512" w:type="dxa"/>
          </w:tcPr>
          <w:p w14:paraId="07A494F6">
            <w:pPr>
              <w:spacing w:line="480" w:lineRule="auto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电话：0</w:t>
            </w:r>
          </w:p>
        </w:tc>
      </w:tr>
      <w:tr w14:paraId="3E493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1" w:type="dxa"/>
          </w:tcPr>
          <w:p w14:paraId="0968DB76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传真：</w:t>
            </w:r>
          </w:p>
        </w:tc>
        <w:tc>
          <w:tcPr>
            <w:tcW w:w="4512" w:type="dxa"/>
          </w:tcPr>
          <w:p w14:paraId="16B7EBF3">
            <w:pPr>
              <w:spacing w:line="480" w:lineRule="auto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z w:val="24"/>
                <w:szCs w:val="24"/>
                <w:shd w:val="clear" w:color="auto" w:fill="FFFFFF"/>
              </w:rPr>
              <w:t>传真：0</w:t>
            </w:r>
          </w:p>
        </w:tc>
      </w:tr>
      <w:tr w14:paraId="3CC30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1" w:type="dxa"/>
          </w:tcPr>
          <w:p w14:paraId="1A6323B9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12" w:type="dxa"/>
          </w:tcPr>
          <w:p w14:paraId="685E2CF9">
            <w:pPr>
              <w:spacing w:line="480" w:lineRule="auto"/>
              <w:rPr>
                <w:rFonts w:ascii="宋体" w:hAnsi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/>
                <w:color w:val="333333"/>
                <w:sz w:val="24"/>
                <w:szCs w:val="24"/>
                <w:shd w:val="clear" w:color="auto" w:fill="FFFFFF"/>
              </w:rPr>
              <w:t>开户银行：</w:t>
            </w:r>
          </w:p>
        </w:tc>
      </w:tr>
      <w:tr w14:paraId="79471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81" w:type="dxa"/>
          </w:tcPr>
          <w:p w14:paraId="22187F3D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12" w:type="dxa"/>
          </w:tcPr>
          <w:p w14:paraId="20D60B33">
            <w:pPr>
              <w:spacing w:line="480" w:lineRule="auto"/>
              <w:rPr>
                <w:rFonts w:ascii="宋体" w:hAnsi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/>
                <w:color w:val="333333"/>
                <w:sz w:val="24"/>
                <w:szCs w:val="24"/>
                <w:shd w:val="clear" w:color="auto" w:fill="FFFFFF"/>
              </w:rPr>
              <w:t>账号：</w:t>
            </w:r>
          </w:p>
        </w:tc>
      </w:tr>
      <w:tr w14:paraId="063C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1" w:type="dxa"/>
          </w:tcPr>
          <w:p w14:paraId="3764B599">
            <w:pPr>
              <w:pStyle w:val="6"/>
              <w:spacing w:line="480" w:lineRule="auto"/>
              <w:ind w:firstLine="0" w:firstLineChars="0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7"/>
                <w:rFonts w:hint="eastAsia" w:ascii="宋体" w:hAnsi="宋体" w:cs="宋体"/>
                <w:color w:val="000000"/>
                <w:sz w:val="24"/>
                <w:szCs w:val="24"/>
              </w:rPr>
              <w:t>日期：  年   月   日</w:t>
            </w:r>
          </w:p>
        </w:tc>
        <w:tc>
          <w:tcPr>
            <w:tcW w:w="4512" w:type="dxa"/>
          </w:tcPr>
          <w:p w14:paraId="2D976F65">
            <w:pPr>
              <w:spacing w:line="480" w:lineRule="auto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7"/>
                <w:rFonts w:hint="eastAsia" w:ascii="宋体" w:hAnsi="宋体" w:cs="宋体"/>
                <w:color w:val="000000"/>
                <w:sz w:val="24"/>
                <w:szCs w:val="24"/>
              </w:rPr>
              <w:t>日期：    年   月   日</w:t>
            </w:r>
          </w:p>
        </w:tc>
      </w:tr>
    </w:tbl>
    <w:p w14:paraId="502AA1FC">
      <w:pPr>
        <w:spacing w:line="360" w:lineRule="auto"/>
        <w:rPr>
          <w:rFonts w:ascii="宋体" w:hAnsi="宋体"/>
        </w:rPr>
      </w:pPr>
    </w:p>
    <w:p w14:paraId="1BB44A2D"/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06603"/>
    </w:sdtPr>
    <w:sdtEndPr>
      <w:rPr>
        <w:sz w:val="24"/>
        <w:szCs w:val="24"/>
      </w:rPr>
    </w:sdtEndPr>
    <w:sdtContent>
      <w:p w14:paraId="55858591">
        <w:pPr>
          <w:pStyle w:val="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5</w:t>
        </w:r>
        <w:r>
          <w:rPr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E3795"/>
    <w:rsid w:val="13FA738E"/>
    <w:rsid w:val="1D38714E"/>
    <w:rsid w:val="3FAA4747"/>
    <w:rsid w:val="54E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  <w:style w:type="paragraph" w:customStyle="1" w:styleId="6">
    <w:name w:val="正文（缩进 2 字符）"/>
    <w:basedOn w:val="1"/>
    <w:qFormat/>
    <w:uiPriority w:val="0"/>
    <w:pPr>
      <w:ind w:firstLine="200" w:firstLineChars="200"/>
    </w:p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4794</Words>
  <Characters>5035</Characters>
  <Lines>0</Lines>
  <Paragraphs>0</Paragraphs>
  <TotalTime>7</TotalTime>
  <ScaleCrop>false</ScaleCrop>
  <LinksUpToDate>false</LinksUpToDate>
  <CharactersWithSpaces>5077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2026-04-13T10:01:00Z</dcterms:created>
  <dc:creator>杨光</dc:creator>
  <cp:lastModifiedBy>亿诚</cp:lastModifiedBy>
  <dcterms:modified xsi:type="dcterms:W3CDTF">2026-04-22T03:28:29Z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A115E236FD464021846D91636D61F315_13</vt:lpwstr>
  </property>
</Properties>
</file>