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版本号：ATZB-2026-050820260511002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2026年镇巴县泾洋街道办鹿子坝社区经济合作社设施蔬菜大棚建设项目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ATZB-2026-0508</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2026年镇巴县泾洋街道办鹿子坝社区经济合作社设施蔬菜大棚建设项目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ATZB-2026-0508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2026年镇巴县泾洋街道办鹿子坝社区经济合作社设施蔬菜大棚建设项目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新建镀锌钢管钢架结构蔬菜生产大棚28座、10080平方米、顶高3.2米，配套建设大棚喷灌系统等。具体详见工程量清单及图纸。</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采购包1（2026年镇巴县泾洋街道办鹿子坝社区经济合作社设施蔬菜大棚建设项目）：属于专门面向中小企业采购。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独立承担民事责任能力：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参加投标须提供《法定代表人身份证明》及身份证复印件；法定代表人授权他人参加投标，须提供《法定代表人授权委托书》、委托代理人身份证复印件,供应商需在项目电子化交易系统中按要求传相应证明文件并进行电子签章</w:t>
      </w:r>
    </w:p>
    <w:p>
      <w:pPr>
        <w:pStyle w:val="null3"/>
      </w:pPr>
      <w:r>
        <w:rPr>
          <w:rFonts w:ascii="仿宋_GB2312" w:hAnsi="仿宋_GB2312" w:cs="仿宋_GB2312" w:eastAsia="仿宋_GB2312"/>
        </w:rPr>
        <w:t>3、供应商资质要求：供应商须具有建设行政主管部门颁发的建筑工程施工总承包三级及以上资质，具有有效的安全生产许可证；供应商需在项目电子化交易系统中按要求上传相应证明文件并进行电子签章。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4、项目负责人资格：拟派项目负责人须具有建筑工程专业注册建造师二级及以上资格和安全生产考核合格B证，且无在建 项目。供应商需在项目电子化交易系统中按要求上传相应证明文件并进行电子签章。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非联合体磋商承诺函：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13571659759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采购包1：1,089,182.10元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收费标准：代理服务费收费标准：代理服务费收费标准：参照原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收取。 2、代理服务费的具体金额后续见本项目中标（成交）结果公告。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1,089,182.10</w:t>
      </w:r>
    </w:p>
    <w:p>
      <w:pPr>
        <w:pStyle w:val="null3"/>
      </w:pPr>
      <w:r>
        <w:rPr>
          <w:rFonts w:ascii="仿宋_GB2312" w:hAnsi="仿宋_GB2312" w:cs="仿宋_GB2312" w:eastAsia="仿宋_GB2312"/>
        </w:rPr>
        <w:t>采购包最高限价（元）: 1,089,182.10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2026年镇巴县泾洋街道办鹿子坝社区经济合作社设施蔬菜大棚建设项目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1,089,182.10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标的名称：2026年镇巴县泾洋街道办鹿子坝社区经济合作社设施蔬菜大棚建设项目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一、项目基本情况</w:t>
            </w:r>
          </w:p>
          <w:p>
            <w:pPr>
              <w:pStyle w:val="null3"/>
              <w:ind w:firstLine="560"/>
              <w:jc w:val="both"/>
            </w:pPr>
            <w:r>
              <w:rPr>
                <w:rFonts w:ascii="仿宋_GB2312" w:hAnsi="仿宋_GB2312" w:cs="仿宋_GB2312" w:eastAsia="仿宋_GB2312"/>
                <w:sz w:val="28"/>
              </w:rPr>
              <w:t>1、项目名称：</w:t>
            </w:r>
            <w:r>
              <w:rPr>
                <w:rFonts w:ascii="仿宋_GB2312" w:hAnsi="仿宋_GB2312" w:cs="仿宋_GB2312" w:eastAsia="仿宋_GB2312"/>
                <w:sz w:val="28"/>
              </w:rPr>
              <w:t>2026年镇巴县泾洋街道办鹿子坝社区经济合作社设施蔬菜大棚建设项目</w:t>
            </w:r>
          </w:p>
          <w:p>
            <w:pPr>
              <w:pStyle w:val="null3"/>
              <w:ind w:firstLine="560"/>
              <w:jc w:val="both"/>
            </w:pPr>
            <w:r>
              <w:rPr>
                <w:rFonts w:ascii="仿宋_GB2312" w:hAnsi="仿宋_GB2312" w:cs="仿宋_GB2312" w:eastAsia="仿宋_GB2312"/>
                <w:sz w:val="28"/>
              </w:rPr>
              <w:t>2、项目地点：</w:t>
            </w:r>
            <w:r>
              <w:rPr>
                <w:rFonts w:ascii="仿宋_GB2312" w:hAnsi="仿宋_GB2312" w:cs="仿宋_GB2312" w:eastAsia="仿宋_GB2312"/>
                <w:sz w:val="28"/>
              </w:rPr>
              <w:t>镇巴县泾洋镇</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 xml:space="preserve"> </w:t>
            </w:r>
            <w:r>
              <w:rPr>
                <w:rFonts w:ascii="仿宋_GB2312" w:hAnsi="仿宋_GB2312" w:cs="仿宋_GB2312" w:eastAsia="仿宋_GB2312"/>
                <w:sz w:val="28"/>
              </w:rPr>
              <w:t>采购预算</w:t>
            </w:r>
            <w:r>
              <w:rPr>
                <w:rFonts w:ascii="仿宋_GB2312" w:hAnsi="仿宋_GB2312" w:cs="仿宋_GB2312" w:eastAsia="仿宋_GB2312"/>
                <w:sz w:val="28"/>
              </w:rPr>
              <w:t>：</w:t>
            </w:r>
            <w:r>
              <w:rPr>
                <w:rFonts w:ascii="仿宋_GB2312" w:hAnsi="仿宋_GB2312" w:cs="仿宋_GB2312" w:eastAsia="仿宋_GB2312"/>
                <w:sz w:val="28"/>
              </w:rPr>
              <w:t>1089182.10元</w:t>
            </w:r>
          </w:p>
          <w:p>
            <w:pPr>
              <w:pStyle w:val="null3"/>
              <w:ind w:firstLine="560"/>
              <w:jc w:val="both"/>
            </w:pPr>
            <w:r>
              <w:rPr>
                <w:rFonts w:ascii="仿宋_GB2312" w:hAnsi="仿宋_GB2312" w:cs="仿宋_GB2312" w:eastAsia="仿宋_GB2312"/>
                <w:sz w:val="28"/>
              </w:rPr>
              <w:t>二、采购预算及形成方式</w:t>
            </w:r>
          </w:p>
          <w:p>
            <w:pPr>
              <w:pStyle w:val="null3"/>
              <w:ind w:firstLine="560"/>
              <w:jc w:val="both"/>
            </w:pPr>
            <w:r>
              <w:rPr>
                <w:rFonts w:ascii="仿宋_GB2312" w:hAnsi="仿宋_GB2312" w:cs="仿宋_GB2312" w:eastAsia="仿宋_GB2312"/>
                <w:sz w:val="28"/>
              </w:rPr>
              <w:t>1、依据2026年镇巴县泾洋街道办鹿子坝社区经济合作社设施蔬菜大棚建设项目施工图设计及现场实际情况；</w:t>
            </w:r>
          </w:p>
          <w:p>
            <w:pPr>
              <w:pStyle w:val="null3"/>
              <w:ind w:firstLine="560"/>
              <w:jc w:val="both"/>
            </w:pPr>
            <w:r>
              <w:rPr>
                <w:rFonts w:ascii="仿宋_GB2312" w:hAnsi="仿宋_GB2312" w:cs="仿宋_GB2312" w:eastAsia="仿宋_GB2312"/>
                <w:sz w:val="28"/>
              </w:rPr>
              <w:t>2、《陕西省建设工程工程量清单计价标准及计算标准（</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《陕西省建设工程费用规则（</w:t>
            </w:r>
            <w:r>
              <w:rPr>
                <w:rFonts w:ascii="仿宋_GB2312" w:hAnsi="仿宋_GB2312" w:cs="仿宋_GB2312" w:eastAsia="仿宋_GB2312"/>
                <w:sz w:val="28"/>
              </w:rPr>
              <w:t>2025</w:t>
            </w:r>
            <w:r>
              <w:rPr>
                <w:rFonts w:ascii="仿宋_GB2312" w:hAnsi="仿宋_GB2312" w:cs="仿宋_GB2312" w:eastAsia="仿宋_GB2312"/>
                <w:sz w:val="28"/>
              </w:rPr>
              <w:t>）》、《陕西省房屋建筑与装饰工程、通用安装工程、市政工程、园林绿化工程、城市地下综合管廊工程、绿色建筑工程基价表（</w:t>
            </w:r>
            <w:r>
              <w:rPr>
                <w:rFonts w:ascii="仿宋_GB2312" w:hAnsi="仿宋_GB2312" w:cs="仿宋_GB2312" w:eastAsia="仿宋_GB2312"/>
                <w:sz w:val="28"/>
              </w:rPr>
              <w:t>2025</w:t>
            </w:r>
            <w:r>
              <w:rPr>
                <w:rFonts w:ascii="仿宋_GB2312" w:hAnsi="仿宋_GB2312" w:cs="仿宋_GB2312" w:eastAsia="仿宋_GB2312"/>
                <w:sz w:val="28"/>
              </w:rPr>
              <w:t>）》、《陕西省房屋建筑与装饰工程、通用安装工程、市政工程、园林绿化工程、城市地下综合管廊工程、绿色建筑工程消耗量定额（</w:t>
            </w:r>
            <w:r>
              <w:rPr>
                <w:rFonts w:ascii="仿宋_GB2312" w:hAnsi="仿宋_GB2312" w:cs="仿宋_GB2312" w:eastAsia="仿宋_GB2312"/>
                <w:sz w:val="28"/>
              </w:rPr>
              <w:t>2025</w:t>
            </w:r>
            <w:r>
              <w:rPr>
                <w:rFonts w:ascii="仿宋_GB2312" w:hAnsi="仿宋_GB2312" w:cs="仿宋_GB2312" w:eastAsia="仿宋_GB2312"/>
                <w:sz w:val="28"/>
              </w:rPr>
              <w:t>）》、《陕西省建设工程施工机械台班、仪器仪表台班费用定额定额（</w:t>
            </w:r>
            <w:r>
              <w:rPr>
                <w:rFonts w:ascii="仿宋_GB2312" w:hAnsi="仿宋_GB2312" w:cs="仿宋_GB2312" w:eastAsia="仿宋_GB2312"/>
                <w:sz w:val="28"/>
              </w:rPr>
              <w:t>2025</w:t>
            </w:r>
            <w:r>
              <w:rPr>
                <w:rFonts w:ascii="仿宋_GB2312" w:hAnsi="仿宋_GB2312" w:cs="仿宋_GB2312" w:eastAsia="仿宋_GB2312"/>
                <w:sz w:val="28"/>
              </w:rPr>
              <w:t>）》</w:t>
            </w:r>
            <w:r>
              <w:rPr>
                <w:rFonts w:ascii="仿宋_GB2312" w:hAnsi="仿宋_GB2312" w:cs="仿宋_GB2312" w:eastAsia="仿宋_GB2312"/>
                <w:sz w:val="28"/>
              </w:rPr>
              <w:t>及配套的相关文件；</w:t>
            </w:r>
          </w:p>
          <w:p>
            <w:pPr>
              <w:pStyle w:val="null3"/>
              <w:ind w:firstLine="560"/>
              <w:jc w:val="both"/>
            </w:pPr>
            <w:r>
              <w:rPr>
                <w:rFonts w:ascii="仿宋_GB2312" w:hAnsi="仿宋_GB2312" w:cs="仿宋_GB2312" w:eastAsia="仿宋_GB2312"/>
                <w:sz w:val="28"/>
              </w:rPr>
              <w:t>3、增值税销项税率执行陕建发[2019]45 号文件。</w:t>
            </w:r>
          </w:p>
          <w:p>
            <w:pPr>
              <w:pStyle w:val="null3"/>
              <w:ind w:firstLine="560"/>
              <w:jc w:val="both"/>
            </w:pPr>
            <w:r>
              <w:rPr>
                <w:rFonts w:ascii="仿宋_GB2312" w:hAnsi="仿宋_GB2312" w:cs="仿宋_GB2312" w:eastAsia="仿宋_GB2312"/>
                <w:sz w:val="28"/>
              </w:rPr>
              <w:t>4、主要材料价执行汉中市 2026 年第 2期造价信息。</w:t>
            </w:r>
          </w:p>
          <w:p>
            <w:pPr>
              <w:pStyle w:val="null3"/>
              <w:ind w:firstLine="560"/>
              <w:jc w:val="both"/>
            </w:pPr>
            <w:r>
              <w:rPr>
                <w:rFonts w:ascii="仿宋_GB2312" w:hAnsi="仿宋_GB2312" w:cs="仿宋_GB2312" w:eastAsia="仿宋_GB2312"/>
                <w:sz w:val="28"/>
              </w:rPr>
              <w:t>三、具体采购内容和技术规格要求</w:t>
            </w:r>
          </w:p>
          <w:p>
            <w:pPr>
              <w:pStyle w:val="null3"/>
              <w:ind w:firstLine="560"/>
              <w:jc w:val="both"/>
            </w:pPr>
            <w:r>
              <w:rPr>
                <w:rFonts w:ascii="仿宋_GB2312" w:hAnsi="仿宋_GB2312" w:cs="仿宋_GB2312" w:eastAsia="仿宋_GB2312"/>
                <w:sz w:val="28"/>
              </w:rPr>
              <w:t>新建镀锌钢管钢架结构蔬菜生产大棚</w:t>
            </w:r>
            <w:r>
              <w:rPr>
                <w:rFonts w:ascii="仿宋_GB2312" w:hAnsi="仿宋_GB2312" w:cs="仿宋_GB2312" w:eastAsia="仿宋_GB2312"/>
                <w:sz w:val="28"/>
              </w:rPr>
              <w:t>28座、10080平方米、顶高3.2米，配套建设大棚喷灌系统等。。具体详见工程量清单及图纸。</w:t>
            </w:r>
          </w:p>
          <w:p>
            <w:pPr>
              <w:pStyle w:val="null3"/>
              <w:ind w:firstLine="560"/>
              <w:jc w:val="both"/>
            </w:pPr>
            <w:r>
              <w:rPr>
                <w:rFonts w:ascii="仿宋_GB2312" w:hAnsi="仿宋_GB2312" w:cs="仿宋_GB2312" w:eastAsia="仿宋_GB2312"/>
                <w:sz w:val="28"/>
              </w:rPr>
              <w:t>四、技术标准要求（依照标准、参照标准）</w:t>
            </w:r>
          </w:p>
          <w:p>
            <w:pPr>
              <w:pStyle w:val="null3"/>
              <w:ind w:firstLine="560"/>
              <w:jc w:val="both"/>
            </w:pPr>
            <w:r>
              <w:rPr>
                <w:rFonts w:ascii="仿宋_GB2312" w:hAnsi="仿宋_GB2312" w:cs="仿宋_GB2312" w:eastAsia="仿宋_GB2312"/>
                <w:sz w:val="28"/>
              </w:rPr>
              <w:t>1、中标人负责施工完毕后，中标人提交验收文件，采购方组织监理共同进行技术验收（中标人协助），验收以国家标准等相关技术规定或以合同文本中描述的有关技术要求为准。</w:t>
            </w:r>
          </w:p>
          <w:p>
            <w:pPr>
              <w:pStyle w:val="null3"/>
              <w:ind w:firstLine="560"/>
              <w:jc w:val="both"/>
            </w:pPr>
            <w:r>
              <w:rPr>
                <w:rFonts w:ascii="仿宋_GB2312" w:hAnsi="仿宋_GB2312" w:cs="仿宋_GB2312" w:eastAsia="仿宋_GB2312"/>
                <w:sz w:val="28"/>
              </w:rPr>
              <w:t>2、发包人给出的委托书或项目招标文件。</w:t>
            </w:r>
          </w:p>
          <w:p>
            <w:pPr>
              <w:pStyle w:val="null3"/>
              <w:ind w:firstLine="560"/>
              <w:jc w:val="both"/>
            </w:pPr>
            <w:r>
              <w:rPr>
                <w:rFonts w:ascii="仿宋_GB2312" w:hAnsi="仿宋_GB2312" w:cs="仿宋_GB2312" w:eastAsia="仿宋_GB2312"/>
                <w:sz w:val="28"/>
              </w:rPr>
              <w:t>3、发包人提供的基础资料。</w:t>
            </w:r>
          </w:p>
          <w:p>
            <w:pPr>
              <w:pStyle w:val="null3"/>
              <w:numPr>
                <w:ilvl w:val="0"/>
                <w:numId w:val="1"/>
              </w:numPr>
              <w:jc w:val="both"/>
            </w:pPr>
            <w:r>
              <w:rPr>
                <w:rFonts w:ascii="仿宋_GB2312" w:hAnsi="仿宋_GB2312" w:cs="仿宋_GB2312" w:eastAsia="仿宋_GB2312"/>
                <w:sz w:val="28"/>
              </w:rPr>
              <w:t>完成时间</w:t>
            </w:r>
          </w:p>
          <w:p>
            <w:pPr>
              <w:pStyle w:val="null3"/>
              <w:ind w:firstLine="560"/>
              <w:jc w:val="both"/>
            </w:pPr>
            <w:r>
              <w:rPr>
                <w:rFonts w:ascii="仿宋_GB2312" w:hAnsi="仿宋_GB2312" w:cs="仿宋_GB2312" w:eastAsia="仿宋_GB2312"/>
                <w:sz w:val="28"/>
              </w:rPr>
              <w:t>合同签订后</w:t>
            </w:r>
            <w:r>
              <w:rPr>
                <w:rFonts w:ascii="仿宋_GB2312" w:hAnsi="仿宋_GB2312" w:cs="仿宋_GB2312" w:eastAsia="仿宋_GB2312"/>
                <w:sz w:val="28"/>
              </w:rPr>
              <w:t>60日历天</w:t>
            </w:r>
            <w:r>
              <w:rPr>
                <w:rFonts w:ascii="仿宋_GB2312" w:hAnsi="仿宋_GB2312" w:cs="仿宋_GB2312" w:eastAsia="仿宋_GB2312"/>
                <w:sz w:val="28"/>
              </w:rPr>
              <w:t>（具体服务起止日期可随合同签订时间相应顺延）</w:t>
            </w:r>
          </w:p>
          <w:p>
            <w:pPr>
              <w:pStyle w:val="null3"/>
              <w:ind w:firstLine="560"/>
              <w:jc w:val="both"/>
            </w:pPr>
            <w:r>
              <w:rPr>
                <w:rFonts w:ascii="仿宋_GB2312" w:hAnsi="仿宋_GB2312" w:cs="仿宋_GB2312" w:eastAsia="仿宋_GB2312"/>
                <w:sz w:val="28"/>
              </w:rPr>
              <w:t>1.双方交流、沟通、成果上会等待确认、汇报、审查的时间及因发包人或不可抗力原因造成的延误时间不包含在本条约定的时间期限内。</w:t>
            </w:r>
          </w:p>
          <w:p>
            <w:pPr>
              <w:pStyle w:val="null3"/>
              <w:ind w:firstLine="560"/>
              <w:jc w:val="both"/>
            </w:pPr>
            <w:r>
              <w:rPr>
                <w:rFonts w:ascii="仿宋_GB2312" w:hAnsi="仿宋_GB2312" w:cs="仿宋_GB2312" w:eastAsia="仿宋_GB2312"/>
                <w:sz w:val="28"/>
              </w:rPr>
              <w:t>2.经发包人、承包人双方协商一致，以上工作时间可根据实际情况作必要调整，双方另行签订补充协议。</w:t>
            </w:r>
          </w:p>
          <w:p>
            <w:pPr>
              <w:pStyle w:val="null3"/>
              <w:ind w:firstLine="560"/>
            </w:pPr>
            <w:r>
              <w:rPr>
                <w:rFonts w:ascii="仿宋_GB2312" w:hAnsi="仿宋_GB2312" w:cs="仿宋_GB2312" w:eastAsia="仿宋_GB2312"/>
                <w:sz w:val="28"/>
              </w:rPr>
              <w:t>六、验收方法及标准</w:t>
            </w:r>
          </w:p>
          <w:p>
            <w:pPr>
              <w:pStyle w:val="null3"/>
              <w:ind w:firstLine="560"/>
              <w:jc w:val="both"/>
            </w:pPr>
            <w:r>
              <w:rPr>
                <w:rFonts w:ascii="仿宋_GB2312" w:hAnsi="仿宋_GB2312" w:cs="仿宋_GB2312" w:eastAsia="仿宋_GB2312"/>
                <w:sz w:val="28"/>
              </w:rPr>
              <w:t>成交供应商负责施工完毕后，成交供应商提交验收文件，采购方组织监理共同进行技术验收（成交供应商协助），验收以国家标准或以合同文本中描述的有关技术要求为准。</w:t>
            </w:r>
          </w:p>
          <w:p>
            <w:pPr>
              <w:pStyle w:val="null3"/>
              <w:ind w:firstLine="560"/>
              <w:jc w:val="both"/>
            </w:pPr>
            <w:r>
              <w:rPr>
                <w:rFonts w:ascii="仿宋_GB2312" w:hAnsi="仿宋_GB2312" w:cs="仿宋_GB2312" w:eastAsia="仿宋_GB2312"/>
                <w:sz w:val="28"/>
              </w:rPr>
              <w:t>七、付款方式</w:t>
            </w:r>
          </w:p>
          <w:p>
            <w:pPr>
              <w:pStyle w:val="null3"/>
              <w:jc w:val="left"/>
            </w:pPr>
            <w:r>
              <w:rPr>
                <w:rFonts w:ascii="仿宋_GB2312" w:hAnsi="仿宋_GB2312" w:cs="仿宋_GB2312" w:eastAsia="仿宋_GB2312"/>
                <w:sz w:val="28"/>
              </w:rPr>
              <w:t>按合同约定的方式支付</w:t>
            </w:r>
          </w:p>
          <w:p>
            <w:pPr>
              <w:pStyle w:val="null3"/>
            </w:pPr>
            <w:r>
              <w:rPr>
                <w:rFonts w:ascii="仿宋_GB2312" w:hAnsi="仿宋_GB2312" w:cs="仿宋_GB2312" w:eastAsia="仿宋_GB2312"/>
                <w:sz w:val="27"/>
              </w:rPr>
              <w:t>1、 付款条件说明： 合同签订后 ，达到付款条件起 14 日内，支付合同总金额的 30.00%。</w:t>
            </w:r>
          </w:p>
          <w:p>
            <w:pPr>
              <w:pStyle w:val="null3"/>
              <w:ind w:firstLine="1200"/>
            </w:pPr>
            <w:r>
              <w:rPr>
                <w:rFonts w:ascii="仿宋_GB2312" w:hAnsi="仿宋_GB2312" w:cs="仿宋_GB2312" w:eastAsia="仿宋_GB2312"/>
                <w:sz w:val="27"/>
              </w:rPr>
              <w:t>2、 付款条件说明： 依合同进度 ，达到付款条件起 14 日内，支付合同总金额的 50.00%。</w:t>
            </w:r>
          </w:p>
          <w:p>
            <w:pPr>
              <w:pStyle w:val="null3"/>
              <w:ind w:firstLine="1200"/>
            </w:pPr>
            <w:r>
              <w:rPr>
                <w:rFonts w:ascii="仿宋_GB2312" w:hAnsi="仿宋_GB2312" w:cs="仿宋_GB2312" w:eastAsia="仿宋_GB2312"/>
                <w:sz w:val="27"/>
              </w:rPr>
              <w:t>3、 付款条件说明： 竣工验收合格后 ，达到付款条件起 14 日内，支付合同总金额的 20.00%。</w:t>
            </w:r>
          </w:p>
          <w:p>
            <w:pPr>
              <w:pStyle w:val="null3"/>
              <w:numPr>
                <w:ilvl w:val="0"/>
                <w:numId w:val="1"/>
              </w:numPr>
              <w:jc w:val="both"/>
            </w:pPr>
            <w:r>
              <w:rPr>
                <w:rFonts w:ascii="仿宋_GB2312" w:hAnsi="仿宋_GB2312" w:cs="仿宋_GB2312" w:eastAsia="仿宋_GB2312"/>
                <w:sz w:val="28"/>
              </w:rPr>
              <w:t>售后服务要求</w:t>
            </w:r>
          </w:p>
          <w:p>
            <w:pPr>
              <w:pStyle w:val="null3"/>
              <w:ind w:firstLine="560"/>
              <w:jc w:val="left"/>
            </w:pPr>
            <w:r>
              <w:rPr>
                <w:rFonts w:ascii="仿宋_GB2312" w:hAnsi="仿宋_GB2312" w:cs="仿宋_GB2312" w:eastAsia="仿宋_GB2312"/>
                <w:sz w:val="28"/>
              </w:rPr>
              <w:t>直至缺陷责任期满。</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工期：60日历天，质量标准：合格</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委托代理人身份证复印件,供应商需在项目电子化交易系统中按要求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供应商须具有建设行政主管部门颁发的建筑工程施工总承包三级及以上资质，具有有效的安全生产许可证；供应商需在项目电子化交易系统中按要求上传相应证明文件并进行电子签章。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项目负责人资格</w:t>
            </w:r>
          </w:p>
        </w:tc>
        <w:tc>
          <w:tcPr>
            <w:tcW w:type="dxa" w:w="3322"/>
          </w:tcPr>
          <w:p>
            <w:pPr>
              <w:pStyle w:val="null3"/>
            </w:pPr>
            <w:r>
              <w:rPr>
                <w:rFonts w:ascii="仿宋_GB2312" w:hAnsi="仿宋_GB2312" w:cs="仿宋_GB2312" w:eastAsia="仿宋_GB2312"/>
              </w:rPr>
              <w:t>拟派项目负责人须具有建筑工程专业注册建造师二级及以上资格和安全生产考核合格B证，且无在建 项目。供应商需在项目电子化交易系统中按要求上传相应证明文件并进行电子签章。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未列入在信用中国网站“失信被执行人”、“重大税收违法案件当事人名单”中，也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非联合体磋商承诺函</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符合磋商文件</w:t>
            </w:r>
          </w:p>
        </w:tc>
        <w:tc>
          <w:tcPr>
            <w:tcW w:type="dxa" w:w="1661"/>
          </w:tcPr>
          <w:p>
            <w:pPr>
              <w:pStyle w:val="null3"/>
            </w:pPr>
            <w:r>
              <w:rPr>
                <w:rFonts w:ascii="仿宋_GB2312" w:hAnsi="仿宋_GB2312" w:cs="仿宋_GB2312" w:eastAsia="仿宋_GB2312"/>
              </w:rPr>
              <w:t>已标价工程量清单 中小企业声明函 商务要求应答表.docx 技术响应方案.pdf 强制优先采购产品承诺函 响应文件封面 项目管理机构组成表 政府采购供应商拒绝政府采购领域商业贿赂承诺书.pdf 残疾人福利性单位声明函 报价函 供应商应提交的相关资格证明材料.pdf 标的清单 供应商类似项目业绩一览表 响应函 供应商认为需要提供的其他内容.pdf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w:t>
            </w:r>
          </w:p>
        </w:tc>
        <w:tc>
          <w:tcPr>
            <w:tcW w:type="dxa" w:w="1661"/>
          </w:tcPr>
          <w:p>
            <w:pPr>
              <w:pStyle w:val="null3"/>
            </w:pPr>
            <w:r>
              <w:rPr>
                <w:rFonts w:ascii="仿宋_GB2312" w:hAnsi="仿宋_GB2312" w:cs="仿宋_GB2312" w:eastAsia="仿宋_GB2312"/>
              </w:rPr>
              <w:t>报价函 商务要求应答表.docx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保证金缴纳</w:t>
            </w:r>
          </w:p>
        </w:tc>
        <w:tc>
          <w:tcPr>
            <w:tcW w:type="dxa" w:w="3322"/>
          </w:tcPr>
          <w:p>
            <w:pPr>
              <w:pStyle w:val="null3"/>
            </w:pPr>
            <w:r>
              <w:rPr>
                <w:rFonts w:ascii="仿宋_GB2312" w:hAnsi="仿宋_GB2312" w:cs="仿宋_GB2312" w:eastAsia="仿宋_GB2312"/>
              </w:rPr>
              <w:t>按磋商文件要求递交投标保证金</w:t>
            </w:r>
          </w:p>
        </w:tc>
        <w:tc>
          <w:tcPr>
            <w:tcW w:type="dxa" w:w="1661"/>
          </w:tcPr>
          <w:p>
            <w:pPr>
              <w:pStyle w:val="null3"/>
            </w:pPr>
            <w:r>
              <w:rPr>
                <w:rFonts w:ascii="仿宋_GB2312" w:hAnsi="仿宋_GB2312" w:cs="仿宋_GB2312" w:eastAsia="仿宋_GB2312"/>
              </w:rPr>
              <w:t>供应商应提交的相关资格证明材料.pdf 供应商认为需要提供的其他内容.pdf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工期和质量</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报价函 商务要求应答表.docx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商务要求应答表.docx 响应函 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 内容包含： ①施工目标:成本目标、工期目标、质量目标②施工平面布置与安排：现场围挡及出入 口管理、交通组织安排、消防安排、施工平面布置图。 二、评审标准 1、完整性：方案必须全面，对评审内容中的各项要求有详细描述； 2、可实施性：切合本项目实际情况，提出步骤清晰、合理的方案； 3、针对性：方案能够紧扣项目实际情况， 内容科学合理。 三、赋分标准 ①施工目标： 每完全满足一个评审标准得1.5分，满分4.5分； ②施工平面布置与安排：每完全满足一个评审标准得1.5分，满分4.5分；未提供或明显套用其他项目 内容的不得分。 (缺陷是指:存在不适用项目实际情况的情形、凭空编造、套用其他项目方案、 内容前后不一致、前后逻辑错误、涉及的规范及标准错误、地点区域错误、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施 工 总进 度 计划</w:t>
            </w:r>
          </w:p>
        </w:tc>
        <w:tc>
          <w:tcPr>
            <w:tcW w:type="dxa" w:w="2492"/>
          </w:tcPr>
          <w:p>
            <w:pPr>
              <w:pStyle w:val="null3"/>
            </w:pPr>
            <w:r>
              <w:rPr>
                <w:rFonts w:ascii="仿宋_GB2312" w:hAnsi="仿宋_GB2312" w:cs="仿宋_GB2312" w:eastAsia="仿宋_GB2312"/>
              </w:rPr>
              <w:t>一、评审内容 供应商编制完善的施工总进度计划，内容包含： ①施工进度 目标②施工进度保障措施。 二、评审标准 1、完整性：方案须全面，对评审内容中的各项要求有详细描述及说明； 2、可实施性：切合本项目实际情况，实施步骤清晰、合理； 3、针对性 ： 方案能够紧扣项 目实际情况 ， 内容科学合理。 三、赋分标准 ①施工进度目标： 每完全满足一个评审标准得1分，满分3分； ②施工进度保障措施：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质 量技 术措 施</w:t>
            </w:r>
          </w:p>
        </w:tc>
        <w:tc>
          <w:tcPr>
            <w:tcW w:type="dxa" w:w="2492"/>
          </w:tcPr>
          <w:p>
            <w:pPr>
              <w:pStyle w:val="null3"/>
            </w:pPr>
            <w:r>
              <w:rPr>
                <w:rFonts w:ascii="仿宋_GB2312" w:hAnsi="仿宋_GB2312" w:cs="仿宋_GB2312" w:eastAsia="仿宋_GB2312"/>
              </w:rPr>
              <w:t>一、评审内容 供应商编制完善的质量技术措施， 内容包含：①质量管理目标②施工质量保障措施③施工质量检验制度。 二、评审标准 1、完整性： 方案须全面，对评审内容中的各项要求有详细描述及说明； 2、可实施性： 切合本项目实际情况，实施步骤清晰 、合理；3、针对性： 方案能够紧扣项 目实际情况，内容科学合理。 三、赋分标准 ①质量管理目标： 每完全满足一个评审标准得1分，满分3分； ②施工质量保障措施：每完全满足一个评审标准得1分，满分3分； ③施工质量检验制度：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安 全 技 术措 施</w:t>
            </w:r>
          </w:p>
        </w:tc>
        <w:tc>
          <w:tcPr>
            <w:tcW w:type="dxa" w:w="2492"/>
          </w:tcPr>
          <w:p>
            <w:pPr>
              <w:pStyle w:val="null3"/>
            </w:pPr>
            <w:r>
              <w:rPr>
                <w:rFonts w:ascii="仿宋_GB2312" w:hAnsi="仿宋_GB2312" w:cs="仿宋_GB2312" w:eastAsia="仿宋_GB2312"/>
              </w:rPr>
              <w:t>一、评审内容 供应商编制完善的安全技术措施， 内容包含：①安全管理制度②安全责任归属划分③安全标识：安全警戒标语、施工人员安全警示服和安全帽穿配要求④安全教育培训。 二、评审标准 1、完整性：方案须全面，对评审内容中的各项要求有详细描述及说明； 2、可实施性：切合本项目实际情况，实施步骤清晰、合理； 3、针对性：方案能够紧扣项目实际情况， 内容科学合理。 三、赋分标准 ①安全管理制度： 每完全满足一个评审标准得1分，满分3分； ②安全责任归属划分： 每完全满足一个评审标准得1分，满3分； ③安全标识：每完全满足一个评审标准得1分，满分3分； ④安全教育培训：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文 明 施 工 措 施</w:t>
            </w:r>
          </w:p>
        </w:tc>
        <w:tc>
          <w:tcPr>
            <w:tcW w:type="dxa" w:w="2492"/>
          </w:tcPr>
          <w:p>
            <w:pPr>
              <w:pStyle w:val="null3"/>
            </w:pPr>
            <w:r>
              <w:rPr>
                <w:rFonts w:ascii="仿宋_GB2312" w:hAnsi="仿宋_GB2312" w:cs="仿宋_GB2312" w:eastAsia="仿宋_GB2312"/>
              </w:rPr>
              <w:t>一、评审内容 供应商编制完善的文明施工措施， 内容包含：①材料、半成品和机具的堆放管理②文明施工检查措施。 二、评审标准 1、完整性： 方案须全面，对评审内容中的各项要求有详细描述及说明； 2 、可实施性：切合本项目实际情况，实施步骤清晰、合理； 3、针对性：方案能够紧扣项目实际情况， 内容科学合理。 三、赋分标准 ①材料、半成品和机具的堆放管理： 每完全满足一个评审标准得1分，满分3分； ②文明施工检查措施： 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环 境 保护 措 施</w:t>
            </w:r>
          </w:p>
        </w:tc>
        <w:tc>
          <w:tcPr>
            <w:tcW w:type="dxa" w:w="2492"/>
          </w:tcPr>
          <w:p>
            <w:pPr>
              <w:pStyle w:val="null3"/>
            </w:pPr>
            <w:r>
              <w:rPr>
                <w:rFonts w:ascii="仿宋_GB2312" w:hAnsi="仿宋_GB2312" w:cs="仿宋_GB2312" w:eastAsia="仿宋_GB2312"/>
              </w:rPr>
              <w:t>一、评审内容 供应商编制完善的环境保护措施， 内容包含：①噪音控制措施②防尘及扬尘的控制措施。 二、评审标准 1、完整性：方案须全面，对评审内容中的各项要求有详细描述及说明； 2、可实施性：切合本项目实际情况，实施步骤清晰、合理； 3、针对性 ： 方案能够紧扣项 目实际情况 ， 内容科学合理。 三、赋分标准 ①噪音控制措施： 每完全满足一个评审标准1分，满分3分； ②防尘及扬尘的控制措施：每完全满足一个评审标准得1分，满分3分。未提供或明显套用其他项目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主 要 管理 措 施</w:t>
            </w:r>
          </w:p>
        </w:tc>
        <w:tc>
          <w:tcPr>
            <w:tcW w:type="dxa" w:w="2492"/>
          </w:tcPr>
          <w:p>
            <w:pPr>
              <w:pStyle w:val="null3"/>
            </w:pPr>
            <w:r>
              <w:rPr>
                <w:rFonts w:ascii="仿宋_GB2312" w:hAnsi="仿宋_GB2312" w:cs="仿宋_GB2312" w:eastAsia="仿宋_GB2312"/>
              </w:rPr>
              <w:t>一、评审内容 供应商针对本项目编制主要管理措施 , 内容包含：①分部分项工程施工方法②成品保护措施 二、评审标准 1、完整性： 方案须全面，对评审内容中的各项要求有详细描述及说明； 2、可实施性 ：切合本项目实际情况，实施步骤清晰、合理； 3、针对性：方案能够紧扣项目实际情况， 内容科学合理 。 三、赋分标准 ①分部分项工程施工方法：每完全满足一个评审标准得2分，满分6分； ②成品保护措施：每完全满足一个评审标准得2分，满分6分；未提供或明显套用其他项目 内容的不得分。 (缺陷是指:存在不适用项目实际情况的情形、凭空编造、套用其他项目方案、 内容前后不一致、前后逻辑错误、涉及的规范及标 准错误、地点区域错误、 内容缺失、不符合采购需求、不可能实现的情形等任意一种情形)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项目部人员组成</w:t>
            </w:r>
          </w:p>
        </w:tc>
        <w:tc>
          <w:tcPr>
            <w:tcW w:type="dxa" w:w="2492"/>
          </w:tcPr>
          <w:p>
            <w:pPr>
              <w:pStyle w:val="null3"/>
            </w:pPr>
            <w:r>
              <w:rPr>
                <w:rFonts w:ascii="仿宋_GB2312" w:hAnsi="仿宋_GB2312" w:cs="仿宋_GB2312" w:eastAsia="仿宋_GB2312"/>
              </w:rPr>
              <w:t>有详细的人员职责划分、人员管理方案。 由评标专家对供应商响应内容进行对比，根据优良程度打分： (优秀得3分， 良好得2分，一般得1分） 项目负责人具有相关专业高级工程师职称得2分， 中级职称得1分，没有职称不得分。 注：班子人员需提供相关证书、身份证及本单位社保缴费证明（近六个月内任意3个月），未提供不得分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技术响应方案.pdf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供应商提供自2023年1月至今类似项目业绩，响应文件中应附有其业绩证明材料，业绩以协议书（合同）或（ 中标）成交通知书加盖公章的复印件为依据，每提供一个得2.5分，满分5分。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(四舍五入后保留小数点后两位） 。 注：本项目专门面向中小企业采购，评审时不再进行价格扣除。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详见附件：商务要求应答表.docx</w:t>
      </w:r>
    </w:p>
    <w:p>
      <w:pPr>
        <w:pStyle w:val="null3"/>
        <w:ind w:firstLine="960"/>
      </w:pPr>
      <w:r>
        <w:rPr>
          <w:rFonts w:ascii="仿宋_GB2312" w:hAnsi="仿宋_GB2312" w:cs="仿宋_GB2312" w:eastAsia="仿宋_GB2312"/>
        </w:rPr>
        <w:t>详见附件：技术响应方案.pdf</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详见附件：政府采购供应商拒绝政府采购领域商业贿赂承诺书.pdf</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详见附件：建筑合同.docx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