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版本号：ZZHHCG-2026080420260901001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2026年南郑区青树镇冉家营村良种羊基地基础设施建设项目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ZZHHCG-20260804</w:t>
      </w:r>
      <w:r>
        <w:br/>
      </w:r>
      <w:r>
        <w:br/>
      </w:r>
      <w:r>
        <w:br/>
      </w:r>
    </w:p>
    <w:p>
      <w:pPr>
        <w:pStyle w:val="null3"/>
        <w:jc w:val="center"/>
        <w:outlineLvl w:val="2"/>
      </w:pPr>
      <w:r>
        <w:rPr>
          <w:rFonts w:ascii="仿宋_GB2312" w:hAnsi="仿宋_GB2312" w:cs="仿宋_GB2312" w:eastAsia="仿宋_GB2312"/>
          <w:sz w:val="28"/>
          <w:b/>
        </w:rPr>
        <w:t>汉中市南郑区青树镇人民政府</w:t>
      </w:r>
    </w:p>
    <w:p>
      <w:pPr>
        <w:pStyle w:val="null3"/>
        <w:jc w:val="center"/>
        <w:outlineLvl w:val="2"/>
      </w:pPr>
      <w:r>
        <w:rPr>
          <w:rFonts w:ascii="仿宋_GB2312" w:hAnsi="仿宋_GB2312" w:cs="仿宋_GB2312" w:eastAsia="仿宋_GB2312"/>
          <w:sz w:val="28"/>
          <w:b/>
        </w:rPr>
        <w:t>陕西中正浩华项目管理有限公司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陕西中正浩华项目管理有限公司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汉中市南郑区青树镇人民政府</w:t>
      </w:r>
      <w:r>
        <w:rPr>
          <w:rFonts w:ascii="仿宋_GB2312" w:hAnsi="仿宋_GB2312" w:cs="仿宋_GB2312" w:eastAsia="仿宋_GB2312"/>
        </w:rPr>
        <w:t>委托，拟对</w:t>
      </w:r>
      <w:r>
        <w:rPr>
          <w:rFonts w:ascii="仿宋_GB2312" w:hAnsi="仿宋_GB2312" w:cs="仿宋_GB2312" w:eastAsia="仿宋_GB2312"/>
        </w:rPr>
        <w:t>2026年南郑区青树镇冉家营村良种羊基地基础设施建设项目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ZZHHCG-20260804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2026年南郑区青树镇冉家营村良种羊基地基础设施建设项目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新建M7.5浆砌片石挡土墙，新建排水沟，新建D100圆管涵一处。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采购包1（2026年南郑区青树镇冉家营村良种羊基地基础设施建设项目）：属于专门面向中小企业采购。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1、参与主体：具有独立承担民事责任能力的法人、其他组织，并出具合法有效的营业执照或事业单位法人证书等国家规定的相关证明</w:t>
      </w:r>
    </w:p>
    <w:p>
      <w:pPr>
        <w:pStyle w:val="null3"/>
      </w:pPr>
      <w:r>
        <w:rPr>
          <w:rFonts w:ascii="仿宋_GB2312" w:hAnsi="仿宋_GB2312" w:cs="仿宋_GB2312" w:eastAsia="仿宋_GB2312"/>
        </w:rPr>
        <w:t>2、法定代表人身份证明或法定代表人授权书：法定代表人直接参加磋商的，须出具法定代表人身份证明；法定代表人委托代理人参加磋商的，须出具法定代表人授权书</w:t>
      </w:r>
    </w:p>
    <w:p>
      <w:pPr>
        <w:pStyle w:val="null3"/>
      </w:pPr>
      <w:r>
        <w:rPr>
          <w:rFonts w:ascii="仿宋_GB2312" w:hAnsi="仿宋_GB2312" w:cs="仿宋_GB2312" w:eastAsia="仿宋_GB2312"/>
        </w:rPr>
        <w:t>3、企业资质：供应商具有建设行政主管部门核发的公路工程施工总承包三级及以上资质或市政公用工程施工总承包三级及以上资质，且具有有效的安全生产许可证</w:t>
      </w:r>
    </w:p>
    <w:p>
      <w:pPr>
        <w:pStyle w:val="null3"/>
      </w:pPr>
      <w:r>
        <w:rPr>
          <w:rFonts w:ascii="仿宋_GB2312" w:hAnsi="仿宋_GB2312" w:cs="仿宋_GB2312" w:eastAsia="仿宋_GB2312"/>
        </w:rPr>
        <w:t>4、项目经理：拟派项目经理须具备公路工程专业二级及以上注册建造师执业资格或市政公用工程专业二级及以上注册建造师执业资格和相应的安全生产考核合格B证，在本单位注册且无在建项目</w:t>
      </w:r>
    </w:p>
    <w:p>
      <w:pPr>
        <w:pStyle w:val="null3"/>
      </w:pPr>
      <w:r>
        <w:rPr>
          <w:rFonts w:ascii="仿宋_GB2312" w:hAnsi="仿宋_GB2312" w:cs="仿宋_GB2312" w:eastAsia="仿宋_GB2312"/>
        </w:rPr>
        <w:t>5、汉中市政府采购供应商资格承诺函：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6、不接受联合体磋商：供应商须提供⾮联合体磋商承诺书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汉中市南郑区青树镇人民政府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青树镇南湖路18号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132 0916 0567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陕西中正浩华项目管理有限公司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陕西省汉中市南郑区渔营路与江古路⼗字路⼝凯奇酒店东侧⼆楼商铺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18165118328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代理服务费收费标准：1、参照国家计委计价格[2002]1980号及发改办价格[2003]857号通知规定，由中标⼈⽀付代理服务费。代理服务费缴纳账号：账⼾名称：陕西中正浩华项⽬管理有限公司 开⼾⾏：中国建设银⾏股份有限公司汉中南郑区⽀⾏ 银⾏账号：61050165711100001115(备注：2026年南郑区青树镇冉家营村良种羊基地基础设施建设项目采购代理服务费） 2、本项⽬采购代理费按工程计取。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汉中市南郑区青树镇人民政府</w:t>
      </w:r>
      <w:r>
        <w:rPr>
          <w:rFonts w:ascii="仿宋_GB2312" w:hAnsi="仿宋_GB2312" w:cs="仿宋_GB2312" w:eastAsia="仿宋_GB2312"/>
        </w:rPr>
        <w:t>和</w:t>
      </w:r>
      <w:r>
        <w:rPr>
          <w:rFonts w:ascii="仿宋_GB2312" w:hAnsi="仿宋_GB2312" w:cs="仿宋_GB2312" w:eastAsia="仿宋_GB2312"/>
        </w:rPr>
        <w:t>陕西中正浩华项目管理有限公司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汉中市南郑区青树镇人民政府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陕西中正浩华项目管理有限公司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汉中市南郑区青树镇人民政府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陕西中正浩华项目管理有限公司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工程质量符合合格标准要求。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联系人：廖浩</w:t>
      </w:r>
    </w:p>
    <w:p>
      <w:pPr>
        <w:pStyle w:val="null3"/>
      </w:pPr>
      <w:r>
        <w:rPr>
          <w:rFonts w:ascii="仿宋_GB2312" w:hAnsi="仿宋_GB2312" w:cs="仿宋_GB2312" w:eastAsia="仿宋_GB2312"/>
        </w:rPr>
        <w:t>联系电话：18165118328</w:t>
      </w:r>
    </w:p>
    <w:p>
      <w:pPr>
        <w:pStyle w:val="null3"/>
      </w:pPr>
      <w:r>
        <w:rPr>
          <w:rFonts w:ascii="仿宋_GB2312" w:hAnsi="仿宋_GB2312" w:cs="仿宋_GB2312" w:eastAsia="仿宋_GB2312"/>
        </w:rPr>
        <w:t>地址：陕西省汉中市南郑区渔营路与江古路⼗字路⼝凯奇酒店东侧⼆楼商铺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670,917.20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2026年南郑区青树镇冉家营村良种羊基地基础设施建设项目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标的名称：2026年南郑区青树镇冉家营村良种羊基地基础设施建设项目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建设内容：</w:t>
            </w:r>
            <w:r>
              <w:rPr>
                <w:rFonts w:ascii="仿宋_GB2312" w:hAnsi="仿宋_GB2312" w:cs="仿宋_GB2312" w:eastAsia="仿宋_GB2312"/>
                <w:sz w:val="21"/>
              </w:rPr>
              <w:t>新建</w:t>
            </w:r>
            <w:r>
              <w:rPr>
                <w:rFonts w:ascii="仿宋_GB2312" w:hAnsi="仿宋_GB2312" w:cs="仿宋_GB2312" w:eastAsia="仿宋_GB2312"/>
                <w:sz w:val="21"/>
              </w:rPr>
              <w:t>M7.5浆砌片石挡土墙，新建排水沟，新建D100圆管涵一处</w:t>
            </w:r>
            <w:r>
              <w:rPr>
                <w:rFonts w:ascii="仿宋_GB2312" w:hAnsi="仿宋_GB2312" w:cs="仿宋_GB2312" w:eastAsia="仿宋_GB2312"/>
                <w:sz w:val="21"/>
              </w:rPr>
              <w:t>，具体详见工程量清单。</w:t>
            </w:r>
          </w:p>
          <w:p>
            <w:pPr>
              <w:pStyle w:val="null3"/>
              <w:jc w:val="both"/>
            </w:pPr>
            <w:r>
              <w:rPr>
                <w:rFonts w:ascii="仿宋_GB2312" w:hAnsi="仿宋_GB2312" w:cs="仿宋_GB2312" w:eastAsia="仿宋_GB2312"/>
                <w:sz w:val="21"/>
                <w:b/>
              </w:rPr>
              <w:t>工期</w:t>
            </w:r>
            <w:r>
              <w:rPr>
                <w:rFonts w:ascii="仿宋_GB2312" w:hAnsi="仿宋_GB2312" w:cs="仿宋_GB2312" w:eastAsia="仿宋_GB2312"/>
                <w:sz w:val="21"/>
                <w:b/>
              </w:rPr>
              <w:t>:</w:t>
            </w:r>
            <w:r>
              <w:rPr>
                <w:rFonts w:ascii="仿宋_GB2312" w:hAnsi="仿宋_GB2312" w:cs="仿宋_GB2312" w:eastAsia="仿宋_GB2312"/>
                <w:sz w:val="21"/>
              </w:rPr>
              <w:t>45</w:t>
            </w:r>
            <w:r>
              <w:rPr>
                <w:rFonts w:ascii="仿宋_GB2312" w:hAnsi="仿宋_GB2312" w:cs="仿宋_GB2312" w:eastAsia="仿宋_GB2312"/>
                <w:sz w:val="21"/>
              </w:rPr>
              <w:t>日历天。</w:t>
            </w:r>
            <w:r>
              <w:br/>
            </w:r>
            <w:r>
              <w:rPr>
                <w:rFonts w:ascii="仿宋_GB2312" w:hAnsi="仿宋_GB2312" w:cs="仿宋_GB2312" w:eastAsia="仿宋_GB2312"/>
                <w:sz w:val="21"/>
                <w:b/>
              </w:rPr>
              <w:t>施工地点：</w:t>
            </w:r>
            <w:r>
              <w:rPr>
                <w:rFonts w:ascii="仿宋_GB2312" w:hAnsi="仿宋_GB2312" w:cs="仿宋_GB2312" w:eastAsia="仿宋_GB2312"/>
                <w:sz w:val="21"/>
              </w:rPr>
              <w:t>采购人指定地点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质量标准</w:t>
            </w:r>
            <w:r>
              <w:rPr>
                <w:rFonts w:ascii="仿宋_GB2312" w:hAnsi="仿宋_GB2312" w:cs="仿宋_GB2312" w:eastAsia="仿宋_GB2312"/>
                <w:sz w:val="21"/>
                <w:b/>
              </w:rPr>
              <w:t>:</w:t>
            </w:r>
            <w:r>
              <w:rPr>
                <w:rFonts w:ascii="仿宋_GB2312" w:hAnsi="仿宋_GB2312" w:cs="仿宋_GB2312" w:eastAsia="仿宋_GB2312"/>
                <w:sz w:val="21"/>
              </w:rPr>
              <w:t>工程质量符合合格标准要求。</w:t>
            </w:r>
          </w:p>
          <w:p>
            <w:pPr>
              <w:pStyle w:val="null3"/>
            </w:pPr>
            <w:r>
              <w:rPr>
                <w:rFonts w:ascii="仿宋_GB2312" w:hAnsi="仿宋_GB2312" w:cs="仿宋_GB2312" w:eastAsia="仿宋_GB2312"/>
                <w:sz w:val="21"/>
                <w:b/>
              </w:rPr>
              <w:t>质保期：</w:t>
            </w:r>
            <w:r>
              <w:rPr>
                <w:rFonts w:ascii="仿宋_GB2312" w:hAnsi="仿宋_GB2312" w:cs="仿宋_GB2312" w:eastAsia="仿宋_GB2312"/>
                <w:sz w:val="21"/>
              </w:rPr>
              <w:t>按照国家及行业现行标准要求执行</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编制说明：</w:t>
            </w:r>
            <w:r>
              <w:rPr>
                <w:rFonts w:ascii="仿宋_GB2312" w:hAnsi="仿宋_GB2312" w:cs="仿宋_GB2312" w:eastAsia="仿宋_GB2312"/>
                <w:sz w:val="21"/>
              </w:rPr>
              <w:t>1、中晟恒昌设计集团有限公司设计的《2026年南郑区青树镇冉家营村良种羊基地基础设施建设项目》图纸；</w:t>
            </w:r>
          </w:p>
          <w:p>
            <w:pPr>
              <w:pStyle w:val="null3"/>
              <w:jc w:val="both"/>
            </w:pPr>
            <w:r>
              <w:rPr>
                <w:rFonts w:ascii="仿宋_GB2312" w:hAnsi="仿宋_GB2312" w:cs="仿宋_GB2312" w:eastAsia="仿宋_GB2312"/>
                <w:sz w:val="21"/>
              </w:rPr>
              <w:t>2、《公路工程建设项目概算预算编制办法》（JTG3830—2018），以下简称“编制办法”；</w:t>
            </w:r>
          </w:p>
          <w:p>
            <w:pPr>
              <w:pStyle w:val="null3"/>
              <w:jc w:val="both"/>
            </w:pPr>
            <w:r>
              <w:rPr>
                <w:rFonts w:ascii="仿宋_GB2312" w:hAnsi="仿宋_GB2312" w:cs="仿宋_GB2312" w:eastAsia="仿宋_GB2312"/>
                <w:sz w:val="21"/>
              </w:rPr>
              <w:t>3、《陕西省交通厅关于执行交通部公路工程概算预算定额及编制办法的通知》（陕交发[2018]86号）；</w:t>
            </w:r>
          </w:p>
          <w:p>
            <w:pPr>
              <w:pStyle w:val="null3"/>
              <w:jc w:val="both"/>
            </w:pPr>
            <w:r>
              <w:rPr>
                <w:rFonts w:ascii="仿宋_GB2312" w:hAnsi="仿宋_GB2312" w:cs="仿宋_GB2312" w:eastAsia="仿宋_GB2312"/>
                <w:sz w:val="21"/>
              </w:rPr>
              <w:t>4、《公路工程预算定额》（JTG/T 3832—2018）；</w:t>
            </w:r>
          </w:p>
          <w:p>
            <w:pPr>
              <w:pStyle w:val="null3"/>
              <w:jc w:val="both"/>
            </w:pPr>
            <w:r>
              <w:rPr>
                <w:rFonts w:ascii="仿宋_GB2312" w:hAnsi="仿宋_GB2312" w:cs="仿宋_GB2312" w:eastAsia="仿宋_GB2312"/>
                <w:sz w:val="21"/>
              </w:rPr>
              <w:t>5、《公路工程机械台班费用定额》（JTG/T 3833—2018）；</w:t>
            </w:r>
          </w:p>
          <w:p>
            <w:pPr>
              <w:pStyle w:val="null3"/>
              <w:jc w:val="both"/>
            </w:pPr>
            <w:r>
              <w:rPr>
                <w:rFonts w:ascii="仿宋_GB2312" w:hAnsi="仿宋_GB2312" w:cs="仿宋_GB2312" w:eastAsia="仿宋_GB2312"/>
                <w:sz w:val="21"/>
              </w:rPr>
              <w:t>6、《公路工程建设项目概预算编制办法》补充规定，陕交发【2019】93号文件的通知；</w:t>
            </w:r>
          </w:p>
          <w:p>
            <w:pPr>
              <w:pStyle w:val="null3"/>
              <w:jc w:val="both"/>
            </w:pPr>
            <w:r>
              <w:rPr>
                <w:rFonts w:ascii="仿宋_GB2312" w:hAnsi="仿宋_GB2312" w:cs="仿宋_GB2312" w:eastAsia="仿宋_GB2312"/>
                <w:sz w:val="21"/>
              </w:rPr>
              <w:t>7、交通运输部办公厅关于《公路工程营业税改征增值税计价依据调整方案》的通知（交办公路[2016]66号）；</w:t>
            </w:r>
          </w:p>
          <w:p>
            <w:pPr>
              <w:pStyle w:val="null3"/>
              <w:jc w:val="both"/>
            </w:pPr>
            <w:r>
              <w:rPr>
                <w:rFonts w:ascii="仿宋_GB2312" w:hAnsi="仿宋_GB2312" w:cs="仿宋_GB2312" w:eastAsia="仿宋_GB2312"/>
                <w:sz w:val="21"/>
              </w:rPr>
              <w:t>8、陕西省交通运输厅关于执行交通运输部《公路工程营业税改增值税计价依据调整方案》的通知（陕交函[2016]475号）；</w:t>
            </w:r>
          </w:p>
          <w:p>
            <w:pPr>
              <w:pStyle w:val="null3"/>
              <w:jc w:val="both"/>
            </w:pPr>
            <w:r>
              <w:rPr>
                <w:rFonts w:ascii="仿宋_GB2312" w:hAnsi="仿宋_GB2312" w:cs="仿宋_GB2312" w:eastAsia="仿宋_GB2312"/>
                <w:sz w:val="21"/>
              </w:rPr>
              <w:t>9、材料价格参考陕西省交通运输厅《2026年6月陕西省公路工程主要材料价格信息》和《汉中市建设工程造价信息》2026年第6期。</w:t>
            </w:r>
          </w:p>
          <w:p>
            <w:pPr>
              <w:pStyle w:val="null3"/>
            </w:pPr>
            <w:r>
              <w:rPr>
                <w:rFonts w:ascii="仿宋_GB2312" w:hAnsi="仿宋_GB2312" w:cs="仿宋_GB2312" w:eastAsia="仿宋_GB2312"/>
                <w:sz w:val="21"/>
              </w:rPr>
              <w:t>10、料场到工地运距：钢筋暂按15km计入；水泥暂按30km计入；中粗砂等暂按20km计入。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工程质量符合合格标准要求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满足国家及行业现行“合格标准”，且满足采购人要求。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中标人在中标结果发布后3个工作日内向代理机构提交纸质版投标文件以便于存档，响应文件正本1份，副本2份，电子版文件2份（以U盘为载体，电子版内容为签字盖章后的PDF版本投标文件）。纸质响应文件均须A4纸打印，分别各自装订成册并编制目录和页码。3、线下递交响应文件地点： 陕西省汉中市南郑区渔营路与江古路十字路口凯奇酒店东侧二楼商铺。4、如投标文件中融资相关内容与新政策要求有出入，按照最新要求执行。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参与主体</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供应商具有建设行政主管部门核发的公路工程施工总承包三级及以上资质或市政公用工程施工总承包三级及以上资质，且具有有效的安全生产许可证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拟派项目经理须具备公路工程专业二级及以上注册建造师执业资格或市政公用工程专业二级及以上注册建造师执业资格和相应的安全生产考核合格B证，在本单位注册且无在建项目</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供应商须提供⾮联合体磋商承诺书</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只能有一个有效报价，不得提交选择性报价，且报价不得超过最高限价。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陕西省政府采购投标人拒绝政府采购领域商业贿赂承诺书.docx 残疾人福利性单位声明函 供应商类似项目业绩一览表 响应函 供应商应提交的相关资格证明材料（1）.docx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项目管理机构组成表 陕西省政府采购投标人拒绝政府采购领域商业贿赂承诺书.docx 残疾人福利性单位声明函 供应商类似项目业绩一览表 响应函 供应商应提交的相关资格证明材料（1）.docx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供应商应针对本项目实际情况编制的施工部署，包含但不限于①施工总体思路、②重难点工程识别和解决方案、③施工目标（质量、安全、工期、环保）。 二、评审标准 1.完整性：方案必须全面，对清单及图纸内容中的各项要求有详细描述； 2.可实施性：切合本项目实际情况，提出步骤清晰、满足需求的方案。 3.针对性：方案能够紧扣项目实际情况，内容科学合理。 三、赋分标准（满分9分） 每小项：每完全满足一个评审标准得1分，每小项满分3分；共3小项，满分9分。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供应商应针对本项目工程量清单及图纸编制施工方案，包含但不限于①砌筑挡墙、②排水边沟、③管涵、④安全设施及预埋管线。 二、评审标准 1.完整性：方案必须全面，对清单及图纸内容中的各项要求有详细描述； 2.可实施性：切合本项目实际情况，提出步骤清晰、满足需求的方案。 3.针对性：方案能够紧扣项目实际情况，内容科学合理。 三、赋分标准（满分12分） 每小项：每完全满足一个评审标准得1分，每小项满分3分；共4小项，满分12分。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供应商应针对本项目实际情况编制施工进度计划，包含但不限于①确保工期的技术组织措施、②总工期安排、③流水作业规划（常用横道图 / 网络图表示）。 二、评审标准 1.完整性：方案必须全面，对清单及图纸内容中的各项要求有详细描述； 2.可实施性：切合本项目实际情况，提出步骤清晰、满足需求的方案。 3.针对性：方案能够紧扣项目实际情况，内容科学合理。 三、赋分标准（满分9分） 每小项：每完全满足一个评审标准得1分，每小项满分3分；共3小项，满分9分。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应针对本项目实际情况编制资源配置计划，包含但不限于①项目管理机构及项目人员配备（含管理人员、作业班组及相关技工人员的专业搭配、工作内容配置、人员数量）、②材料设备投入计划（主材供应、机械进场计划）、③资金使用计划。 二、评审标准 1.完整性：方案必须全面，对清单及图纸内容中的各项要求有详细描述； 2.可实施性：切合本项目实际情况，提出步骤清晰、满足需求的方案。 3.针对性：方案能够紧扣项目实际情况，内容科学合理。 三、赋分标准（满分9分） 每小项：每完全满足一个评审标准得1分，每小项满分3分；共3小项，满分9分。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应针对本项目实际情况编制质量保证措施，包含但不限于①组织保障措施（建立质量管理体系、明确岗位职责、质量考核与奖惩）、②质量预防措施（技术、机械、材料以及人员管控）、③质量控制措施（工序质量、试验检测、过程纠偏、成品保护）。 二、评审标准 1.完整性：方案必须全面，对清单及图纸内容中的各项要求有详细描述； 2.可实施性：切合本项目实际情况，提出步骤清晰、满足需求的方案。 3.针对性：方案能够紧扣项目实际情况，内容科学合理。三、赋分标准（满分9分） 每小项：每完全满足一个评审标准得1分，每小项满分3分；共3小项，满分9分。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安全文明施工与环保措施</w:t>
            </w:r>
          </w:p>
        </w:tc>
        <w:tc>
          <w:tcPr>
            <w:tcW w:type="dxa" w:w="2492"/>
          </w:tcPr>
          <w:p>
            <w:pPr>
              <w:pStyle w:val="null3"/>
            </w:pPr>
            <w:r>
              <w:rPr>
                <w:rFonts w:ascii="仿宋_GB2312" w:hAnsi="仿宋_GB2312" w:cs="仿宋_GB2312" w:eastAsia="仿宋_GB2312"/>
              </w:rPr>
              <w:t>一、评审内容 供应商应针对本项目实际情况编制安全文明施工与环保措施，包含但不限于①安全防护、交通导行、②扬尘/噪音/污水控制、建筑垃圾处理。 二、评审标准 1.完整性：方案必须全面，对清单及图纸内容中的各项要求有详细描述； 2.可实施性：切合本项目实际情况，提出步骤清晰、满足需求的方案。 3.针对性：方案能够紧扣项目实际情况，内容科学合理。 三、赋分标准（满分6分） 每小项：每完全满足一个评审标准得1分，每小项满分3分；共2小项，满分6分。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供应商应针对本项目实际情况编制应急预案，包含但不限于①针对防汛、坍塌、触电、管线、材料破坏等应急响应流程及处置措施、②其他突发情况的应急响应流程及处置措施。 二、评审标准 1.完整性：方案必须全面，对清单及图纸内容中的各项要求有详细描述； 2.可实施性：切合本项目实际情况，提出步骤清晰、满足需求的方案。 3.针对性：方案能够紧扣项目实际情况，内容科学合理。三、赋分标准（满分6分） 每小项：每完全满足一个评审标准得1分，每小项满分3分；共2小项，满分6分。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项目经理基本情况</w:t>
            </w:r>
          </w:p>
        </w:tc>
        <w:tc>
          <w:tcPr>
            <w:tcW w:type="dxa" w:w="2492"/>
          </w:tcPr>
          <w:p>
            <w:pPr>
              <w:pStyle w:val="null3"/>
            </w:pPr>
            <w:r>
              <w:rPr>
                <w:rFonts w:ascii="仿宋_GB2312" w:hAnsi="仿宋_GB2312" w:cs="仿宋_GB2312" w:eastAsia="仿宋_GB2312"/>
              </w:rPr>
              <w:t>1.项目经理具有工程类中级职称得2分；具有工程类高级级职称得3分；需提供职称证书复印件。2.项目经理提供截标时间前已完成的类似施工项目业绩，业绩证明（以合同为准，须在磋商响应文件中附以上证明材料的扫描件加盖单位公章）。提供1个得2分，满分2分 。注：项目经理业绩和供应商业绩可共用。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供应商提供截标时间前已完成的类似施工项目业绩，每提供1份计2.5分，最高得5分，不提供不得分。 注：业绩证明（以合同为准，须在磋商响应文件中附以上证明材料的扫描件加盖单位公章）。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