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版本号：CRZX-ZB-202601020260830002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马召镇虎峪村猕猴桃生产路硬化项目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CRZX-ZB-2026010</w:t>
      </w:r>
      <w:r>
        <w:br/>
      </w:r>
      <w:r>
        <w:br/>
      </w:r>
      <w:r>
        <w:br/>
      </w:r>
    </w:p>
    <w:p>
      <w:pPr>
        <w:pStyle w:val="null3"/>
        <w:jc w:val="center"/>
        <w:outlineLvl w:val="2"/>
      </w:pPr>
      <w:r>
        <w:rPr>
          <w:rFonts w:ascii="仿宋_GB2312" w:hAnsi="仿宋_GB2312" w:cs="仿宋_GB2312" w:eastAsia="仿宋_GB2312"/>
          <w:sz w:val="28"/>
          <w:b/>
        </w:rPr>
        <w:t>周至县马召镇人民政府</w:t>
      </w:r>
    </w:p>
    <w:p>
      <w:pPr>
        <w:pStyle w:val="null3"/>
        <w:jc w:val="center"/>
        <w:outlineLvl w:val="2"/>
      </w:pPr>
      <w:r>
        <w:rPr>
          <w:rFonts w:ascii="仿宋_GB2312" w:hAnsi="仿宋_GB2312" w:cs="仿宋_GB2312" w:eastAsia="仿宋_GB2312"/>
          <w:sz w:val="28"/>
          <w:b/>
        </w:rPr>
        <w:t>陕西创荣筑信建设项目管理有限公司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陕西创荣筑信建设项目管理有限公司</w:t>
      </w:r>
      <w:r>
        <w:rPr>
          <w:rFonts w:ascii="仿宋_GB2312" w:hAnsi="仿宋_GB2312" w:cs="仿宋_GB2312" w:eastAsia="仿宋_GB2312"/>
        </w:rPr>
        <w:t>（以下简称“代理机构”）受</w:t>
      </w:r>
      <w:r>
        <w:rPr>
          <w:rFonts w:ascii="仿宋_GB2312" w:hAnsi="仿宋_GB2312" w:cs="仿宋_GB2312" w:eastAsia="仿宋_GB2312"/>
        </w:rPr>
        <w:t>周至县马召镇人民政府</w:t>
      </w:r>
      <w:r>
        <w:rPr>
          <w:rFonts w:ascii="仿宋_GB2312" w:hAnsi="仿宋_GB2312" w:cs="仿宋_GB2312" w:eastAsia="仿宋_GB2312"/>
        </w:rPr>
        <w:t>委托，拟对</w:t>
      </w:r>
      <w:r>
        <w:rPr>
          <w:rFonts w:ascii="仿宋_GB2312" w:hAnsi="仿宋_GB2312" w:cs="仿宋_GB2312" w:eastAsia="仿宋_GB2312"/>
        </w:rPr>
        <w:t>马召镇虎峪村猕猴桃生产路硬化项目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CRZX-ZB-2026010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马召镇虎峪村猕猴桃生产路硬化项目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马召镇虎峪村猕猴桃生产路硬化项目，具体详见采购文件第三章。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采购包1（马召镇虎峪村猕猴桃生产路硬化项目）：属于专门面向中小企业采购。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1、营业执照等主体资格证明文件：提供有效存续的企业营业执照（副本）/事业单位法人证书/专业服务机构执业许可证/民办非企业单位登记证书。自然人参与的提供身份证明；</w:t>
      </w:r>
    </w:p>
    <w:p>
      <w:pPr>
        <w:pStyle w:val="null3"/>
      </w:pPr>
      <w:r>
        <w:rPr>
          <w:rFonts w:ascii="仿宋_GB2312" w:hAnsi="仿宋_GB2312" w:cs="仿宋_GB2312" w:eastAsia="仿宋_GB2312"/>
        </w:rPr>
        <w:t>2、法定代表人授权书：法定代表人直接参加投标的须提交法定代表人证明书；法定代表人授权代表参加投标的，提供法定代表人授权书（附法定代表人、投标人代表身份证复印件</w:t>
      </w:r>
    </w:p>
    <w:p>
      <w:pPr>
        <w:pStyle w:val="null3"/>
      </w:pPr>
      <w:r>
        <w:rPr>
          <w:rFonts w:ascii="仿宋_GB2312" w:hAnsi="仿宋_GB2312" w:cs="仿宋_GB2312" w:eastAsia="仿宋_GB2312"/>
        </w:rPr>
        <w:t>3、财务状况报告：财务状况报告：提供2025年度完整版的财务审计报告（成立时间至提交投标文件截止时间不足一年的可提供成立后任意时段的资产负债表）；或投标时间前六个月内基本账户银行出具的资信证明</w:t>
      </w:r>
    </w:p>
    <w:p>
      <w:pPr>
        <w:pStyle w:val="null3"/>
      </w:pPr>
      <w:r>
        <w:rPr>
          <w:rFonts w:ascii="仿宋_GB2312" w:hAnsi="仿宋_GB2312" w:cs="仿宋_GB2312" w:eastAsia="仿宋_GB2312"/>
        </w:rPr>
        <w:t>4、税收缴纳证明：提供投标截止之日前一年内已缴纳的任意一个月的纳税证明或完税证明（任意税种），依法免税的单位应提供相关证明材料</w:t>
      </w:r>
    </w:p>
    <w:p>
      <w:pPr>
        <w:pStyle w:val="null3"/>
      </w:pPr>
      <w:r>
        <w:rPr>
          <w:rFonts w:ascii="仿宋_GB2312" w:hAnsi="仿宋_GB2312" w:cs="仿宋_GB2312" w:eastAsia="仿宋_GB2312"/>
        </w:rPr>
        <w:t>5、社会保障资金缴纳证明：提供投标截止之日前一年内已缴存的任意一个月的社会保障资金缴存单据或社保机构开具的社会保险参保缴费情况证明，依法不需要缴纳社会保障资金的单位应提供相关证明材料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6、专业技术能力：提供具备履行合同所必需的设备和专业技术能力的承诺函（格式自拟）</w:t>
      </w:r>
    </w:p>
    <w:p>
      <w:pPr>
        <w:pStyle w:val="null3"/>
      </w:pPr>
      <w:r>
        <w:rPr>
          <w:rFonts w:ascii="仿宋_GB2312" w:hAnsi="仿宋_GB2312" w:cs="仿宋_GB2312" w:eastAsia="仿宋_GB2312"/>
        </w:rPr>
        <w:t>7、信用记录：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投标人无须提供，投标现场查询）</w:t>
      </w:r>
    </w:p>
    <w:p>
      <w:pPr>
        <w:pStyle w:val="null3"/>
      </w:pPr>
      <w:r>
        <w:rPr>
          <w:rFonts w:ascii="仿宋_GB2312" w:hAnsi="仿宋_GB2312" w:cs="仿宋_GB2312" w:eastAsia="仿宋_GB2312"/>
        </w:rPr>
        <w:t>8、无重大违法说明：无重大违法说明：参加政府采购活动前3年内，在经营活动中没有重大违法记录的书面声明</w:t>
      </w:r>
    </w:p>
    <w:p>
      <w:pPr>
        <w:pStyle w:val="null3"/>
      </w:pPr>
      <w:r>
        <w:rPr>
          <w:rFonts w:ascii="仿宋_GB2312" w:hAnsi="仿宋_GB2312" w:cs="仿宋_GB2312" w:eastAsia="仿宋_GB2312"/>
        </w:rPr>
        <w:t>9、供应商资质：供应商须具备行业主管部门颁发的市政公用工程施工总承包三级（含三级）及以上资质并具有有效的安全生产许可证</w:t>
      </w:r>
    </w:p>
    <w:p>
      <w:pPr>
        <w:pStyle w:val="null3"/>
      </w:pPr>
      <w:r>
        <w:rPr>
          <w:rFonts w:ascii="仿宋_GB2312" w:hAnsi="仿宋_GB2312" w:cs="仿宋_GB2312" w:eastAsia="仿宋_GB2312"/>
        </w:rPr>
        <w:t>10、拟派项目经理资格：供应商拟派项目经理须具备行业主管部门颁发的市政公用工程专业二级（含二级）及以上注册建造师资格及有效的安全生产考核合格证书（B证），在供应商单位注册，且无在建项目（提供项目经理无在建承诺书）</w:t>
      </w:r>
    </w:p>
    <w:p>
      <w:pPr>
        <w:pStyle w:val="null3"/>
      </w:pPr>
      <w:r>
        <w:rPr>
          <w:rFonts w:ascii="仿宋_GB2312" w:hAnsi="仿宋_GB2312" w:cs="仿宋_GB2312" w:eastAsia="仿宋_GB2312"/>
        </w:rPr>
        <w:t>11、其他要求：供应商及其拟派项目经理须在“陕西省住房和城乡建设厅”官方网站可查询；如供应商为外省进陕企业，还须同时提供“陕西省住房和城乡建设厅”官网企业库外省进陕施工企业信息首页截图</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周至县马召镇人民政府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陕西省西安市周至县马召镇东火村12组</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孟主任</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13087526045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陕西创荣筑信建设项目管理有限公司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陕西省西安市高新区科技五路数字生活A栋12912室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17319969230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周至县政府采购管理股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张旭霞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87113948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采购包1：1,392,234.00元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有关规定执行，下浮10%计算收取。 代理服务费缴纳账户信息： 银行户名：陕西创荣筑信建设项目管理有限公司 开户银行：招商银行股份有限公司陕西自贸试验区西安高新科技支行 账号：1299 0999 5210 501</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周至县马召镇人民政府</w:t>
      </w:r>
      <w:r>
        <w:rPr>
          <w:rFonts w:ascii="仿宋_GB2312" w:hAnsi="仿宋_GB2312" w:cs="仿宋_GB2312" w:eastAsia="仿宋_GB2312"/>
        </w:rPr>
        <w:t>和</w:t>
      </w:r>
      <w:r>
        <w:rPr>
          <w:rFonts w:ascii="仿宋_GB2312" w:hAnsi="仿宋_GB2312" w:cs="仿宋_GB2312" w:eastAsia="仿宋_GB2312"/>
        </w:rPr>
        <w:t>陕西创荣筑信建设项目管理有限公司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周至县马召镇人民政府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陕西创荣筑信建设项目管理有限公司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周至县马召镇人民政府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陕西创荣筑信建设项目管理有限公司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核查合同工期、人员配置、付款节点等商务条款履约情况，核对结算资料、票据凭证的合规性，确认供应商各项商务义务的完成情况。</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陕西创荣筑信建设项目管理有限公司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陕西创荣筑信建设项目管理有限公司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陕西创荣筑信建设项目管理有限公司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联系人：李工</w:t>
      </w:r>
    </w:p>
    <w:p>
      <w:pPr>
        <w:pStyle w:val="null3"/>
      </w:pPr>
      <w:r>
        <w:rPr>
          <w:rFonts w:ascii="仿宋_GB2312" w:hAnsi="仿宋_GB2312" w:cs="仿宋_GB2312" w:eastAsia="仿宋_GB2312"/>
        </w:rPr>
        <w:t>联系电话：17319969230</w:t>
      </w:r>
    </w:p>
    <w:p>
      <w:pPr>
        <w:pStyle w:val="null3"/>
      </w:pPr>
      <w:r>
        <w:rPr>
          <w:rFonts w:ascii="仿宋_GB2312" w:hAnsi="仿宋_GB2312" w:cs="仿宋_GB2312" w:eastAsia="仿宋_GB2312"/>
        </w:rPr>
        <w:t>地址：陕西省西安市高新区科技五路数字生活A栋12912室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1,392,234.00</w:t>
      </w:r>
    </w:p>
    <w:p>
      <w:pPr>
        <w:pStyle w:val="null3"/>
      </w:pPr>
      <w:r>
        <w:rPr>
          <w:rFonts w:ascii="仿宋_GB2312" w:hAnsi="仿宋_GB2312" w:cs="仿宋_GB2312" w:eastAsia="仿宋_GB2312"/>
        </w:rPr>
        <w:t>采购包最高限价（元）: 1,392,234.00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马召镇虎峪村猕猴桃生产路硬化项目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1,392,234.00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标的名称：马召镇虎峪村猕猴桃生产路硬化项目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2"/>
                <w:shd w:fill="FFFFFF" w:val="clear"/>
              </w:rPr>
              <w:t>工期：</w:t>
            </w:r>
            <w:r>
              <w:rPr>
                <w:rFonts w:ascii="仿宋_GB2312" w:hAnsi="仿宋_GB2312" w:cs="仿宋_GB2312" w:eastAsia="仿宋_GB2312"/>
                <w:sz w:val="22"/>
                <w:shd w:fill="FFFFFF" w:val="clear"/>
              </w:rPr>
              <w:t>60日历天</w:t>
            </w:r>
          </w:p>
          <w:p>
            <w:pPr>
              <w:pStyle w:val="null3"/>
              <w:jc w:val="left"/>
            </w:pPr>
            <w:r>
              <w:rPr>
                <w:rFonts w:ascii="仿宋_GB2312" w:hAnsi="仿宋_GB2312" w:cs="仿宋_GB2312" w:eastAsia="仿宋_GB2312"/>
                <w:sz w:val="22"/>
                <w:shd w:fill="FFFFFF" w:val="clear"/>
              </w:rPr>
              <w:t>工程地点：采购人指定地点</w:t>
            </w:r>
          </w:p>
          <w:p>
            <w:pPr>
              <w:pStyle w:val="null3"/>
              <w:jc w:val="left"/>
            </w:pPr>
            <w:r>
              <w:rPr>
                <w:rFonts w:ascii="仿宋_GB2312" w:hAnsi="仿宋_GB2312" w:cs="仿宋_GB2312" w:eastAsia="仿宋_GB2312"/>
                <w:sz w:val="22"/>
                <w:shd w:fill="FFFFFF" w:val="clear"/>
              </w:rPr>
              <w:t>工程范围：磋商文件及工程量清单范围内的全部工作</w:t>
            </w:r>
          </w:p>
          <w:p>
            <w:pPr>
              <w:pStyle w:val="null3"/>
              <w:jc w:val="left"/>
            </w:pPr>
            <w:r>
              <w:rPr>
                <w:rFonts w:ascii="仿宋_GB2312" w:hAnsi="仿宋_GB2312" w:cs="仿宋_GB2312" w:eastAsia="仿宋_GB2312"/>
                <w:sz w:val="22"/>
                <w:shd w:fill="FFFFFF" w:val="clear"/>
              </w:rPr>
              <w:t>质量标准：符合国家现行有关施工质量验收规范</w:t>
            </w:r>
            <w:r>
              <w:rPr>
                <w:rFonts w:ascii="仿宋_GB2312" w:hAnsi="仿宋_GB2312" w:cs="仿宋_GB2312" w:eastAsia="仿宋_GB2312"/>
                <w:sz w:val="22"/>
                <w:shd w:fill="FFFFFF" w:val="clear"/>
              </w:rPr>
              <w:t>“合格”要求标准</w:t>
            </w:r>
          </w:p>
          <w:p>
            <w:pPr>
              <w:pStyle w:val="null3"/>
              <w:jc w:val="left"/>
            </w:pPr>
            <w:r>
              <w:rPr>
                <w:rFonts w:ascii="仿宋_GB2312" w:hAnsi="仿宋_GB2312" w:cs="仿宋_GB2312" w:eastAsia="仿宋_GB2312"/>
                <w:sz w:val="22"/>
                <w:shd w:fill="FFFFFF" w:val="clear"/>
              </w:rPr>
              <w:t>付款方式：待上级财政资金下达到位后，再按照以下条款约定执行：</w:t>
            </w:r>
            <w:r>
              <w:br/>
            </w:r>
            <w:r>
              <w:rPr>
                <w:rFonts w:ascii="仿宋_GB2312" w:hAnsi="仿宋_GB2312" w:cs="仿宋_GB2312" w:eastAsia="仿宋_GB2312"/>
                <w:sz w:val="22"/>
                <w:shd w:fill="FFFFFF" w:val="clear"/>
              </w:rPr>
              <w:t xml:space="preserve"> (1)预付款支付：合同签订后1个月内，乙方进驻施工现场开工后，达到付款条件起20日内，支付合同总金额的30.00%；</w:t>
            </w:r>
            <w:r>
              <w:br/>
            </w:r>
            <w:r>
              <w:rPr>
                <w:rFonts w:ascii="仿宋_GB2312" w:hAnsi="仿宋_GB2312" w:cs="仿宋_GB2312" w:eastAsia="仿宋_GB2312"/>
                <w:sz w:val="22"/>
                <w:shd w:fill="FFFFFF" w:val="clear"/>
              </w:rPr>
              <w:t xml:space="preserve"> (2)工程进度款的支付：按照工程施工进度，经发包方会同监理核定工程量后，上报工程进度款支付的相关资料，并经监理及发包方确认施工进度达到90%及以上，达到付款条件起60日内，支付合同总金额的50.00%；</w:t>
            </w:r>
            <w:r>
              <w:br/>
            </w:r>
            <w:r>
              <w:rPr>
                <w:rFonts w:ascii="仿宋_GB2312" w:hAnsi="仿宋_GB2312" w:cs="仿宋_GB2312" w:eastAsia="仿宋_GB2312"/>
                <w:sz w:val="22"/>
                <w:shd w:fill="FFFFFF" w:val="clear"/>
              </w:rPr>
              <w:t xml:space="preserve"> (3)工程完工工程款的支付：按照完工工程量据实结算，经审计部门对工程量进行结算审核后，达到付款条件起60日内支付至工程量结算审定金额。</w:t>
            </w:r>
          </w:p>
          <w:p>
            <w:pPr>
              <w:pStyle w:val="null3"/>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按磋商文件要求及合同约定执行。</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纸质版文件要求：成交供应商在领取成交通知书前，须向采购代理机构提供纸质版投标文件叁份，且提供的投标文件必须与在陕西省政府采购综合管理平台的项目电子化交易系统中递交的电子投标文件内容一致，纸质版投标文件必须装订成册签字盖章。2、如磋商文件中融资相关内容与新政策要求有出入，按照最新要求执行。 3、关于弃标的说明：按照《西安市财政局关于促进政府采购公平竞争优化营商环境的通知》（市财函〔2021〕431号）规定：供应商登记免费领取招标文件的，如不参与项目投标，应在提交投标文件截止时间前一日以书面形式告知采购代理机构。否则，采购代理机构可以向财政部门反映情况并提供相应的佐证。供应商一年内累计出现三次该情形，将被监管部门记录为失信行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满足《中华人民共和国政府采购法》第二十二条规定；落实政府采购政策需满足的资格要求： 落实政府采购促进中小企业发展的相关政策;采购包1（马召镇虎峪村猕猴桃生产路硬化项目）：属于专门面向中小企业采购。</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财务状况报告：提供2025年度完整版的财务审计报告（成立时间至提交投标文件截止时间不足一年的可提供成立后任意时段的资产负债表）；或投标时间前六个月内基本账户银行出具的资信证明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提供有效存续的企业营业执照（副本）/事业单位法人证书/专业服务机构执业许可证/民办非企业单位登记证书。自然人参与的提供身份证明；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法定代表人直接参加投标的须提交法定代表人证明书；法定代表人授权代表参加投标的，提供法定代表人授权书（附法定代表人、投标人代表身份证复印件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财务状况报告：提供2025年度完整版的财务审计报告（成立时间至提交投标文件截止时间不足一年的可提供成立后任意时段的资产负债表）；或投标时间前六个月内基本账户银行出具的资信证明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提供投标截止之日前一年内已缴纳的任意一个月的纳税证明或完税证明（任意税种），依法免税的单位应提供相关证明材料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提供投标截止之日前一年内已缴存的任意一个月的社会保障资金缴存单据或社保机构开具的社会保险参保缴费情况证明，依法不需要缴纳社会保障资金的单位应提供相关证明材料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w:t>
            </w:r>
          </w:p>
        </w:tc>
        <w:tc>
          <w:tcPr>
            <w:tcW w:type="dxa" w:w="3322"/>
          </w:tcPr>
          <w:p>
            <w:pPr>
              <w:pStyle w:val="null3"/>
            </w:pPr>
            <w:r>
              <w:rPr>
                <w:rFonts w:ascii="仿宋_GB2312" w:hAnsi="仿宋_GB2312" w:cs="仿宋_GB2312" w:eastAsia="仿宋_GB2312"/>
              </w:rPr>
              <w:t>提供具备履行合同所必需的设备和专业技术能力的承诺函（格式自拟）</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投标人无须提供，投标现场查询）</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无重大违法说明</w:t>
            </w:r>
          </w:p>
        </w:tc>
        <w:tc>
          <w:tcPr>
            <w:tcW w:type="dxa" w:w="3322"/>
          </w:tcPr>
          <w:p>
            <w:pPr>
              <w:pStyle w:val="null3"/>
            </w:pPr>
            <w:r>
              <w:rPr>
                <w:rFonts w:ascii="仿宋_GB2312" w:hAnsi="仿宋_GB2312" w:cs="仿宋_GB2312" w:eastAsia="仿宋_GB2312"/>
              </w:rPr>
              <w:t>无重大违法说明：参加政府采购活动前3年内，在经营活动中没有重大违法记录的书面声明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供应商须具备行业主管部门颁发的市政公用工程施工总承包三级（含三级）及以上资质并具有有效的安全生产许可证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拟派项目经理资格</w:t>
            </w:r>
          </w:p>
        </w:tc>
        <w:tc>
          <w:tcPr>
            <w:tcW w:type="dxa" w:w="3322"/>
          </w:tcPr>
          <w:p>
            <w:pPr>
              <w:pStyle w:val="null3"/>
            </w:pPr>
            <w:r>
              <w:rPr>
                <w:rFonts w:ascii="仿宋_GB2312" w:hAnsi="仿宋_GB2312" w:cs="仿宋_GB2312" w:eastAsia="仿宋_GB2312"/>
              </w:rPr>
              <w:t>供应商拟派项目经理须具备行业主管部门颁发的市政公用工程专业二级（含二级）及以上注册建造师资格及有效的安全生产考核合格证书（B证），在供应商单位注册，且无在建项目（提供项目经理无在建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供应商及其拟派项目经理须在“陕西省住房和城乡建设厅”官方网站可查询；如供应商为外省进陕企业，还须同时提供“陕西省住房和城乡建设厅”官网企业库外省进陕施工企业信息首页截图</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报价函 标的清单 技术服务合同条款及其他商务要求应答表 强制优先采购产品承诺函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内容包含：①施工目标:成本目标、工期目标、质量目标②施工准备：技术准备、材料准备、现场准备③施工平面布置与安排：现场围挡及收入口管理、交通组织安排、消防及道路安排。 二、评审标准 1、完整性：方案必须全面，对评审内容中的各项要求有详细描述； 2、可实施性：切合本项目实际情况，提出步骤清晰、合理的方案； 3、针对性：方案能够紧扣项目实际情况，内容科学合理。 三、赋分标准（满分9分） ①施工目标：每完全满足一个评审标准得1分，满分3分； ②施工准备：每完全满足一个评审标准得1分，满分3分； ③施工平面布置与安排：每完全满足一个评审标准得1分，满分3分。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供应商针对本项目编制完善的施工进度计划，内容包含：①施工进度计划横道图②进度计划保证措施③工期保证措施。 二、评审标准 1、完整性：方案必须全面，对评审内容中的各项要求有详细描述； 2、可实施性：切合本项目实际情况，提出步骤清晰、合理的方案； 3、针对性：方案能够紧扣项目实际情况，内容科学合理。 三、赋分标准（满分9分） ①施工进度计划图：每完全满足一个评审标准得1分，满分3分； ②进度计划保证措施：每完全满足一个评审标准得1分，满分3分； ③工期保证措施：每完全满足一个评审标准得1分，满分3分。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供应商针对本项目编制完善的施工方案内容包含：①工程重难点及解决措施②工程施工方法③施工质量通病防治措施。 二、评审标准 1、完整性：方案必须全面，对评审内容中的各项要求有详细描述； 2、可实施性：切合本项目实际情况，提出步骤清晰、合理的方案； 3、针对性：方案能够紧扣项目实际情况，内容科学合理。 三、赋分标准（15分） ①工程重难点及解决措施：每完全满足一个评审标准得2分，满分6分； ②工程施工方法：每完全满足一个评审标准得2分，满分6分； ③施工质量通病防治措施：每完全满足一个评审标准得1分，满分3分。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供应商针对本项目编制完善的质量保证措施，内容包含：①质量目标管理体系②施工质量的检验制度③确保质量的技术组织措施④施工质量控制措施。 二、评审标准 1、完整性：方案必须全面，对评审内容中的各项要求有详细描述； 2、可实施性：切合本项目实际情况，提出步骤清晰、合理的方案； 3、针对性：方案能够紧扣项目实际情况，内容科学合理。 三、赋分标准（满分6分） ①质量目标管理体系：每完全满足一个评审标准得0.5分，满分1.5分； ②施工质量检验制度：每完全满足一个评审标准得0.5分，满分1.5分； ③确保质量的技术组织措施：每完全满足一个评审标准得0.5分，满分1.5分； ④施工质量控制措施：每完全满足一个评审标准得0.5分，满分1.5分。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 供应商针对本项目编制完整的安全施工措施，内容包含：①安全生产管理制度②安全施工措施③安全应急预案④安全生产教育。 二、评审标准 1、完整性：方案必须全面，对评审内容中的各项要求有详细描述； 2、可实施性：切合本项目实际情况，提出步骤清晰、合理的方案； 3、针对性：方案能够紧扣项目实际情况，内容科学合理。 三、赋分标准（满分6分） ①安全生产管理制度：每完全满足一个评审标准得0.5分，满分1.5分； ②安全施工措施：每完全满足一个评审标准得0.5分，满分1.5分； ③安全应急预案：每完全满足一个评审标准得0.5分，满分1.5分； ④安全生产教育：每完全满足一个评审标准得0.5分，满分1.5分。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 供应商针对本项目编制科学的项目管理机构，内容包含：①管理机构的配备计划及管理人员证书②组织机构的岗位职责。 二、评审标准 1、完整性：方案必须全面，对评审内容中的各项要求有详细描述； 2、可实施性：切合本项目实际情况，提出步骤清晰、合理的方案； 3、针对性：方案能够紧扣项目实际情况，内容科学合理。 三、赋分标准（满分12分） ①管理机构的配备计划：每完全满足一个评审标准得2分，满分6分； ②组织机构的岗位职责：每完全满足一个评审标准得2分，满分6分。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磋商方案.pdf</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新材料新工艺</w:t>
            </w:r>
          </w:p>
        </w:tc>
        <w:tc>
          <w:tcPr>
            <w:tcW w:type="dxa" w:w="2492"/>
          </w:tcPr>
          <w:p>
            <w:pPr>
              <w:pStyle w:val="null3"/>
            </w:pPr>
            <w:r>
              <w:rPr>
                <w:rFonts w:ascii="仿宋_GB2312" w:hAnsi="仿宋_GB2312" w:cs="仿宋_GB2312" w:eastAsia="仿宋_GB2312"/>
              </w:rPr>
              <w:t>一、评审内容 针对本项目具有①新材料②新技术和新工艺的应用情况。 二、评审标准 1、完整性：方案必须全面，对评审内容中的各项要求有详细描述； 2、可实施性：切合本项目实际情况，提出步骤清晰、合理的方案； 3、针对性：方案能够紧扣项目实际情况，内容科学合理。 三、赋分标准（满分3分） ①新材料：每完全满足一个评审标准得0.5分，满分1.5分； ②新技术和新工艺：每完全满足一个评审标准得0.5分，满分1.5分。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针对本项目作出合理有效的工程施工承诺（主要体现不得拖欠施工人员工资、给施工人员缴纳保险、降低工程造价等），每提供1条得2分，满分4分；不提供不得分。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供应商提供2023年8月1日起至今的类似业绩证明材料，时间以合同签订日期为准，（文件中附合同复印件），每提供一项上述业绩的得2分，最高得6分。不提供或缺项不得分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价格分统一采用低价优先法计算，即满足磋商文件要求且最后磋商报价最低的供应商的价格为磋商基准价，其价格分为满分。其他供应商的价格分统一按照下列公式计算： 磋商报价得分=(磋商基准价／最后磋商报价)×价格分值 计算分数时四舍五入取小数点后两位。 注：磋商小组三分之二以上人员认为某最后磋商报价有低于成本价嫌疑的，该报价为无效报价。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详见附件：磋商方案.pdf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