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版本号：HBLY-2026-00720260714001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2026年韩城市新城第七小学操场提升改造工程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HBLY-2026-007</w:t>
      </w:r>
      <w:r>
        <w:br/>
      </w:r>
      <w:r>
        <w:br/>
      </w:r>
      <w:r>
        <w:br/>
      </w:r>
    </w:p>
    <w:p>
      <w:pPr>
        <w:pStyle w:val="null3"/>
        <w:jc w:val="center"/>
        <w:outlineLvl w:val="2"/>
      </w:pPr>
      <w:r>
        <w:rPr>
          <w:rFonts w:ascii="仿宋_GB2312" w:hAnsi="仿宋_GB2312" w:cs="仿宋_GB2312" w:eastAsia="仿宋_GB2312"/>
          <w:sz w:val="28"/>
          <w:b/>
        </w:rPr>
        <w:t>韩城市新城区第七小学</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韩城市新城区第七小学</w:t>
      </w:r>
      <w:r>
        <w:rPr>
          <w:rFonts w:ascii="仿宋_GB2312" w:hAnsi="仿宋_GB2312" w:cs="仿宋_GB2312" w:eastAsia="仿宋_GB2312"/>
        </w:rPr>
        <w:t>委托，拟对</w:t>
      </w:r>
      <w:r>
        <w:rPr>
          <w:rFonts w:ascii="仿宋_GB2312" w:hAnsi="仿宋_GB2312" w:cs="仿宋_GB2312" w:eastAsia="仿宋_GB2312"/>
        </w:rPr>
        <w:t>2026年韩城市新城第七小学操场提升改造工程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2026年韩城市新城第七小学操场提升改造工程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铲除原操场面层、修补部分基层；新做面层有跑道、足球场、篮球场、排球场、羽毛球场、场地内其余辅助区；新做跳远及沙坑；篮球场、羽毛球场、排球场增加C30细石混凝土找坡层；原场地部分排水沟、沙坑填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采购包1（2026年韩城市新城第七小学操场提升改造工程）：属于专门面向中小企业采购。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8、拟派项目经理：拟派项目经理须具备建筑工程专业二级及以上注册建造师执业资格，并具有合法有效的安全生产考核合格证，且未担任其他在建工程项目经理，提供本单位的社保缴纳证明</w:t>
      </w:r>
    </w:p>
    <w:p>
      <w:pPr>
        <w:pStyle w:val="null3"/>
      </w:pPr>
      <w:r>
        <w:rPr>
          <w:rFonts w:ascii="仿宋_GB2312" w:hAnsi="仿宋_GB2312" w:cs="仿宋_GB2312" w:eastAsia="仿宋_GB2312"/>
        </w:rPr>
        <w:t>9、供应商授权合法的人员参加磋商全过程：法定代表人直接参加投标的，须出具法定代表人身份证明；授权代表参加投标的，须出具法定代表人授权书并附法定代表人和被授权人身份证及被授权人社保缴纳证明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pPr>
        <w:pStyle w:val="null3"/>
      </w:pPr>
      <w:r>
        <w:rPr>
          <w:rFonts w:ascii="仿宋_GB2312" w:hAnsi="仿宋_GB2312" w:cs="仿宋_GB2312" w:eastAsia="仿宋_GB2312"/>
        </w:rPr>
        <w:t>12、专门面向中小企业：本项目专门面向中小企业采购，仅限符合《政府采购促进中小企业发展管理办法》的通知(财库〔2020〕46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韩城市新城区金塔路东段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18049361571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采购包1：1,713,260.69元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账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韩城市新城区第七小学</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1,713,260.69</w:t>
      </w:r>
    </w:p>
    <w:p>
      <w:pPr>
        <w:pStyle w:val="null3"/>
      </w:pPr>
      <w:r>
        <w:rPr>
          <w:rFonts w:ascii="仿宋_GB2312" w:hAnsi="仿宋_GB2312" w:cs="仿宋_GB2312" w:eastAsia="仿宋_GB2312"/>
        </w:rPr>
        <w:t>采购包最高限价（元）: 1,713,260.69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1,713,260.69</w:t>
            </w:r>
          </w:p>
        </w:tc>
        <w:tc>
          <w:tcPr>
            <w:tcW w:type="dxa" w:w="1384"/>
          </w:tcPr>
          <w:p>
            <w:pPr>
              <w:pStyle w:val="null3"/>
            </w:pPr>
            <w:r>
              <w:rPr>
                <w:rFonts w:ascii="仿宋_GB2312" w:hAnsi="仿宋_GB2312" w:cs="仿宋_GB2312" w:eastAsia="仿宋_GB2312"/>
              </w:rPr>
              <w:t>个</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．工程名称：</w:t>
            </w:r>
            <w:r>
              <w:rPr>
                <w:rFonts w:ascii="仿宋_GB2312" w:hAnsi="仿宋_GB2312" w:cs="仿宋_GB2312" w:eastAsia="仿宋_GB2312"/>
                <w:sz w:val="21"/>
              </w:rPr>
              <w:t>2026</w:t>
            </w:r>
            <w:r>
              <w:rPr>
                <w:rFonts w:ascii="仿宋_GB2312" w:hAnsi="仿宋_GB2312" w:cs="仿宋_GB2312" w:eastAsia="仿宋_GB2312"/>
                <w:sz w:val="21"/>
              </w:rPr>
              <w:t>年韩城市新城第七小学操场提升改造工程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．建设单位：韩城市新城第七小学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．建设地点：韩城市新城第七小学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．资金来源：财政资金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．主要工程建设内容：铲除原操场面层、修补部分基层；新做面层有跑道、足球场、篮球场、排球场、羽毛球场、场地内其余辅助区；新做跳远及沙坑；篮球场、羽毛球场、排球场增加</w:t>
            </w:r>
            <w:r>
              <w:rPr>
                <w:rFonts w:ascii="仿宋_GB2312" w:hAnsi="仿宋_GB2312" w:cs="仿宋_GB2312" w:eastAsia="仿宋_GB2312"/>
                <w:sz w:val="21"/>
              </w:rPr>
              <w:t>C30</w:t>
            </w:r>
            <w:r>
              <w:rPr>
                <w:rFonts w:ascii="仿宋_GB2312" w:hAnsi="仿宋_GB2312" w:cs="仿宋_GB2312" w:eastAsia="仿宋_GB2312"/>
                <w:sz w:val="21"/>
              </w:rPr>
              <w:t>细石混凝土找坡层；原场地部分排水沟、沙坑填埋等。</w:t>
            </w:r>
          </w:p>
          <w:p>
            <w:pPr>
              <w:pStyle w:val="null3"/>
              <w:jc w:val="both"/>
            </w:pP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、工期：</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、缺陷责任期：工程竣工验收合格之日起</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付款条件说明，工程完工并验收合格后，达到付款条件起</w:t>
            </w:r>
            <w:r>
              <w:rPr>
                <w:rFonts w:ascii="仿宋_GB2312" w:hAnsi="仿宋_GB2312" w:cs="仿宋_GB2312" w:eastAsia="仿宋_GB2312"/>
                <w:sz w:val="21"/>
              </w:rPr>
              <w:t>30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80.0%</w:t>
            </w:r>
          </w:p>
          <w:p>
            <w:pPr>
              <w:pStyle w:val="null3"/>
              <w:jc w:val="both"/>
            </w:pPr>
            <w:r>
              <w:rPr>
                <w:rFonts w:ascii="仿宋_GB2312" w:hAnsi="仿宋_GB2312" w:cs="仿宋_GB2312" w:eastAsia="仿宋_GB2312"/>
                <w:sz w:val="21"/>
              </w:rPr>
              <w:t>付款条件说明，通过审计后，达到付款条件起</w:t>
            </w:r>
            <w:r>
              <w:rPr>
                <w:rFonts w:ascii="仿宋_GB2312" w:hAnsi="仿宋_GB2312" w:cs="仿宋_GB2312" w:eastAsia="仿宋_GB2312"/>
                <w:sz w:val="21"/>
              </w:rPr>
              <w:t>30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17.0%</w:t>
            </w:r>
          </w:p>
          <w:p>
            <w:pPr>
              <w:pStyle w:val="null3"/>
              <w:jc w:val="both"/>
            </w:pPr>
            <w:r>
              <w:rPr>
                <w:rFonts w:ascii="仿宋_GB2312" w:hAnsi="仿宋_GB2312" w:cs="仿宋_GB2312" w:eastAsia="仿宋_GB2312"/>
                <w:sz w:val="21"/>
              </w:rPr>
              <w:t>付款条件说明，质保期满后，达到付款条件起</w:t>
            </w:r>
            <w:r>
              <w:rPr>
                <w:rFonts w:ascii="仿宋_GB2312" w:hAnsi="仿宋_GB2312" w:cs="仿宋_GB2312" w:eastAsia="仿宋_GB2312"/>
                <w:sz w:val="21"/>
              </w:rPr>
              <w:t>30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质量标准：符合国家以及配套的相关工程质量验收规范的合格等级，并达到采购人质量要求和交付使用标准。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质量保修期：符合《建设工程质量管理条例》等相关法律法规。</w:t>
            </w:r>
          </w:p>
          <w:p>
            <w:pPr>
              <w:pStyle w:val="null3"/>
              <w:jc w:val="both"/>
            </w:pPr>
            <w:r>
              <w:rPr>
                <w:rFonts w:ascii="仿宋_GB2312" w:hAnsi="仿宋_GB2312" w:cs="仿宋_GB2312" w:eastAsia="仿宋_GB2312"/>
                <w:sz w:val="21"/>
              </w:rPr>
              <w:t>四、项目实施要求及质量保证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、供应商必须具备相应的资质，不得转包、分包。确需分包时须征得采购人同意。否则将终止合同并按政府采购有关规定进行处理。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、供应商在本工程中的项目负责人（项目经理），要求技术水平高、组织能力强、有丰富的工程业绩和实践经验，懂管理、善于协调。施工队伍稳定，保证整个工程顺利完工。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、所有进场材料需携带合格证等质量证明文件。</w:t>
            </w:r>
            <w:r>
              <w:rPr>
                <w:rFonts w:ascii="仿宋_GB2312" w:hAnsi="仿宋_GB2312" w:cs="仿宋_GB2312" w:eastAsia="仿宋_GB2312"/>
                <w:sz w:val="21"/>
              </w:rPr>
              <w:t xml:space="preserve"> </w:t>
            </w:r>
            <w:r>
              <w:rPr>
                <w:rFonts w:ascii="仿宋_GB2312" w:hAnsi="仿宋_GB2312" w:cs="仿宋_GB2312" w:eastAsia="仿宋_GB2312"/>
                <w:sz w:val="21"/>
              </w:rPr>
              <w:t>由甲方现场代表对所进场材料予以验收并确认。</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1、依据2026年韩城市新城第七小学操场提升改造工程图纸； 2、有关图集、施工规范规定； 3、《陕西省建设工程工程量清单计价计算标准》(2025)； 4、《陕西省房屋建筑与装饰工程基价表》(2025)； 5、《陕西省市政工程基价表》(2025)；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四、本工程暂列金额为100000元。 五、风险材料 水泥、商品砼、石灰、砂子、石子、砖。 六、本工程采用广联达计价GCCP7.0-7.5000.23.3版本。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拟派项目经理须具备建筑工程专业二级及以上注册建造师执业资格，并具有合法有效的安全生产考核合格证，且未担任其他在建工程项目经理，提供本单位的社保缴纳证明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