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版本号：SXCFY2026080120260818001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2026年度蒲城县洛滨镇马湖村产业园区生产配套设施项目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SXCFY20260801</w:t>
      </w:r>
      <w:r>
        <w:br/>
      </w:r>
      <w:r>
        <w:br/>
      </w:r>
      <w:r>
        <w:br/>
      </w:r>
    </w:p>
    <w:p>
      <w:pPr>
        <w:pStyle w:val="null3"/>
        <w:jc w:val="center"/>
        <w:outlineLvl w:val="2"/>
      </w:pPr>
      <w:r>
        <w:rPr>
          <w:rFonts w:ascii="仿宋_GB2312" w:hAnsi="仿宋_GB2312" w:cs="仿宋_GB2312" w:eastAsia="仿宋_GB2312"/>
          <w:sz w:val="28"/>
          <w:b/>
        </w:rPr>
        <w:t>蒲城县洛滨镇人民政府</w:t>
      </w:r>
    </w:p>
    <w:p>
      <w:pPr>
        <w:pStyle w:val="null3"/>
        <w:jc w:val="center"/>
        <w:outlineLvl w:val="2"/>
      </w:pPr>
      <w:r>
        <w:rPr>
          <w:rFonts w:ascii="仿宋_GB2312" w:hAnsi="仿宋_GB2312" w:cs="仿宋_GB2312" w:eastAsia="仿宋_GB2312"/>
          <w:sz w:val="28"/>
          <w:b/>
        </w:rPr>
        <w:t>陕西诚方源项目管理有限公司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陕西诚方源项目管理有限公司</w:t>
      </w:r>
      <w:r>
        <w:rPr>
          <w:rFonts w:ascii="仿宋_GB2312" w:hAnsi="仿宋_GB2312" w:cs="仿宋_GB2312" w:eastAsia="仿宋_GB2312"/>
        </w:rPr>
        <w:t>（以下简称“代理机构”）受</w:t>
      </w:r>
      <w:r>
        <w:rPr>
          <w:rFonts w:ascii="仿宋_GB2312" w:hAnsi="仿宋_GB2312" w:cs="仿宋_GB2312" w:eastAsia="仿宋_GB2312"/>
        </w:rPr>
        <w:t>蒲城县洛滨镇人民政府</w:t>
      </w:r>
      <w:r>
        <w:rPr>
          <w:rFonts w:ascii="仿宋_GB2312" w:hAnsi="仿宋_GB2312" w:cs="仿宋_GB2312" w:eastAsia="仿宋_GB2312"/>
        </w:rPr>
        <w:t>委托，拟对</w:t>
      </w:r>
      <w:r>
        <w:rPr>
          <w:rFonts w:ascii="仿宋_GB2312" w:hAnsi="仿宋_GB2312" w:cs="仿宋_GB2312" w:eastAsia="仿宋_GB2312"/>
        </w:rPr>
        <w:t>2026年度蒲城县洛滨镇马湖村产业园区生产配套设施项目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SXCFY20260801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2026年度蒲城县洛滨镇马湖村产业园区生产配套设施项目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产业园区新建道路长1420米宽4米5680平方米、厚18公分、水泥混凝土路面。（具体详见工程量清单及图纸）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采购包1（2026年度蒲城县洛滨镇马湖村产业园区生产配套设施项目）：属于专门面向中小企业采购。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2、企业资质：供应商须具备市政公用工程施工总承包三级以上（含三级）资质，同时具备有效的安全生产许可证；</w:t>
      </w:r>
    </w:p>
    <w:p>
      <w:pPr>
        <w:pStyle w:val="null3"/>
      </w:pPr>
      <w:r>
        <w:rPr>
          <w:rFonts w:ascii="仿宋_GB2312" w:hAnsi="仿宋_GB2312" w:cs="仿宋_GB2312" w:eastAsia="仿宋_GB2312"/>
        </w:rPr>
        <w:t>3、项目经理资质：拟派项目经理具有市政公用工程专业二级以上（含二级）注册建造师执业资格，并具有合法有效的安全生产考核合格证（建安B证），须在本单位注册，且无其他在建工程（提供无在建工程承诺书）；</w:t>
      </w:r>
    </w:p>
    <w:p>
      <w:pPr>
        <w:pStyle w:val="null3"/>
      </w:pPr>
      <w:r>
        <w:rPr>
          <w:rFonts w:ascii="仿宋_GB2312" w:hAnsi="仿宋_GB2312" w:cs="仿宋_GB2312" w:eastAsia="仿宋_GB2312"/>
        </w:rPr>
        <w:t>4、陕西省建筑市场监管与诚信信息发布平台：供应商及供应商拟派项目经理须在“陕西省建筑市场监管与诚信信息发布平台”可查询。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蒲城县洛滨镇人民政府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洛滨镇街道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张文辉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0913-7586114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陕西诚方源项目管理有限公司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陕西省西安市新城区金花北路天彩大厦B座20楼2001室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秦宇哲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029-89339538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开户名称：陕西诚方源项目管理有限公司（缴纳保证金时请备注SXCFY20260801磋商保证金）</w:t>
            </w:r>
          </w:p>
          <w:p>
            <w:pPr>
              <w:pStyle w:val="null3"/>
            </w:pPr>
            <w:r>
              <w:rPr>
                <w:rFonts w:ascii="仿宋_GB2312" w:hAnsi="仿宋_GB2312" w:cs="仿宋_GB2312" w:eastAsia="仿宋_GB2312"/>
              </w:rPr>
              <w:t>开户银行：中信银行股份有限公司西安咸宁路支行</w:t>
            </w:r>
          </w:p>
          <w:p>
            <w:pPr>
              <w:pStyle w:val="null3"/>
            </w:pPr>
            <w:r>
              <w:rPr>
                <w:rFonts w:ascii="仿宋_GB2312" w:hAnsi="仿宋_GB2312" w:cs="仿宋_GB2312" w:eastAsia="仿宋_GB2312"/>
              </w:rPr>
              <w:t>银行账号：8111701011600592875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收到中标通知书后十(10)个日历日内，向陕西诚方源项目管理有限公司交纳招标代理服务费。代理服务费参照国家计委2002年颁发的《招标代理服务收费管理暂行办法》(计价格〔2002〕1980号)和国家发改委办公厅颁发的《关于招标代理服务收费有关问题的通知》（发改办价格【2003】857号）的标准收取。代理服务费账户 ：户名：陕西诚方源项目管理有限公司 开户银行：中信银行股份有限公司西安咸宁路支行 账 号：8111701011600592875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蒲城县洛滨镇人民政府</w:t>
      </w:r>
      <w:r>
        <w:rPr>
          <w:rFonts w:ascii="仿宋_GB2312" w:hAnsi="仿宋_GB2312" w:cs="仿宋_GB2312" w:eastAsia="仿宋_GB2312"/>
        </w:rPr>
        <w:t>和</w:t>
      </w:r>
      <w:r>
        <w:rPr>
          <w:rFonts w:ascii="仿宋_GB2312" w:hAnsi="仿宋_GB2312" w:cs="仿宋_GB2312" w:eastAsia="仿宋_GB2312"/>
        </w:rPr>
        <w:t>陕西诚方源项目管理有限公司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蒲城县洛滨镇人民政府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陕西诚方源项目管理有限公司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蒲城县洛滨镇人民政府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陕西诚方源项目管理有限公司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联系人：秦宇哲</w:t>
      </w:r>
    </w:p>
    <w:p>
      <w:pPr>
        <w:pStyle w:val="null3"/>
      </w:pPr>
      <w:r>
        <w:rPr>
          <w:rFonts w:ascii="仿宋_GB2312" w:hAnsi="仿宋_GB2312" w:cs="仿宋_GB2312" w:eastAsia="仿宋_GB2312"/>
        </w:rPr>
        <w:t>联系电话：029-89339538</w:t>
      </w:r>
    </w:p>
    <w:p>
      <w:pPr>
        <w:pStyle w:val="null3"/>
      </w:pPr>
      <w:r>
        <w:rPr>
          <w:rFonts w:ascii="仿宋_GB2312" w:hAnsi="仿宋_GB2312" w:cs="仿宋_GB2312" w:eastAsia="仿宋_GB2312"/>
        </w:rPr>
        <w:t>地址：陕西省西安市新城区金花北路天彩大厦B座20 楼2001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849,785.07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2026年度蒲城县洛滨镇马湖村产业园区生产配套设施项目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标的名称：2026年度蒲城县洛滨镇马湖村产业园区生产配套设施项目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color w:val="000000"/>
              </w:rPr>
              <w:t>一、工程概况</w:t>
            </w:r>
          </w:p>
          <w:p>
            <w:pPr>
              <w:pStyle w:val="null3"/>
              <w:ind w:firstLine="560"/>
              <w:jc w:val="both"/>
            </w:pPr>
            <w:r>
              <w:rPr>
                <w:rFonts w:ascii="仿宋_GB2312" w:hAnsi="仿宋_GB2312" w:cs="仿宋_GB2312" w:eastAsia="仿宋_GB2312"/>
                <w:sz w:val="28"/>
                <w:color w:val="000000"/>
              </w:rPr>
              <w:t>本工程为</w:t>
            </w:r>
            <w:r>
              <w:rPr>
                <w:rFonts w:ascii="仿宋_GB2312" w:hAnsi="仿宋_GB2312" w:cs="仿宋_GB2312" w:eastAsia="仿宋_GB2312"/>
                <w:sz w:val="28"/>
                <w:color w:val="000000"/>
              </w:rPr>
              <w:t>2026</w:t>
            </w:r>
            <w:r>
              <w:rPr>
                <w:rFonts w:ascii="仿宋_GB2312" w:hAnsi="仿宋_GB2312" w:cs="仿宋_GB2312" w:eastAsia="仿宋_GB2312"/>
                <w:sz w:val="28"/>
                <w:color w:val="000000"/>
              </w:rPr>
              <w:t>年度蒲城县洛滨镇马湖村产业园区生产配套设施项目。建设地点位于陕西省渭南市蒲城县洛滨镇马湖村产业园区，工程概况：产业园区新建道路长</w:t>
            </w:r>
            <w:r>
              <w:rPr>
                <w:rFonts w:ascii="仿宋_GB2312" w:hAnsi="仿宋_GB2312" w:cs="仿宋_GB2312" w:eastAsia="仿宋_GB2312"/>
                <w:sz w:val="28"/>
                <w:color w:val="000000"/>
              </w:rPr>
              <w:t>1420</w:t>
            </w:r>
            <w:r>
              <w:rPr>
                <w:rFonts w:ascii="仿宋_GB2312" w:hAnsi="仿宋_GB2312" w:cs="仿宋_GB2312" w:eastAsia="仿宋_GB2312"/>
                <w:sz w:val="28"/>
                <w:color w:val="000000"/>
              </w:rPr>
              <w:t>米宽</w:t>
            </w:r>
            <w:r>
              <w:rPr>
                <w:rFonts w:ascii="仿宋_GB2312" w:hAnsi="仿宋_GB2312" w:cs="仿宋_GB2312" w:eastAsia="仿宋_GB2312"/>
                <w:sz w:val="28"/>
                <w:color w:val="000000"/>
              </w:rPr>
              <w:t>4</w:t>
            </w:r>
            <w:r>
              <w:rPr>
                <w:rFonts w:ascii="仿宋_GB2312" w:hAnsi="仿宋_GB2312" w:cs="仿宋_GB2312" w:eastAsia="仿宋_GB2312"/>
                <w:sz w:val="28"/>
                <w:color w:val="000000"/>
              </w:rPr>
              <w:t>米</w:t>
            </w:r>
            <w:r>
              <w:rPr>
                <w:rFonts w:ascii="仿宋_GB2312" w:hAnsi="仿宋_GB2312" w:cs="仿宋_GB2312" w:eastAsia="仿宋_GB2312"/>
                <w:sz w:val="28"/>
                <w:color w:val="000000"/>
              </w:rPr>
              <w:t>5680</w:t>
            </w:r>
            <w:r>
              <w:rPr>
                <w:rFonts w:ascii="仿宋_GB2312" w:hAnsi="仿宋_GB2312" w:cs="仿宋_GB2312" w:eastAsia="仿宋_GB2312"/>
                <w:sz w:val="28"/>
                <w:color w:val="000000"/>
              </w:rPr>
              <w:t>平方米、厚</w:t>
            </w:r>
            <w:r>
              <w:rPr>
                <w:rFonts w:ascii="仿宋_GB2312" w:hAnsi="仿宋_GB2312" w:cs="仿宋_GB2312" w:eastAsia="仿宋_GB2312"/>
                <w:sz w:val="28"/>
                <w:color w:val="000000"/>
              </w:rPr>
              <w:t>18</w:t>
            </w:r>
            <w:r>
              <w:rPr>
                <w:rFonts w:ascii="仿宋_GB2312" w:hAnsi="仿宋_GB2312" w:cs="仿宋_GB2312" w:eastAsia="仿宋_GB2312"/>
                <w:sz w:val="28"/>
                <w:color w:val="000000"/>
              </w:rPr>
              <w:t>公分、水泥混凝土路面。（具体详见工程量清单及图纸）</w:t>
            </w:r>
          </w:p>
          <w:p>
            <w:pPr>
              <w:pStyle w:val="null3"/>
              <w:jc w:val="both"/>
            </w:pPr>
            <w:r>
              <w:rPr>
                <w:rFonts w:ascii="仿宋_GB2312" w:hAnsi="仿宋_GB2312" w:cs="仿宋_GB2312" w:eastAsia="仿宋_GB2312"/>
                <w:sz w:val="28"/>
                <w:b/>
                <w:color w:val="000000"/>
              </w:rPr>
              <w:t>二、编制依据</w:t>
            </w:r>
          </w:p>
          <w:p>
            <w:pPr>
              <w:pStyle w:val="null3"/>
              <w:ind w:firstLine="560"/>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、工程量计算依据：设计施工图纸、图纸答疑及常规施工方案；</w:t>
            </w:r>
          </w:p>
          <w:p>
            <w:pPr>
              <w:pStyle w:val="null3"/>
              <w:ind w:firstLine="560"/>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、依据《建设工程工程量清单计价标准》（</w:t>
            </w:r>
            <w:r>
              <w:rPr>
                <w:rFonts w:ascii="仿宋_GB2312" w:hAnsi="仿宋_GB2312" w:cs="仿宋_GB2312" w:eastAsia="仿宋_GB2312"/>
                <w:sz w:val="28"/>
                <w:color w:val="000000"/>
              </w:rPr>
              <w:t>DB 61/T5126-2025</w:t>
            </w:r>
            <w:r>
              <w:rPr>
                <w:rFonts w:ascii="仿宋_GB2312" w:hAnsi="仿宋_GB2312" w:cs="仿宋_GB2312" w:eastAsia="仿宋_GB2312"/>
                <w:sz w:val="28"/>
                <w:color w:val="000000"/>
              </w:rPr>
              <w:t>）、《陕西省建设工程费用规则》（</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）、《陕西省房屋建筑与装饰工程消耗量定额》（</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）、《陕西省通用安装工程消耗量定额》（</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）、《陕西省市政工程消耗量定额》（</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）、《陕西省园林绿化工程消耗量定额》（</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）、《陕西省建设工程施工机械台班费用定额》（</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）、《陕西省建设工程施工仪器仪表台班费用定额》（</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）、《陕西省房屋建筑与装饰工程基价表》（</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）、《陕西省通用安装工程基价表》（</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）、《陕西省市政工程基价表》（</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）、《陕西省园林绿化工程基价表》（</w:t>
            </w:r>
            <w:r>
              <w:rPr>
                <w:rFonts w:ascii="仿宋_GB2312" w:hAnsi="仿宋_GB2312" w:cs="仿宋_GB2312" w:eastAsia="仿宋_GB2312"/>
                <w:sz w:val="28"/>
                <w:color w:val="000000"/>
              </w:rPr>
              <w:t>2025</w:t>
            </w:r>
            <w:r>
              <w:rPr>
                <w:rFonts w:ascii="仿宋_GB2312" w:hAnsi="仿宋_GB2312" w:cs="仿宋_GB2312" w:eastAsia="仿宋_GB2312"/>
                <w:sz w:val="28"/>
                <w:color w:val="000000"/>
              </w:rPr>
              <w:t>）以及相关政策性文件；</w:t>
            </w:r>
          </w:p>
          <w:p>
            <w:pPr>
              <w:pStyle w:val="null3"/>
              <w:ind w:firstLine="560"/>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、与建设工程项目有关的标准、规范、图集、技术资料，施工现场情况、工程特点及常规施工规范及验收规范；</w:t>
            </w:r>
          </w:p>
          <w:p>
            <w:pPr>
              <w:pStyle w:val="null3"/>
              <w:ind w:firstLine="560"/>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、增值税税率按一般计税</w:t>
            </w:r>
            <w:r>
              <w:rPr>
                <w:rFonts w:ascii="仿宋_GB2312" w:hAnsi="仿宋_GB2312" w:cs="仿宋_GB2312" w:eastAsia="仿宋_GB2312"/>
                <w:sz w:val="28"/>
                <w:color w:val="000000"/>
              </w:rPr>
              <w:t>9%</w:t>
            </w:r>
            <w:r>
              <w:rPr>
                <w:rFonts w:ascii="仿宋_GB2312" w:hAnsi="仿宋_GB2312" w:cs="仿宋_GB2312" w:eastAsia="仿宋_GB2312"/>
                <w:sz w:val="28"/>
                <w:color w:val="000000"/>
              </w:rPr>
              <w:t>计算；</w:t>
            </w:r>
          </w:p>
          <w:p>
            <w:pPr>
              <w:pStyle w:val="null3"/>
              <w:ind w:firstLine="560"/>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、工程地区按全省（延安、榆林除外）计入；</w:t>
            </w:r>
          </w:p>
          <w:p>
            <w:pPr>
              <w:pStyle w:val="null3"/>
            </w:pPr>
            <w:r>
              <w:rPr>
                <w:rFonts w:ascii="仿宋_GB2312" w:hAnsi="仿宋_GB2312" w:cs="仿宋_GB2312" w:eastAsia="仿宋_GB2312"/>
                <w:sz w:val="28"/>
                <w:color w:val="000000"/>
              </w:rPr>
              <w:t>6</w:t>
            </w:r>
            <w:r>
              <w:rPr>
                <w:rFonts w:ascii="仿宋_GB2312" w:hAnsi="仿宋_GB2312" w:cs="仿宋_GB2312" w:eastAsia="仿宋_GB2312"/>
                <w:sz w:val="28"/>
                <w:color w:val="000000"/>
              </w:rPr>
              <w:t>、计价软件采用广联达云计价平台</w:t>
            </w:r>
            <w:r>
              <w:rPr>
                <w:rFonts w:ascii="仿宋_GB2312" w:hAnsi="仿宋_GB2312" w:cs="仿宋_GB2312" w:eastAsia="仿宋_GB2312"/>
                <w:sz w:val="28"/>
                <w:color w:val="000000"/>
              </w:rPr>
              <w:t>GCCP7.0</w:t>
            </w:r>
            <w:r>
              <w:rPr>
                <w:rFonts w:ascii="仿宋_GB2312" w:hAnsi="仿宋_GB2312" w:cs="仿宋_GB2312" w:eastAsia="仿宋_GB2312"/>
                <w:sz w:val="28"/>
                <w:color w:val="000000"/>
              </w:rPr>
              <w:t>陕西地区版本：</w:t>
            </w:r>
            <w:r>
              <w:rPr>
                <w:rFonts w:ascii="仿宋_GB2312" w:hAnsi="仿宋_GB2312" w:cs="仿宋_GB2312" w:eastAsia="仿宋_GB2312"/>
                <w:sz w:val="28"/>
                <w:color w:val="000000"/>
              </w:rPr>
              <w:t>7.5000.23.3</w:t>
            </w:r>
            <w:r>
              <w:rPr>
                <w:rFonts w:ascii="仿宋_GB2312" w:hAnsi="仿宋_GB2312" w:cs="仿宋_GB2312" w:eastAsia="仿宋_GB2312"/>
                <w:sz w:val="28"/>
                <w:color w:val="00000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1、工期：合同签订之日起30天； 2、质保期：一年； 3、合同价格形式：固定单价合同； 4、合同价款支付：合同签订后，支付合同总价款的30%，竣工验收合格后，支付至合同总价款的97%，剩余3%，质保期结束后一次性支付。</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成交单位在中标(成交)结果公告结束后3个工作日内向采购代理机构提供纸质版响应文件正本一份（正本加盖鲜章），副本二份，电子U盘一份(响应文件内容与电子版一致)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基本资格要求.docx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基本资格要求.docx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供应商须具备市政公用工程施工总承包三级以上（含三级）资质，同时具备有效的安全生产许可证；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拟派项目经理具有市政公用工程专业二级以上（含二级）注册建造师执业资格，并具有合法有效的安全生产考核合格证（建安B证），须在本单位注册，且无其他在建工程（提供无在建工程承诺书）；</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供应商及供应商拟派项目经理须在“陕西省建筑市场监管与诚信信息发布平台”可查询。</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供应商未提供拒绝政府采购领域商业贿赂承诺书，投标无效。</w:t>
            </w:r>
          </w:p>
        </w:tc>
        <w:tc>
          <w:tcPr>
            <w:tcW w:type="dxa" w:w="1661"/>
          </w:tcPr>
          <w:p>
            <w:pPr>
              <w:pStyle w:val="null3"/>
            </w:pPr>
            <w:r>
              <w:rPr>
                <w:rFonts w:ascii="仿宋_GB2312" w:hAnsi="仿宋_GB2312" w:cs="仿宋_GB2312" w:eastAsia="仿宋_GB2312"/>
              </w:rPr>
              <w:t>拒绝贿赂承诺书.docx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报价是否超采购预算或最高限价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符合磋商文件商务条款要求。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提供施工方案，包括但不限于①施工前检查准备；②明确施工流程；③劳动力配置计划和生产效率及生活保障措施；检测及机具设备计划、材料准备计划及相关保证措施等方面。施工方案应符合采购项目特点及要求，描述详尽且有利于项目实施。 满足项目实际要求，无瑕疵计15分， 每有1处瑕疵扣1分， 存在15处及以上瑕疵或未提供，不计分。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供应商针对本项目工期要求及施工特点，提供针对本项目的施工进度计划，包括但不限于①工程各阶段进度施工计划；②进度控制保证措施。 计划制定应充分考虑本项目工期紧的因素，各阶段进度控制措施描述详尽具体。 满足项目实际要求，无瑕疵计6分，每有1处瑕疵扣1分，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供应商提供针对本项目的质量技术组织措施，包括但不限于①质量目标；②技术保障措施；③质量全过程检查制度。措施应符合采购项目特点及要求，贴合本项目特征。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3、质量技术组织措施.docx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供应商提供针对本项目应急预案，包括但不限于①赶工应急处理方案；②阴雨天腻子不易干燥等问题。根据应急预案考虑是否完善，有无对应的应对措施进行评审。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4、应急预案.docx</w:t>
            </w:r>
          </w:p>
        </w:tc>
      </w:tr>
      <w:tr>
        <w:tc>
          <w:tcPr>
            <w:tcW w:type="dxa" w:w="831"/>
            <w:vMerge/>
          </w:tcPr>
          <w:p/>
        </w:tc>
        <w:tc>
          <w:tcPr>
            <w:tcW w:type="dxa" w:w="1661"/>
          </w:tcPr>
          <w:p>
            <w:pPr>
              <w:pStyle w:val="null3"/>
            </w:pPr>
            <w:r>
              <w:rPr>
                <w:rFonts w:ascii="仿宋_GB2312" w:hAnsi="仿宋_GB2312" w:cs="仿宋_GB2312" w:eastAsia="仿宋_GB2312"/>
              </w:rPr>
              <w:t>周边设施及成品保护措施</w:t>
            </w:r>
          </w:p>
        </w:tc>
        <w:tc>
          <w:tcPr>
            <w:tcW w:type="dxa" w:w="2492"/>
          </w:tcPr>
          <w:p>
            <w:pPr>
              <w:pStyle w:val="null3"/>
            </w:pPr>
            <w:r>
              <w:rPr>
                <w:rFonts w:ascii="仿宋_GB2312" w:hAnsi="仿宋_GB2312" w:cs="仿宋_GB2312" w:eastAsia="仿宋_GB2312"/>
              </w:rPr>
              <w:t>供应商提供针对本项目施工过程中，针对周边设施和成品的保护措施。 满足项目实际要求，无瑕疵计6分， 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5、周边设施及成品保护措施.docx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供应商结合工程环境、特点，提供针对本项目的安全文明施工措施，包括但不限于①施工过程中安全保护措施；②文明施工控制措施；③工程产生垃圾处理方案等。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6、安全文明施工措施.docx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 扫描件必须清晰体现签约主体和日期、项目名称及内容、合同金额等核心要素，否则不计为有效业绩。每提供1个得2分，最高得10分。 备注：响应文件中提供合同和验收报告扫描件并加盖公章，否则不予认定。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vMerge/>
          </w:tcPr>
          <w:p/>
        </w:tc>
        <w:tc>
          <w:tcPr>
            <w:tcW w:type="dxa" w:w="1661"/>
          </w:tcPr>
          <w:p>
            <w:pPr>
              <w:pStyle w:val="null3"/>
            </w:pPr>
            <w:r>
              <w:rPr>
                <w:rFonts w:ascii="仿宋_GB2312" w:hAnsi="仿宋_GB2312" w:cs="仿宋_GB2312" w:eastAsia="仿宋_GB2312"/>
              </w:rPr>
              <w:t>项目⼈员组成</w:t>
            </w:r>
          </w:p>
        </w:tc>
        <w:tc>
          <w:tcPr>
            <w:tcW w:type="dxa" w:w="2492"/>
          </w:tcPr>
          <w:p>
            <w:pPr>
              <w:pStyle w:val="null3"/>
            </w:pPr>
            <w:r>
              <w:rPr>
                <w:rFonts w:ascii="仿宋_GB2312" w:hAnsi="仿宋_GB2312" w:cs="仿宋_GB2312" w:eastAsia="仿宋_GB2312"/>
              </w:rPr>
              <w:t>供应商针对本项目提供的项目⼈员组成，技术负责⼈（职称、学历、⼯作年限等），其他项目⼈员构成情况（岗位设置、专业种类及能⼒、有技术职称的⼈员⽐例）等进⾏评审。 满足项目实际要求，无瑕疵计6分， 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8、项目⼈员组成.docx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供应商针对本项目施工工程有详细具体的完工后的售后服务方案，包括但不限于①售后服务内容；②售后服务响应时间；③售后服务措施。方案制定应完整全面、详细具体。 满足项目实际要求，无瑕疵计6分， 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详见附件：基本资格要求.docx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详见附件：拒绝贿赂承诺书.docx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详见附件：1、施工方案.docx</w:t>
      </w:r>
    </w:p>
    <w:p>
      <w:pPr>
        <w:pStyle w:val="null3"/>
        <w:ind w:firstLine="960"/>
      </w:pPr>
      <w:r>
        <w:rPr>
          <w:rFonts w:ascii="仿宋_GB2312" w:hAnsi="仿宋_GB2312" w:cs="仿宋_GB2312" w:eastAsia="仿宋_GB2312"/>
        </w:rPr>
        <w:t>详见附件：2、施工进度计划.docx</w:t>
      </w:r>
    </w:p>
    <w:p>
      <w:pPr>
        <w:pStyle w:val="null3"/>
        <w:ind w:firstLine="960"/>
      </w:pPr>
      <w:r>
        <w:rPr>
          <w:rFonts w:ascii="仿宋_GB2312" w:hAnsi="仿宋_GB2312" w:cs="仿宋_GB2312" w:eastAsia="仿宋_GB2312"/>
        </w:rPr>
        <w:t>详见附件：3、质量技术组织措施.docx</w:t>
      </w:r>
    </w:p>
    <w:p>
      <w:pPr>
        <w:pStyle w:val="null3"/>
        <w:ind w:firstLine="960"/>
      </w:pPr>
      <w:r>
        <w:rPr>
          <w:rFonts w:ascii="仿宋_GB2312" w:hAnsi="仿宋_GB2312" w:cs="仿宋_GB2312" w:eastAsia="仿宋_GB2312"/>
        </w:rPr>
        <w:t>详见附件：4、应急预案.docx</w:t>
      </w:r>
    </w:p>
    <w:p>
      <w:pPr>
        <w:pStyle w:val="null3"/>
        <w:ind w:firstLine="960"/>
      </w:pPr>
      <w:r>
        <w:rPr>
          <w:rFonts w:ascii="仿宋_GB2312" w:hAnsi="仿宋_GB2312" w:cs="仿宋_GB2312" w:eastAsia="仿宋_GB2312"/>
        </w:rPr>
        <w:t>详见附件：5、周边设施及成品保护措施.docx</w:t>
      </w:r>
    </w:p>
    <w:p>
      <w:pPr>
        <w:pStyle w:val="null3"/>
        <w:ind w:firstLine="960"/>
      </w:pPr>
      <w:r>
        <w:rPr>
          <w:rFonts w:ascii="仿宋_GB2312" w:hAnsi="仿宋_GB2312" w:cs="仿宋_GB2312" w:eastAsia="仿宋_GB2312"/>
        </w:rPr>
        <w:t>详见附件：6、安全文明施工措施.docx</w:t>
      </w:r>
    </w:p>
    <w:p>
      <w:pPr>
        <w:pStyle w:val="null3"/>
        <w:ind w:firstLine="960"/>
      </w:pPr>
      <w:r>
        <w:rPr>
          <w:rFonts w:ascii="仿宋_GB2312" w:hAnsi="仿宋_GB2312" w:cs="仿宋_GB2312" w:eastAsia="仿宋_GB2312"/>
        </w:rPr>
        <w:t>详见附件：7、业绩.docx</w:t>
      </w:r>
    </w:p>
    <w:p>
      <w:pPr>
        <w:pStyle w:val="null3"/>
        <w:ind w:firstLine="960"/>
      </w:pPr>
      <w:r>
        <w:rPr>
          <w:rFonts w:ascii="仿宋_GB2312" w:hAnsi="仿宋_GB2312" w:cs="仿宋_GB2312" w:eastAsia="仿宋_GB2312"/>
        </w:rPr>
        <w:t>详见附件：8、项目⼈员组成.docx</w:t>
      </w:r>
    </w:p>
    <w:p>
      <w:pPr>
        <w:pStyle w:val="null3"/>
        <w:ind w:firstLine="960"/>
      </w:pPr>
      <w:r>
        <w:rPr>
          <w:rFonts w:ascii="仿宋_GB2312" w:hAnsi="仿宋_GB2312" w:cs="仿宋_GB2312" w:eastAsia="仿宋_GB2312"/>
        </w:rPr>
        <w:t>详见附件：9、售后服务方案.docx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