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版本号：ZHZB-2026（FW）02120260515001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富平县妇女儿童医院购置彩超维保服务项目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ZHZB-2026（FW）021</w:t>
      </w:r>
      <w:r>
        <w:br/>
      </w:r>
      <w:r>
        <w:br/>
      </w:r>
      <w:r>
        <w:br/>
      </w:r>
    </w:p>
    <w:p>
      <w:pPr>
        <w:pStyle w:val="null3"/>
        <w:jc w:val="center"/>
        <w:outlineLvl w:val="2"/>
      </w:pPr>
      <w:r>
        <w:rPr>
          <w:rFonts w:ascii="仿宋_GB2312" w:hAnsi="仿宋_GB2312" w:cs="仿宋_GB2312" w:eastAsia="仿宋_GB2312"/>
          <w:sz w:val="28"/>
          <w:b/>
        </w:rPr>
        <w:t>富平县妇幼保健计划生育服务中心（富平县妇女儿童医院）</w:t>
      </w:r>
    </w:p>
    <w:p>
      <w:pPr>
        <w:pStyle w:val="null3"/>
        <w:jc w:val="center"/>
        <w:outlineLvl w:val="2"/>
      </w:pPr>
      <w:r>
        <w:rPr>
          <w:rFonts w:ascii="仿宋_GB2312" w:hAnsi="仿宋_GB2312" w:cs="仿宋_GB2312" w:eastAsia="仿宋_GB2312"/>
          <w:sz w:val="28"/>
          <w:b/>
        </w:rPr>
        <w:t>陕西致恒招标代理有限公司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陕西致恒招标代理有限公司</w:t>
      </w:r>
      <w:r>
        <w:rPr>
          <w:rFonts w:ascii="仿宋_GB2312" w:hAnsi="仿宋_GB2312" w:cs="仿宋_GB2312" w:eastAsia="仿宋_GB2312"/>
        </w:rPr>
        <w:t>（以下简称“代理机构”）受</w:t>
      </w:r>
      <w:r>
        <w:rPr>
          <w:rFonts w:ascii="仿宋_GB2312" w:hAnsi="仿宋_GB2312" w:cs="仿宋_GB2312" w:eastAsia="仿宋_GB2312"/>
        </w:rPr>
        <w:t>富平县妇幼保健计划生育服务中心（富平县妇女儿童医院）</w:t>
      </w:r>
      <w:r>
        <w:rPr>
          <w:rFonts w:ascii="仿宋_GB2312" w:hAnsi="仿宋_GB2312" w:cs="仿宋_GB2312" w:eastAsia="仿宋_GB2312"/>
        </w:rPr>
        <w:t>委托，拟对</w:t>
      </w:r>
      <w:r>
        <w:rPr>
          <w:rFonts w:ascii="仿宋_GB2312" w:hAnsi="仿宋_GB2312" w:cs="仿宋_GB2312" w:eastAsia="仿宋_GB2312"/>
        </w:rPr>
        <w:t>富平县妇女儿童医院购置彩超维保服务项目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ZHZB-2026（FW）021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富平县妇女儿童医院购置彩超维保服务项目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设备日常使用频率高，为了确保设备安全稳定运行，发生故障时能够得到及时维修，提高设备使用效能，保障医疗质量和安全。</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采购包1（购置彩超维保服务）：属于专门面向中小企业采购。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1、独立承担民事责任的能力：独立承担民事责任的能力：合法注册的法人应提供营业执照（或事业法人证）、 组织机构代码证、税务登记证或统一社会信用代码的营业执照或其他组织应提供合法证明文件或自然人提供身份证件；供应商需在项目电子化交易系统中按要求上传相应证明文件并进行电子签章。</w:t>
      </w:r>
    </w:p>
    <w:p>
      <w:pPr>
        <w:pStyle w:val="null3"/>
      </w:pPr>
      <w:r>
        <w:rPr>
          <w:rFonts w:ascii="仿宋_GB2312" w:hAnsi="仿宋_GB2312" w:cs="仿宋_GB2312" w:eastAsia="仿宋_GB2312"/>
        </w:rPr>
        <w:t>2、良好的商业信誉和健全的财务会计制度：良好的商业信誉和健全的财务会计制度：2024或2025年度经审计的财务报告或在2025年11月01日至今其基本开户银行出具的资信证明或财政部门认可的政府采购专业担保机构出具的投标担保函（以上三种形式的资料提供任何一种即可）；供应商需在项目电子化交易系统中按要求上传相应证明文件并进行电子签章。</w:t>
      </w:r>
    </w:p>
    <w:p>
      <w:pPr>
        <w:pStyle w:val="null3"/>
      </w:pPr>
      <w:r>
        <w:rPr>
          <w:rFonts w:ascii="仿宋_GB2312" w:hAnsi="仿宋_GB2312" w:cs="仿宋_GB2312" w:eastAsia="仿宋_GB2312"/>
        </w:rPr>
        <w:t>3、有依法缴纳税收和社会保障资金的良好记录：有依法缴纳税收和社会保障资金的良好记录：提供时间在2025年11月01日至今任意一个月的缴纳证明；供应商需在项目电子化交易系统中按要求上传相应证明文件并进行电子签章。</w:t>
      </w:r>
    </w:p>
    <w:p>
      <w:pPr>
        <w:pStyle w:val="null3"/>
      </w:pPr>
      <w:r>
        <w:rPr>
          <w:rFonts w:ascii="仿宋_GB2312" w:hAnsi="仿宋_GB2312" w:cs="仿宋_GB2312" w:eastAsia="仿宋_GB2312"/>
        </w:rPr>
        <w:t>4、书面声明：书面声明：①参加政府采购活动前三年内，在经营活动中没有重大违法记录的书面声明；②具有履行本合同所必需的设备和专业技术能力的声明；供应商需在项目电子化交易系统中按要求上传相应证明文件并进行电子签章。</w:t>
      </w:r>
    </w:p>
    <w:p>
      <w:pPr>
        <w:pStyle w:val="null3"/>
      </w:pPr>
      <w:r>
        <w:rPr>
          <w:rFonts w:ascii="仿宋_GB2312" w:hAnsi="仿宋_GB2312" w:cs="仿宋_GB2312" w:eastAsia="仿宋_GB2312"/>
        </w:rPr>
        <w:t>5、法律、行政法规规定的其他条件：法律、行政法规规定的其他条件：法定代表人直接参加投标的，须提供法定代表人身份证明；法定代表人授权代表参加投标的，须提供法定代表人授权委托书；供应商需在项目电子化交易系统中按要求上传相应证明文件并进行电子签章。</w:t>
      </w:r>
    </w:p>
    <w:p>
      <w:pPr>
        <w:pStyle w:val="null3"/>
      </w:pPr>
      <w:r>
        <w:rPr>
          <w:rFonts w:ascii="仿宋_GB2312" w:hAnsi="仿宋_GB2312" w:cs="仿宋_GB2312" w:eastAsia="仿宋_GB2312"/>
        </w:rPr>
        <w:t>6、供应商企业关系关联及联合体说明：供应商企业关系关联及联合体说明：本项目不接受联合体磋商，单位负责人为同一人或者存在直接控股、管理关系的不同供应商，不得参加同一合同项下的政府采购活动。供应商需在项目电子化交易系统中按要求上传相应证明文件并进行电子签章。</w:t>
      </w:r>
    </w:p>
    <w:p>
      <w:pPr>
        <w:pStyle w:val="null3"/>
      </w:pPr>
      <w:r>
        <w:rPr>
          <w:rFonts w:ascii="仿宋_GB2312" w:hAnsi="仿宋_GB2312" w:cs="仿宋_GB2312" w:eastAsia="仿宋_GB2312"/>
        </w:rPr>
        <w:t>7、备注：备注：①以上为供应商的必备资格要求，资格证明文件无效或缺项的响应文件按无效文件处理；②分支机构参与投标时，须提供分支机构符合资格要求的证明文件；③书面声明、法定代表人身份证明和法定代表人授权委托书应按竞争性磋商文件的要求填写，响应文件中必须附原件，其他资格证明文件提供复印件并加盖供应商公章；④依法免税或不需要缴纳社会保障资金的供应商须提供相应证明文件；事业单位法人可不提供财务状况报告、缴纳税收证明及社会保障资金缴纳证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富平县妇幼保健计划生育服务中心（富平县妇女儿童医院）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富平县城区富昌大道与来富大街交叉口</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711700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范女士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0913-8208620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陕西致恒招标代理有限公司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西安市未央区北二环大明宫立交桥百寰国际2705室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屈彤 魏露</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17309228618、029-86637991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富平县政府采购管理股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0913-8221145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 xml:space="preserve">否 </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采购包1保证金金额：8,000.00元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开户名称：陕西致恒招标代理有限公司</w:t>
            </w:r>
          </w:p>
          <w:p>
            <w:pPr>
              <w:pStyle w:val="null3"/>
            </w:pPr>
            <w:r>
              <w:rPr>
                <w:rFonts w:ascii="仿宋_GB2312" w:hAnsi="仿宋_GB2312" w:cs="仿宋_GB2312" w:eastAsia="仿宋_GB2312"/>
              </w:rPr>
              <w:t>开户银行：中国建设银行股份有限公司西安太华北路支行</w:t>
            </w:r>
          </w:p>
          <w:p>
            <w:pPr>
              <w:pStyle w:val="null3"/>
            </w:pPr>
            <w:r>
              <w:rPr>
                <w:rFonts w:ascii="仿宋_GB2312" w:hAnsi="仿宋_GB2312" w:cs="仿宋_GB2312" w:eastAsia="仿宋_GB2312"/>
              </w:rPr>
              <w:t>银行账号：61050110629600000259</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依据《关于进一步放开建设项目专业服务价格的通知》（发改价格【2015】299号），参照《招标代理服务收费管理暂行办法的通知》(计价格〔2002〕1980号)、《关于招标代理服务收费有关问题的通知》（发改办价格〔2003〕857号）以及《关于降低部分建设项目收费标准规范收费行为等有关问题的通知》(发改价格〔2011〕534号)，以中标价为基数计算招标代理服务费。 2、招标服务费应采用转账、现金形式缴纳，不得用投标保证金冲抵。 招标代理服务费汇款账户： 开户行名称：陕西致恒招标代理有限公司 开 户 行：中国民生银行股份有限公司西安高新开发区支行 帐 号：159322825</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富平县妇幼保健计划生育服务中心（富平县妇女儿童医院）</w:t>
      </w:r>
      <w:r>
        <w:rPr>
          <w:rFonts w:ascii="仿宋_GB2312" w:hAnsi="仿宋_GB2312" w:cs="仿宋_GB2312" w:eastAsia="仿宋_GB2312"/>
        </w:rPr>
        <w:t>和</w:t>
      </w:r>
      <w:r>
        <w:rPr>
          <w:rFonts w:ascii="仿宋_GB2312" w:hAnsi="仿宋_GB2312" w:cs="仿宋_GB2312" w:eastAsia="仿宋_GB2312"/>
        </w:rPr>
        <w:t>陕西致恒招标代理有限公司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富平县妇幼保健计划生育服务中心（富平县妇女儿童医院）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陕西致恒招标代理有限公司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富平县妇幼保健计划生育服务中心（富平县妇女儿童医院）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陕西致恒招标代理有限公司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详见竞争性磋商文件、采购合同及采购人要求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陕西致恒招标代理有限公司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陕西致恒招标代理有限公司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陕西致恒招标代理有限公司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联系人：屈彤</w:t>
      </w:r>
    </w:p>
    <w:p>
      <w:pPr>
        <w:pStyle w:val="null3"/>
      </w:pPr>
      <w:r>
        <w:rPr>
          <w:rFonts w:ascii="仿宋_GB2312" w:hAnsi="仿宋_GB2312" w:cs="仿宋_GB2312" w:eastAsia="仿宋_GB2312"/>
        </w:rPr>
        <w:t>联系电话：17309228618、029-86637991</w:t>
      </w:r>
    </w:p>
    <w:p>
      <w:pPr>
        <w:pStyle w:val="null3"/>
      </w:pPr>
      <w:r>
        <w:rPr>
          <w:rFonts w:ascii="仿宋_GB2312" w:hAnsi="仿宋_GB2312" w:cs="仿宋_GB2312" w:eastAsia="仿宋_GB2312"/>
        </w:rPr>
        <w:t>地址：西安市未央区北二环大明宫立交桥百寰国际2705室</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设备日常使用频率高，为了确保设备安全稳定运行，发生故障时能够得到及时维修，提高设备使用效能，保障医疗质量和安全。</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彩超维保</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right"/>
            </w:pPr>
            <w:r>
              <w:rPr>
                <w:rFonts w:ascii="仿宋_GB2312" w:hAnsi="仿宋_GB2312" w:cs="仿宋_GB2312" w:eastAsia="仿宋_GB2312"/>
              </w:rPr>
              <w:t>600,000.00</w:t>
            </w:r>
          </w:p>
        </w:tc>
        <w:tc>
          <w:tcPr>
            <w:tcW w:type="dxa" w:w="831"/>
          </w:tcPr>
          <w:p>
            <w:pPr>
              <w:pStyle w:val="null3"/>
            </w:pPr>
            <w:r>
              <w:rPr>
                <w:rFonts w:ascii="仿宋_GB2312" w:hAnsi="仿宋_GB2312" w:cs="仿宋_GB2312" w:eastAsia="仿宋_GB2312"/>
              </w:rPr>
              <w:t>年</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标的名称：彩超维保</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both"/>
            </w:pPr>
            <w:r>
              <w:rPr>
                <w:rFonts w:ascii="仿宋_GB2312" w:hAnsi="仿宋_GB2312" w:cs="仿宋_GB2312" w:eastAsia="仿宋_GB2312"/>
                <w:sz w:val="24"/>
                <w:b/>
                <w:color w:val="000000"/>
              </w:rPr>
              <w:t>一、维保设备情况：</w:t>
            </w:r>
          </w:p>
          <w:tbl>
            <w:tblPr>
              <w:tblBorders>
                <w:top w:val="none" w:color="000000" w:sz="4"/>
                <w:left w:val="none" w:color="000000" w:sz="4"/>
                <w:bottom w:val="none" w:color="000000" w:sz="4"/>
                <w:right w:val="none" w:color="000000" w:sz="4"/>
                <w:insideH w:val="none"/>
                <w:insideV w:val="none"/>
              </w:tblBorders>
            </w:tblPr>
            <w:tblGrid>
              <w:gridCol w:w="238"/>
              <w:gridCol w:w="1312"/>
              <w:gridCol w:w="409"/>
              <w:gridCol w:w="584"/>
            </w:tblGrid>
            <w:tr>
              <w:tc>
                <w:tcPr>
                  <w:tcW w:type="dxa" w:w="2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13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设备名称</w:t>
                  </w:r>
                </w:p>
              </w:tc>
              <w:tc>
                <w:tcPr>
                  <w:tcW w:type="dxa" w:w="4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数量</w:t>
                  </w:r>
                </w:p>
              </w:tc>
              <w:tc>
                <w:tcPr>
                  <w:tcW w:type="dxa" w:w="5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备注</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VolusonE8</w:t>
                  </w:r>
                </w:p>
              </w:tc>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1台</w:t>
                  </w:r>
                </w:p>
              </w:tc>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全保</w:t>
                  </w:r>
                  <w:r>
                    <w:rPr>
                      <w:rFonts w:ascii="仿宋_GB2312" w:hAnsi="仿宋_GB2312" w:cs="仿宋_GB2312" w:eastAsia="仿宋_GB2312"/>
                      <w:sz w:val="24"/>
                      <w:color w:val="000000"/>
                    </w:rPr>
                    <w:t>设备</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VolusonE6</w:t>
                  </w:r>
                </w:p>
              </w:tc>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1台</w:t>
                  </w:r>
                </w:p>
              </w:tc>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全保</w:t>
                  </w:r>
                  <w:r>
                    <w:rPr>
                      <w:rFonts w:ascii="仿宋_GB2312" w:hAnsi="仿宋_GB2312" w:cs="仿宋_GB2312" w:eastAsia="仿宋_GB2312"/>
                      <w:sz w:val="24"/>
                      <w:color w:val="000000"/>
                    </w:rPr>
                    <w:t>设备</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1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VolusonP8</w:t>
                  </w:r>
                </w:p>
              </w:tc>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1台</w:t>
                  </w:r>
                </w:p>
              </w:tc>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全保</w:t>
                  </w:r>
                  <w:r>
                    <w:rPr>
                      <w:rFonts w:ascii="仿宋_GB2312" w:hAnsi="仿宋_GB2312" w:cs="仿宋_GB2312" w:eastAsia="仿宋_GB2312"/>
                      <w:sz w:val="24"/>
                      <w:color w:val="000000"/>
                    </w:rPr>
                    <w:t>设备</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1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MX7便携彩超</w:t>
                  </w:r>
                </w:p>
              </w:tc>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r>
                    <w:rPr>
                      <w:rFonts w:ascii="仿宋_GB2312" w:hAnsi="仿宋_GB2312" w:cs="仿宋_GB2312" w:eastAsia="仿宋_GB2312"/>
                      <w:sz w:val="24"/>
                      <w:color w:val="000000"/>
                    </w:rPr>
                    <w:t>台</w:t>
                  </w:r>
                </w:p>
              </w:tc>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技术保修设备</w:t>
                  </w:r>
                </w:p>
              </w:tc>
            </w:tr>
          </w:tbl>
          <w:p>
            <w:pPr>
              <w:pStyle w:val="null3"/>
              <w:ind w:firstLine="482"/>
              <w:jc w:val="both"/>
            </w:pPr>
            <w:r>
              <w:rPr>
                <w:rFonts w:ascii="仿宋_GB2312" w:hAnsi="仿宋_GB2312" w:cs="仿宋_GB2312" w:eastAsia="仿宋_GB2312"/>
                <w:sz w:val="24"/>
                <w:b/>
                <w:color w:val="000000"/>
              </w:rPr>
              <w:t>二、技术要求：</w:t>
            </w:r>
          </w:p>
          <w:tbl>
            <w:tblPr>
              <w:tblBorders>
                <w:top w:val="none" w:color="000000" w:sz="4"/>
                <w:left w:val="none" w:color="000000" w:sz="4"/>
                <w:bottom w:val="none" w:color="000000" w:sz="4"/>
                <w:right w:val="none" w:color="000000" w:sz="4"/>
                <w:insideH w:val="none"/>
                <w:insideV w:val="none"/>
              </w:tblBorders>
            </w:tblPr>
            <w:tblGrid>
              <w:gridCol w:w="157"/>
              <w:gridCol w:w="539"/>
              <w:gridCol w:w="1847"/>
            </w:tblGrid>
            <w:tr>
              <w:tc>
                <w:tcPr>
                  <w:tcW w:type="dxa" w:w="1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序号</w:t>
                  </w:r>
                </w:p>
              </w:tc>
              <w:tc>
                <w:tcPr>
                  <w:tcW w:type="dxa" w:w="5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指标名称</w:t>
                  </w:r>
                </w:p>
              </w:tc>
              <w:tc>
                <w:tcPr>
                  <w:tcW w:type="dxa" w:w="18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color w:val="000000"/>
                    </w:rPr>
                    <w:t>技术参数</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w:t>
                  </w: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服务范围</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三</w:t>
                  </w:r>
                  <w:r>
                    <w:rPr>
                      <w:rFonts w:ascii="仿宋_GB2312" w:hAnsi="仿宋_GB2312" w:cs="仿宋_GB2312" w:eastAsia="仿宋_GB2312"/>
                      <w:sz w:val="24"/>
                      <w:color w:val="000000"/>
                    </w:rPr>
                    <w:t>台</w:t>
                  </w:r>
                  <w:r>
                    <w:rPr>
                      <w:rFonts w:ascii="仿宋_GB2312" w:hAnsi="仿宋_GB2312" w:cs="仿宋_GB2312" w:eastAsia="仿宋_GB2312"/>
                      <w:sz w:val="24"/>
                      <w:color w:val="000000"/>
                    </w:rPr>
                    <w:t>全保设备所有</w:t>
                  </w:r>
                  <w:r>
                    <w:rPr>
                      <w:rFonts w:ascii="仿宋_GB2312" w:hAnsi="仿宋_GB2312" w:cs="仿宋_GB2312" w:eastAsia="仿宋_GB2312"/>
                      <w:sz w:val="24"/>
                      <w:color w:val="000000"/>
                    </w:rPr>
                    <w:t>电路板备件</w:t>
                  </w:r>
                  <w:r>
                    <w:rPr>
                      <w:rFonts w:ascii="仿宋_GB2312" w:hAnsi="仿宋_GB2312" w:cs="仿宋_GB2312" w:eastAsia="仿宋_GB2312"/>
                      <w:sz w:val="24"/>
                      <w:color w:val="000000"/>
                    </w:rPr>
                    <w:t>、</w:t>
                  </w:r>
                  <w:r>
                    <w:rPr>
                      <w:rFonts w:ascii="仿宋_GB2312" w:hAnsi="仿宋_GB2312" w:cs="仿宋_GB2312" w:eastAsia="仿宋_GB2312"/>
                      <w:sz w:val="24"/>
                      <w:color w:val="000000"/>
                    </w:rPr>
                    <w:t>显示器、电源系统、脚踏开关等硬件</w:t>
                  </w:r>
                  <w:r>
                    <w:rPr>
                      <w:rFonts w:ascii="仿宋_GB2312" w:hAnsi="仿宋_GB2312" w:cs="仿宋_GB2312" w:eastAsia="仿宋_GB2312"/>
                      <w:sz w:val="24"/>
                      <w:color w:val="000000"/>
                    </w:rPr>
                    <w:t>保修三年</w:t>
                  </w:r>
                  <w:r>
                    <w:rPr>
                      <w:rFonts w:ascii="仿宋_GB2312" w:hAnsi="仿宋_GB2312" w:cs="仿宋_GB2312" w:eastAsia="仿宋_GB2312"/>
                      <w:sz w:val="24"/>
                      <w:color w:val="000000"/>
                    </w:rPr>
                    <w:t>（</w:t>
                  </w:r>
                  <w:r>
                    <w:rPr>
                      <w:rFonts w:ascii="仿宋_GB2312" w:hAnsi="仿宋_GB2312" w:cs="仿宋_GB2312" w:eastAsia="仿宋_GB2312"/>
                      <w:sz w:val="24"/>
                      <w:color w:val="000000"/>
                    </w:rPr>
                    <w:t>设备出现故障备件只更换不维修</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三台全保设备维</w:t>
                  </w:r>
                  <w:r>
                    <w:rPr>
                      <w:rFonts w:ascii="仿宋_GB2312" w:hAnsi="仿宋_GB2312" w:cs="仿宋_GB2312" w:eastAsia="仿宋_GB2312"/>
                      <w:sz w:val="24"/>
                      <w:color w:val="000000"/>
                    </w:rPr>
                    <w:t>保修期内，每年有</w:t>
                  </w:r>
                  <w:r>
                    <w:rPr>
                      <w:rFonts w:ascii="仿宋_GB2312" w:hAnsi="仿宋_GB2312" w:cs="仿宋_GB2312" w:eastAsia="仿宋_GB2312"/>
                      <w:sz w:val="24"/>
                      <w:color w:val="000000"/>
                    </w:rPr>
                    <w:t>三</w:t>
                  </w:r>
                  <w:r>
                    <w:rPr>
                      <w:rFonts w:ascii="仿宋_GB2312" w:hAnsi="仿宋_GB2312" w:cs="仿宋_GB2312" w:eastAsia="仿宋_GB2312"/>
                      <w:sz w:val="24"/>
                      <w:color w:val="000000"/>
                    </w:rPr>
                    <w:t>把探头的保用更换名额。</w:t>
                  </w:r>
                </w:p>
                <w:p>
                  <w:pPr>
                    <w:pStyle w:val="null3"/>
                    <w:jc w:val="both"/>
                  </w:pPr>
                  <w:r>
                    <w:rPr>
                      <w:rFonts w:ascii="仿宋_GB2312" w:hAnsi="仿宋_GB2312" w:cs="仿宋_GB2312" w:eastAsia="仿宋_GB2312"/>
                      <w:sz w:val="24"/>
                      <w:color w:val="000000"/>
                    </w:rPr>
                    <w:t>3、维修及更换备件、提供技术服务、保养费用、派工费用、</w:t>
                  </w:r>
                  <w:r>
                    <w:rPr>
                      <w:rFonts w:ascii="仿宋_GB2312" w:hAnsi="仿宋_GB2312" w:cs="仿宋_GB2312" w:eastAsia="仿宋_GB2312"/>
                      <w:sz w:val="24"/>
                      <w:color w:val="000000"/>
                    </w:rPr>
                    <w:t>现场服务等所有费用免费。</w:t>
                  </w:r>
                </w:p>
                <w:p>
                  <w:pPr>
                    <w:pStyle w:val="null3"/>
                    <w:jc w:val="both"/>
                  </w:pPr>
                  <w:r>
                    <w:rPr>
                      <w:rFonts w:ascii="仿宋_GB2312" w:hAnsi="仿宋_GB2312" w:cs="仿宋_GB2312" w:eastAsia="仿宋_GB2312"/>
                      <w:sz w:val="24"/>
                      <w:color w:val="000000"/>
                    </w:rPr>
                    <w:t>4、两台</w:t>
                  </w:r>
                  <w:r>
                    <w:rPr>
                      <w:rFonts w:ascii="仿宋_GB2312" w:hAnsi="仿宋_GB2312" w:cs="仿宋_GB2312" w:eastAsia="仿宋_GB2312"/>
                      <w:sz w:val="24"/>
                      <w:color w:val="000000"/>
                    </w:rPr>
                    <w:t>MX7便携彩超每年提供定期维护保养及检测调试。</w:t>
                  </w:r>
                </w:p>
                <w:p>
                  <w:pPr>
                    <w:pStyle w:val="null3"/>
                    <w:jc w:val="both"/>
                  </w:pPr>
                  <w:r>
                    <w:rPr>
                      <w:rFonts w:ascii="仿宋_GB2312" w:hAnsi="仿宋_GB2312" w:cs="仿宋_GB2312" w:eastAsia="仿宋_GB2312"/>
                      <w:sz w:val="24"/>
                      <w:color w:val="000000"/>
                    </w:rPr>
                    <w:t>5、5台设备工作站的技术维修免费服务。</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w:t>
                  </w: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主机定期保养</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w:t>
                  </w:r>
                  <w:r>
                    <w:rPr>
                      <w:rFonts w:ascii="仿宋_GB2312" w:hAnsi="仿宋_GB2312" w:cs="仿宋_GB2312" w:eastAsia="仿宋_GB2312"/>
                      <w:sz w:val="24"/>
                      <w:color w:val="000000"/>
                    </w:rPr>
                    <w:t>合同期内必须提供</w:t>
                  </w:r>
                  <w:r>
                    <w:rPr>
                      <w:rFonts w:ascii="仿宋_GB2312" w:hAnsi="仿宋_GB2312" w:cs="仿宋_GB2312" w:eastAsia="仿宋_GB2312"/>
                      <w:sz w:val="24"/>
                      <w:color w:val="000000"/>
                    </w:rPr>
                    <w:t>≥</w:t>
                  </w:r>
                  <w:r>
                    <w:rPr>
                      <w:rFonts w:ascii="仿宋_GB2312" w:hAnsi="仿宋_GB2312" w:cs="仿宋_GB2312" w:eastAsia="仿宋_GB2312"/>
                      <w:sz w:val="24"/>
                      <w:color w:val="000000"/>
                    </w:rPr>
                    <w:t>6</w:t>
                  </w:r>
                  <w:r>
                    <w:rPr>
                      <w:rFonts w:ascii="仿宋_GB2312" w:hAnsi="仿宋_GB2312" w:cs="仿宋_GB2312" w:eastAsia="仿宋_GB2312"/>
                      <w:sz w:val="24"/>
                      <w:color w:val="000000"/>
                    </w:rPr>
                    <w:t>次</w:t>
                  </w:r>
                  <w:r>
                    <w:rPr>
                      <w:rFonts w:ascii="仿宋_GB2312" w:hAnsi="仿宋_GB2312" w:cs="仿宋_GB2312" w:eastAsia="仿宋_GB2312"/>
                      <w:sz w:val="24"/>
                      <w:color w:val="000000"/>
                    </w:rPr>
                    <w:t>/</w:t>
                  </w:r>
                  <w:r>
                    <w:rPr>
                      <w:rFonts w:ascii="仿宋_GB2312" w:hAnsi="仿宋_GB2312" w:cs="仿宋_GB2312" w:eastAsia="仿宋_GB2312"/>
                      <w:sz w:val="24"/>
                      <w:color w:val="000000"/>
                    </w:rPr>
                    <w:t>年常规机器调试和专业维护保养。</w:t>
                  </w:r>
                </w:p>
                <w:p>
                  <w:pPr>
                    <w:pStyle w:val="null3"/>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按照标准对设备进行校准、检测、主机定期保养，确认各项技术指标和性能，记录设备运行状况，图像质量检查、机除尘清洁、机械安全检查、质量安全检查等，并在预防性维护结束时提供合同设备的主动维护报告及整机质量评估报告。</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3</w:t>
                  </w: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维修质量保证</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保证在合同服务期内设备开机率</w:t>
                  </w:r>
                  <w:r>
                    <w:rPr>
                      <w:rFonts w:ascii="仿宋_GB2312" w:hAnsi="仿宋_GB2312" w:cs="仿宋_GB2312" w:eastAsia="仿宋_GB2312"/>
                      <w:sz w:val="24"/>
                      <w:color w:val="000000"/>
                    </w:rPr>
                    <w:t>≥95%，每超过一天保修延长5天。</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4</w:t>
                  </w: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备件质量要求</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需提供原厂的损耗件及零备件且其来源必须符合国家相关法律法规要求，若在合同期内因故障而需要更换，如需报关单证明，必须提供并不受数量限制。</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5</w:t>
                  </w: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响应速度</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提供</w:t>
                  </w:r>
                  <w:r>
                    <w:rPr>
                      <w:rFonts w:ascii="仿宋_GB2312" w:hAnsi="仿宋_GB2312" w:cs="仿宋_GB2312" w:eastAsia="仿宋_GB2312"/>
                      <w:sz w:val="24"/>
                      <w:color w:val="000000"/>
                    </w:rPr>
                    <w:t>7*24小时报修及免费技术支持电话，接到故障报修电话通知后10分钟之内响应，提供电话、网络等技术支持。如以上技术支持无法解决设备故障，供应商须在1小时内到达设备使用现场进行维修，排除故障。</w:t>
                  </w:r>
                  <w:r>
                    <w:rPr>
                      <w:rFonts w:ascii="仿宋_GB2312" w:hAnsi="仿宋_GB2312" w:cs="仿宋_GB2312" w:eastAsia="仿宋_GB2312"/>
                      <w:sz w:val="24"/>
                      <w:color w:val="000000"/>
                    </w:rPr>
                    <w:t>24小时内无法修复，立即提供相同或更高档次的备用设备免费使用，直至原设备修复完毕。</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6</w:t>
                  </w: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技术人员配备</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1、配备1名具有超声设备维修经验的项目经理，并提供近6个月内单位为其缴纳的参保缴费证明。</w:t>
                  </w:r>
                </w:p>
                <w:p>
                  <w:pPr>
                    <w:pStyle w:val="null3"/>
                    <w:jc w:val="both"/>
                  </w:pPr>
                  <w:r>
                    <w:rPr>
                      <w:rFonts w:ascii="仿宋_GB2312" w:hAnsi="仿宋_GB2312" w:cs="仿宋_GB2312" w:eastAsia="仿宋_GB2312"/>
                      <w:sz w:val="24"/>
                      <w:color w:val="000000"/>
                    </w:rPr>
                    <w:t>2、配备2名具有超声设备维修经验的工程师。</w:t>
                  </w:r>
                </w:p>
                <w:p>
                  <w:pPr>
                    <w:pStyle w:val="null3"/>
                    <w:jc w:val="both"/>
                  </w:pPr>
                  <w:r>
                    <w:rPr>
                      <w:rFonts w:ascii="仿宋_GB2312" w:hAnsi="仿宋_GB2312" w:cs="仿宋_GB2312" w:eastAsia="仿宋_GB2312"/>
                      <w:sz w:val="24"/>
                      <w:color w:val="000000"/>
                    </w:rPr>
                    <w:t>注：以上人员均提供国家相关职能部门颁发的设备管理与维修专业的工程师资格证书。</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7</w:t>
                  </w: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维修专业工具</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具有该设备专业维修工具，并提供工具清单及工具图片</w:t>
                  </w:r>
                  <w:r>
                    <w:rPr>
                      <w:rFonts w:ascii="仿宋_GB2312" w:hAnsi="仿宋_GB2312" w:cs="仿宋_GB2312" w:eastAsia="仿宋_GB2312"/>
                      <w:sz w:val="24"/>
                      <w:color w:val="000000"/>
                    </w:rPr>
                    <w:t>。</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8</w:t>
                  </w: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服务报告</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每年度服务结束后应提交年度服务报告，包括维修情况、服务总结、设备运行时状况分析、设备存在问题及建议等</w:t>
                  </w:r>
                  <w:r>
                    <w:rPr>
                      <w:rFonts w:ascii="仿宋_GB2312" w:hAnsi="仿宋_GB2312" w:cs="仿宋_GB2312" w:eastAsia="仿宋_GB2312"/>
                      <w:sz w:val="24"/>
                      <w:color w:val="000000"/>
                    </w:rPr>
                    <w:t>。</w:t>
                  </w:r>
                </w:p>
              </w:tc>
            </w:tr>
          </w:tbl>
          <w:p>
            <w:pPr>
              <w:pStyle w:val="null3"/>
              <w:ind w:firstLine="482"/>
              <w:jc w:val="both"/>
            </w:pPr>
            <w:r>
              <w:rPr>
                <w:rFonts w:ascii="仿宋_GB2312" w:hAnsi="仿宋_GB2312" w:cs="仿宋_GB2312" w:eastAsia="仿宋_GB2312"/>
                <w:sz w:val="24"/>
                <w:b/>
                <w:color w:val="000000"/>
              </w:rPr>
              <w:t>三、</w:t>
            </w:r>
            <w:r>
              <w:rPr>
                <w:rFonts w:ascii="仿宋_GB2312" w:hAnsi="仿宋_GB2312" w:cs="仿宋_GB2312" w:eastAsia="仿宋_GB2312"/>
                <w:sz w:val="24"/>
                <w:b/>
                <w:color w:val="000000"/>
              </w:rPr>
              <w:t>其他要求</w:t>
            </w:r>
          </w:p>
          <w:p>
            <w:pPr>
              <w:pStyle w:val="null3"/>
              <w:ind w:firstLine="48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所有零部件必须为与原型号一致，安装完毕后达到设备运行标准。</w:t>
            </w:r>
          </w:p>
          <w:p>
            <w:pPr>
              <w:pStyle w:val="null3"/>
              <w:ind w:firstLine="48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如更换配件需提供注册证或者报关单。</w:t>
            </w:r>
          </w:p>
          <w:p>
            <w:pPr>
              <w:pStyle w:val="null3"/>
              <w:ind w:firstLine="482"/>
              <w:jc w:val="both"/>
            </w:pPr>
            <w:r>
              <w:rPr>
                <w:rFonts w:ascii="仿宋_GB2312" w:hAnsi="仿宋_GB2312" w:cs="仿宋_GB2312" w:eastAsia="仿宋_GB2312"/>
                <w:sz w:val="24"/>
                <w:b/>
                <w:color w:val="000000"/>
              </w:rPr>
              <w:t>★四、服务（商务）要求</w:t>
            </w:r>
          </w:p>
          <w:p>
            <w:pPr>
              <w:pStyle w:val="null3"/>
              <w:ind w:firstLine="480"/>
              <w:jc w:val="both"/>
            </w:pPr>
            <w:r>
              <w:rPr>
                <w:rFonts w:ascii="仿宋_GB2312" w:hAnsi="仿宋_GB2312" w:cs="仿宋_GB2312" w:eastAsia="仿宋_GB2312"/>
                <w:sz w:val="24"/>
                <w:color w:val="000000"/>
              </w:rPr>
              <w:t>（一）合同履行期限：合同签订之日起</w:t>
            </w:r>
            <w:r>
              <w:rPr>
                <w:rFonts w:ascii="仿宋_GB2312" w:hAnsi="仿宋_GB2312" w:cs="仿宋_GB2312" w:eastAsia="仿宋_GB2312"/>
                <w:sz w:val="24"/>
                <w:color w:val="000000"/>
              </w:rPr>
              <w:t>3年。</w:t>
            </w:r>
          </w:p>
          <w:p>
            <w:pPr>
              <w:pStyle w:val="null3"/>
              <w:ind w:firstLine="480"/>
              <w:jc w:val="both"/>
            </w:pPr>
            <w:r>
              <w:rPr>
                <w:rFonts w:ascii="仿宋_GB2312" w:hAnsi="仿宋_GB2312" w:cs="仿宋_GB2312" w:eastAsia="仿宋_GB2312"/>
                <w:sz w:val="24"/>
                <w:color w:val="000000"/>
              </w:rPr>
              <w:t>（二）服务地点：富平县妇女儿童医院，采购人指定地点。</w:t>
            </w:r>
          </w:p>
          <w:p>
            <w:pPr>
              <w:pStyle w:val="null3"/>
              <w:ind w:firstLine="480"/>
              <w:jc w:val="both"/>
            </w:pPr>
            <w:r>
              <w:rPr>
                <w:rFonts w:ascii="仿宋_GB2312" w:hAnsi="仿宋_GB2312" w:cs="仿宋_GB2312" w:eastAsia="仿宋_GB2312"/>
                <w:sz w:val="24"/>
                <w:color w:val="000000"/>
              </w:rPr>
              <w:t>（三）验收标准：</w:t>
            </w:r>
          </w:p>
          <w:p>
            <w:pPr>
              <w:pStyle w:val="null3"/>
              <w:ind w:firstLine="480"/>
              <w:jc w:val="both"/>
            </w:pPr>
            <w:r>
              <w:rPr>
                <w:rFonts w:ascii="仿宋_GB2312" w:hAnsi="仿宋_GB2312" w:cs="仿宋_GB2312" w:eastAsia="仿宋_GB2312"/>
                <w:sz w:val="24"/>
                <w:color w:val="000000"/>
              </w:rPr>
              <w:t>1.每次维保完成后，乙方向甲方提供书面《维修保养记录单》包括维修保养项目及更换配件等内容，交与甲方验收。</w:t>
            </w:r>
          </w:p>
          <w:p>
            <w:pPr>
              <w:pStyle w:val="null3"/>
              <w:ind w:firstLine="480"/>
              <w:jc w:val="both"/>
            </w:pPr>
            <w:r>
              <w:rPr>
                <w:rFonts w:ascii="仿宋_GB2312" w:hAnsi="仿宋_GB2312" w:cs="仿宋_GB2312" w:eastAsia="仿宋_GB2312"/>
                <w:sz w:val="24"/>
                <w:color w:val="000000"/>
              </w:rPr>
              <w:t>2.若验收合格，甲方出具维修维保验收合格单作为对乙方维修保养的最终认可；若验收不合格的，乙方应立即安排免费返修；返修后验收仍不合格的，甲方有权解除合同，合同自书面解除通知送达乙方之日起解除，乙方应按照合同总价的10%向甲方支付违约金，违约金不足以弥补甲方损失的，乙方另行承担。</w:t>
            </w:r>
          </w:p>
          <w:p>
            <w:pPr>
              <w:pStyle w:val="null3"/>
              <w:ind w:firstLine="480"/>
              <w:jc w:val="both"/>
            </w:pPr>
            <w:r>
              <w:rPr>
                <w:rFonts w:ascii="仿宋_GB2312" w:hAnsi="仿宋_GB2312" w:cs="仿宋_GB2312" w:eastAsia="仿宋_GB2312"/>
                <w:sz w:val="24"/>
                <w:color w:val="000000"/>
              </w:rPr>
              <w:t>（四）款项结算</w:t>
            </w:r>
          </w:p>
          <w:p>
            <w:pPr>
              <w:pStyle w:val="null3"/>
              <w:ind w:firstLine="480"/>
              <w:jc w:val="both"/>
            </w:pPr>
            <w:r>
              <w:rPr>
                <w:rFonts w:ascii="仿宋_GB2312" w:hAnsi="仿宋_GB2312" w:cs="仿宋_GB2312" w:eastAsia="仿宋_GB2312"/>
                <w:sz w:val="24"/>
                <w:color w:val="000000"/>
              </w:rPr>
              <w:t>1.付款方式：第一年维保期开始后支付合同总金额的60%；第二年维保开始后支付合同总金额的30%；第三年维保开始后支付合同总金额的10% 。</w:t>
            </w:r>
          </w:p>
          <w:p>
            <w:pPr>
              <w:pStyle w:val="null3"/>
              <w:ind w:firstLine="480"/>
              <w:jc w:val="both"/>
            </w:pPr>
            <w:r>
              <w:rPr>
                <w:rFonts w:ascii="仿宋_GB2312" w:hAnsi="仿宋_GB2312" w:cs="仿宋_GB2312" w:eastAsia="仿宋_GB2312"/>
                <w:sz w:val="24"/>
                <w:color w:val="000000"/>
              </w:rPr>
              <w:t>2.结算方式：对公转账，开具对应金额票据后付款。</w:t>
            </w:r>
          </w:p>
          <w:p>
            <w:pPr>
              <w:pStyle w:val="null3"/>
              <w:ind w:firstLine="480"/>
              <w:jc w:val="both"/>
            </w:pPr>
            <w:r>
              <w:rPr>
                <w:rFonts w:ascii="仿宋_GB2312" w:hAnsi="仿宋_GB2312" w:cs="仿宋_GB2312" w:eastAsia="仿宋_GB2312"/>
                <w:sz w:val="24"/>
                <w:color w:val="000000"/>
              </w:rPr>
              <w:t>（五）服务标准：须满足采购人维保服务内容及要求。</w:t>
            </w:r>
          </w:p>
          <w:p>
            <w:pPr>
              <w:pStyle w:val="null3"/>
              <w:ind w:firstLine="480"/>
              <w:jc w:val="both"/>
            </w:pPr>
            <w:r>
              <w:rPr>
                <w:rFonts w:ascii="仿宋_GB2312" w:hAnsi="仿宋_GB2312" w:cs="仿宋_GB2312" w:eastAsia="仿宋_GB2312"/>
                <w:sz w:val="24"/>
                <w:color w:val="000000"/>
              </w:rPr>
              <w:t>注：</w:t>
            </w:r>
            <w:r>
              <w:rPr>
                <w:rFonts w:ascii="仿宋_GB2312" w:hAnsi="仿宋_GB2312" w:cs="仿宋_GB2312" w:eastAsia="仿宋_GB2312"/>
                <w:sz w:val="24"/>
                <w:color w:val="000000"/>
              </w:rPr>
              <w:t>★项为实质性要求，不得负偏离。</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详见竞争性磋商文件、采购合同及采购人要求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详见竞争性磋商文件、采购合同及采购人要求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详见竞争性磋商文件、采购合同及采购人要求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合同签订之日起3年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富平县妇女儿童医院，采购人指定地点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1.每次维保完成后，乙方向甲方提供书面《维修保养记录单》包括维修保养项目及更换配件等内容，交与甲方验收。 2.若验收合格，甲方出具维修维保验收合格单作为对乙方维修保养的最终认可；若验收不合格的，乙方应立即安排免费返修；返修后验收仍不合格的，甲方有权解除合同，合同自书面解除通知送达乙方之日起解除，乙方应按照合同总价的10%向甲方支付违约金，违约金不足以弥补甲方损失的，乙方另行承担。</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第一年维保期开始后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第二年维保期开始后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第三年维保期开始后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详见竞争性磋商文件、采购合同及采购人要求</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1、本项目所属行业：其他未列明行业。从业人员300人以下的为中小微型企业。其中，从业人员100人及以上的为中型企业；从业人员10人及以上的为小型企业；从业人员10人以下的为微型企业。 2、为顺利推进政府采购电子化交易平台应用工作，中标供应商需要在领取成交通知书时向代理机构提供纸质版响应文件正本壹份、副本贰份。 若电子投标文件与纸质版投标文件不一致的，以电子投标文件为准。纸质版文件提交地址为：西安市未央区北二环大明宫立交桥百寰国际2705室。 3、政府采购异常低价审查： a、政府采购评审中出现下列情形之一的，评审委员会应当启动异常低价投标（响应）审查程序：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⑤相关法律法规对供应商报价有规定的，从其规定。 b、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异常低价投标（响应）审查的启动原因、审查意见和审查结果应当在评审报告中记录，并随供应商提供的相关书面说明及证明材料，以及评审委员会有关互联网浏览、查询历史一并归档。</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2024或2025年度经审计的财务报告或在2025年11月01日至今其基本开户银行出具的资信证明或财政部门认可的政府采购专业担保机构出具的投标担保函（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独立承担民事责任的能力</w:t>
            </w:r>
          </w:p>
        </w:tc>
        <w:tc>
          <w:tcPr>
            <w:tcW w:type="dxa" w:w="3322"/>
          </w:tcPr>
          <w:p>
            <w:pPr>
              <w:pStyle w:val="null3"/>
            </w:pPr>
            <w:r>
              <w:rPr>
                <w:rFonts w:ascii="仿宋_GB2312" w:hAnsi="仿宋_GB2312" w:cs="仿宋_GB2312" w:eastAsia="仿宋_GB2312"/>
              </w:rPr>
              <w:t>独立承担民事责任的能力：合法注册的法人应提供营业执照（或事业法人证）、 组织机构代码证、税务登记证或统一社会信用代码的营业执照或其他组织应提供合法证明文件或自然人提供身份证件；供应商需在项目电子化交易系统中按要求上传相应证明文件并进行电子签章。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良好的商业信誉和健全的财务会计制度</w:t>
            </w:r>
          </w:p>
        </w:tc>
        <w:tc>
          <w:tcPr>
            <w:tcW w:type="dxa" w:w="3322"/>
          </w:tcPr>
          <w:p>
            <w:pPr>
              <w:pStyle w:val="null3"/>
            </w:pPr>
            <w:r>
              <w:rPr>
                <w:rFonts w:ascii="仿宋_GB2312" w:hAnsi="仿宋_GB2312" w:cs="仿宋_GB2312" w:eastAsia="仿宋_GB2312"/>
              </w:rPr>
              <w:t>良好的商业信誉和健全的财务会计制度：2024或2025年度经审计的财务报告或在2025年11月01日至今其基本开户银行出具的资信证明或财政部门认可的政府采购专业担保机构出具的投标担保函（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有依法缴纳税收和社会保障资金的良好记录：提供时间在2025年11月01日至今任意一个月的缴纳证明；供应商需在项目电子化交易系统中按要求上传相应证明文件并进行电子签章。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书面声明：①参加政府采购活动前三年内，在经营活动中没有重大违法记录的书面声明；②具有履行本合同所必需的设备和专业技术能力的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法律、行政法规规定的其他条件：法定代表人直接参加投标的，须提供法定代表人身份证明；法定代表人授权代表参加投标的，须提供法定代表人授权委托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供应商企业关系关联及联合体说明</w:t>
            </w:r>
          </w:p>
        </w:tc>
        <w:tc>
          <w:tcPr>
            <w:tcW w:type="dxa" w:w="3322"/>
          </w:tcPr>
          <w:p>
            <w:pPr>
              <w:pStyle w:val="null3"/>
            </w:pPr>
            <w:r>
              <w:rPr>
                <w:rFonts w:ascii="仿宋_GB2312" w:hAnsi="仿宋_GB2312" w:cs="仿宋_GB2312" w:eastAsia="仿宋_GB2312"/>
              </w:rPr>
              <w:t>供应商企业关系关联及联合体说明：本项目不接受联合体磋商，单位负责人为同一人或者存在直接控股、管理关系的不同供应商，不得参加同一合同项下的政府采购活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备注</w:t>
            </w:r>
          </w:p>
        </w:tc>
        <w:tc>
          <w:tcPr>
            <w:tcW w:type="dxa" w:w="3322"/>
          </w:tcPr>
          <w:p>
            <w:pPr>
              <w:pStyle w:val="null3"/>
            </w:pPr>
            <w:r>
              <w:rPr>
                <w:rFonts w:ascii="仿宋_GB2312" w:hAnsi="仿宋_GB2312" w:cs="仿宋_GB2312" w:eastAsia="仿宋_GB2312"/>
              </w:rPr>
              <w:t>备注：①以上为供应商的必备资格要求，资格证明文件无效或缺项的响应文件按无效文件处理；②分支机构参与投标时，须提供分支机构符合资格要求的证明文件；③书面声明、法定代表人身份证明和法定代表人授权委托书应按竞争性磋商文件的要求填写，响应文件中必须附原件，其他资格证明文件提供复印件并加盖供应商公章；④依法免税或不需要缴纳社会保障资金的供应商须提供相应证明文件；事业单位法人可不提供财务状况报告、缴纳税收证明及社会保障资金缴纳证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第一次磋商报价表.docx 标的清单 报价表 响应函 磋商函.docx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响应文件有效期是否符合竞争性磋商文件要求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响应文件是否符合竞争性磋商文件签字、盖章要求</w:t>
            </w:r>
          </w:p>
        </w:tc>
        <w:tc>
          <w:tcPr>
            <w:tcW w:type="dxa" w:w="1661"/>
          </w:tcPr>
          <w:p>
            <w:pPr>
              <w:pStyle w:val="null3"/>
            </w:pPr>
            <w:r>
              <w:rPr>
                <w:rFonts w:ascii="仿宋_GB2312" w:hAnsi="仿宋_GB2312" w:cs="仿宋_GB2312" w:eastAsia="仿宋_GB2312"/>
              </w:rPr>
              <w:t>供应商参加政府采购活动承诺书.docx 7.服务承诺.docx 3.服务质量保障措施.docx 8.业绩.docx 中小企业声明函 5.应急方案.docx 报价表 6.售后服务保障措施.docx 资格证明文件.docx 其他需要提交的资料.docx 响应文件封面 4.人员配置.docx 第一次磋商报价表.docx 残疾人福利性单位声明函 技术、商务条款响应偏离表.docx 服务方案 标的清单 2.保密措施.docx 响应函 监狱企业的证明文件 磋商函.docx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保证金缴纳凭证</w:t>
            </w:r>
          </w:p>
        </w:tc>
        <w:tc>
          <w:tcPr>
            <w:tcW w:type="dxa" w:w="3322"/>
          </w:tcPr>
          <w:p>
            <w:pPr>
              <w:pStyle w:val="null3"/>
            </w:pPr>
            <w:r>
              <w:rPr>
                <w:rFonts w:ascii="仿宋_GB2312" w:hAnsi="仿宋_GB2312" w:cs="仿宋_GB2312" w:eastAsia="仿宋_GB2312"/>
              </w:rPr>
              <w:t>提供保证金转账凭证或担保机构出具的保函是否符合竞争性磋商文件要求</w:t>
            </w:r>
          </w:p>
        </w:tc>
        <w:tc>
          <w:tcPr>
            <w:tcW w:type="dxa" w:w="1661"/>
          </w:tcPr>
          <w:p>
            <w:pPr>
              <w:pStyle w:val="null3"/>
            </w:pPr>
            <w:r>
              <w:rPr>
                <w:rFonts w:ascii="仿宋_GB2312" w:hAnsi="仿宋_GB2312" w:cs="仿宋_GB2312" w:eastAsia="仿宋_GB2312"/>
              </w:rPr>
              <w:t>其他需要提交的资料.docx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（1）磋商报价是否符合唯一性要求： （2）计量单位、报价货币均是否符合磋商文件要求； （3）未超出采购预算或竞争性磋商文件规定的最高限价。</w:t>
            </w:r>
          </w:p>
        </w:tc>
        <w:tc>
          <w:tcPr>
            <w:tcW w:type="dxa" w:w="1661"/>
          </w:tcPr>
          <w:p>
            <w:pPr>
              <w:pStyle w:val="null3"/>
            </w:pPr>
            <w:r>
              <w:rPr>
                <w:rFonts w:ascii="仿宋_GB2312" w:hAnsi="仿宋_GB2312" w:cs="仿宋_GB2312" w:eastAsia="仿宋_GB2312"/>
              </w:rPr>
              <w:t>第一次磋商报价表.docx 中小企业声明函 残疾人福利性单位声明函 标的清单 报价表 监狱企业的证明文件 磋商函.docx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本项目专门面向中小企业采购</w:t>
            </w:r>
          </w:p>
        </w:tc>
        <w:tc>
          <w:tcPr>
            <w:tcW w:type="dxa" w:w="3322"/>
          </w:tcPr>
          <w:p>
            <w:pPr>
              <w:pStyle w:val="null3"/>
            </w:pPr>
            <w:r>
              <w:rPr>
                <w:rFonts w:ascii="仿宋_GB2312" w:hAnsi="仿宋_GB2312" w:cs="仿宋_GB2312" w:eastAsia="仿宋_GB2312"/>
              </w:rPr>
              <w:t>供应商是否提供了有效的中小企业声明函或监狱企业证明函或残疾人福利性单位声明函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无其他磋商文件或法规明确规定响应无效的事项</w:t>
            </w:r>
          </w:p>
        </w:tc>
        <w:tc>
          <w:tcPr>
            <w:tcW w:type="dxa" w:w="3322"/>
          </w:tcPr>
          <w:p>
            <w:pPr>
              <w:pStyle w:val="null3"/>
            </w:pPr>
            <w:r>
              <w:rPr>
                <w:rFonts w:ascii="仿宋_GB2312" w:hAnsi="仿宋_GB2312" w:cs="仿宋_GB2312" w:eastAsia="仿宋_GB2312"/>
              </w:rPr>
              <w:t>完全理解并接受法律法规和竞争性磋商文件对供应商的各项须知、规约要求和责任义务，没有出现法律法规或竞争性磋商文件明确规定的其他被视为“无效投标”的情形。</w:t>
            </w:r>
          </w:p>
        </w:tc>
        <w:tc>
          <w:tcPr>
            <w:tcW w:type="dxa" w:w="1661"/>
          </w:tcPr>
          <w:p>
            <w:pPr>
              <w:pStyle w:val="null3"/>
            </w:pPr>
            <w:r>
              <w:rPr>
                <w:rFonts w:ascii="仿宋_GB2312" w:hAnsi="仿宋_GB2312" w:cs="仿宋_GB2312" w:eastAsia="仿宋_GB2312"/>
              </w:rPr>
              <w:t>供应商参加政府采购活动承诺书.docx 7.服务承诺.docx 3.服务质量保障措施.docx 8.业绩.docx 中小企业声明函 5.应急方案.docx 报价表 6.售后服务保障措施.docx 资格证明文件.docx 其他需要提交的资料.docx 响应文件封面 4.人员配置.docx 第一次磋商报价表.docx 残疾人福利性单位声明函 技术、商务条款响应偏离表.docx 服务方案 标的清单 2.保密措施.docx 响应函 监狱企业的证明文件 磋商函.docx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供应商针对本项目制定专门的维保服务方案，包括①对维保设备的熟悉程度及维保服务目标、②定期维保及专项维保服务内容、③故障维修服务流程、④年度维保报告的制定方案等。 二、评审标准 1、完整性：方案必须全面，对评审内容中的各项要求有详细描述； 2、可实施性：切合本项目实际情况，提出步骤清晰、合理的方案； 3、针对性：方案能够紧扣项目实际情况，内容科学合理。 三、赋分标准（满分24分） 每小项：每完全满足一个评审标准得2分，每小项满分6分；共4小项，满分24分。 备注：满足评审标准是指：内容不能逻辑混乱、描述过于简单、与项目特点不匹配、要求的内容有遗漏、出现常识性错误、存在不适用项目实际情况的情形、只有标题没有实质性内容以及套用挪用别的项目内容等情况。</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一、评审内容 供应商针对本项目制定专门的保密措施，包括①维保过程中电子数据的保密措施、②维保现场管理的保密及应对措施； 二、评审标准 1、完整性：方案必须全面，对评审内容中的各项要求有详细描述； 2、可实施性：切合本项目实际情况，提出步骤清晰、合理的方案； 3、针对性：方案能够紧扣项目实际情况，内容科学合理。 三、赋分标准（满分6分） 每小项：每完全满足一个评审标准得1分，每小项满分3分；共2小项，满分6分。 备注：满足评审标准是指：内容不能逻辑混乱、描述过于简单、与项目特点不匹配、要求的内容有遗漏、出现常识性错误、存在不适用项目实际情况的情形、只有标题没有实质性内容以及套用挪用别的项目内容等情况。</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2.保密措施.docx</w:t>
            </w:r>
          </w:p>
        </w:tc>
      </w:tr>
      <w:tr>
        <w:tc>
          <w:tcPr>
            <w:tcW w:type="dxa" w:w="831"/>
            <w:vMerge/>
          </w:tcPr>
          <w:p/>
        </w:tc>
        <w:tc>
          <w:tcPr>
            <w:tcW w:type="dxa" w:w="1661"/>
          </w:tcPr>
          <w:p>
            <w:pPr>
              <w:pStyle w:val="null3"/>
            </w:pPr>
            <w:r>
              <w:rPr>
                <w:rFonts w:ascii="仿宋_GB2312" w:hAnsi="仿宋_GB2312" w:cs="仿宋_GB2312" w:eastAsia="仿宋_GB2312"/>
              </w:rPr>
              <w:t>服务质量保障措施</w:t>
            </w:r>
          </w:p>
        </w:tc>
        <w:tc>
          <w:tcPr>
            <w:tcW w:type="dxa" w:w="2492"/>
          </w:tcPr>
          <w:p>
            <w:pPr>
              <w:pStyle w:val="null3"/>
            </w:pPr>
            <w:r>
              <w:rPr>
                <w:rFonts w:ascii="仿宋_GB2312" w:hAnsi="仿宋_GB2312" w:cs="仿宋_GB2312" w:eastAsia="仿宋_GB2312"/>
              </w:rPr>
              <w:t>一、评审内容 供应商针对本项目制定专门的服务质量保障措施，包括①服务质量控制方案、②更换配件质量的保证措施、③维保档案管理及移交措施、④维修服务工具的专业性（提供工具清单及工具图片）、⑤服务期间安全规范保证措施。 二、评审标准 1、完整性：方案必须全面，对评审内容中的各项要求有详细描述； 2、可实施性：切合本项目实际情况，提出步骤清晰、合理的方案； 3、针对性：方案能够紧扣项目实际情况，内容科学合理。 三、赋分标准（满分15分） 每小项：每完全满足一个评审标准得1分，每小项满分3分；共5小项，满分15分。 备注：满足评审标准是指：内容不能逻辑混乱、描述过于简单、与项目特点不匹配、要求的内容有遗漏、出现常识性错误、存在不适用项目实际情况的情形、只有标题没有实质性内容以及套用挪用别的项目内容等情况。</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3.服务质量保障措施.docx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一、评审内容 供应商针对本项目拟提供的人员安排，数量及专业性须满足维保服务要求，提供拟派遣人员基本信息、以及相关从业证书等证明材料，包括①数量（至少应由3名人员组成，其中包含一名项目经理，项目经理需提供近6个月内单位为其缴纳的参保缴费证明）；②专业性（提供国家相关职能部门颁发的设备管理与维修专业的工程师资格证书等）；③各专业人员责任制度及职责划分； 二、评审标准 1、完整性：信息及证明资料全面，完整； 2、可实施性：切合本项目实际情况； 3、针对性：人员配置专业齐全、合理。 三、赋分标准（满分9分） 每小项：每完全满足一个评审标准得1分，每小项满分3分；共3小项，满分9分。 备注：满足评审标准是指：内容不能逻辑混乱、描述过于简单、与项目特点不匹配、要求的内容有遗漏、出现常识性错误、存在不适用项目实际情况的情形、只有标题没有实质性内容以及套用挪用别的项目内容等情况。</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4.人员配置.docx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一、评审内容 供应商针对本项目制定专门的应急方案，包括①维保设备运行中可能出现的突发情况的响应与处置应急方案、②备品备件保障应急方案、③针对本项目提供其他应急应对方案。 二、评审标准 1、完整性：信息及证明资料全面，完整； 2、可实施性：切合本项目实际情况。 3、针对性：人员配置专业齐全、合理。 三、赋分标准（满分9分） 每小项：每完全满足一个评审标准得1分，每小项满分3分；共3小项，满分9分。 备注：满足评审标准是指：内容不能逻辑混乱、描述过于简单、与项目特点不匹配、要求的内容有遗漏、出现常识性错误、存在不适用项目实际情况的情形、只有标题没有实质性内容以及套用挪用别的项目内容等情况。</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5.应急方案.docx</w:t>
            </w:r>
          </w:p>
        </w:tc>
      </w:tr>
      <w:tr>
        <w:tc>
          <w:tcPr>
            <w:tcW w:type="dxa" w:w="831"/>
            <w:vMerge/>
          </w:tcPr>
          <w:p/>
        </w:tc>
        <w:tc>
          <w:tcPr>
            <w:tcW w:type="dxa" w:w="1661"/>
          </w:tcPr>
          <w:p>
            <w:pPr>
              <w:pStyle w:val="null3"/>
            </w:pPr>
            <w:r>
              <w:rPr>
                <w:rFonts w:ascii="仿宋_GB2312" w:hAnsi="仿宋_GB2312" w:cs="仿宋_GB2312" w:eastAsia="仿宋_GB2312"/>
              </w:rPr>
              <w:t>售后服务保障措施</w:t>
            </w:r>
          </w:p>
        </w:tc>
        <w:tc>
          <w:tcPr>
            <w:tcW w:type="dxa" w:w="2492"/>
          </w:tcPr>
          <w:p>
            <w:pPr>
              <w:pStyle w:val="null3"/>
            </w:pPr>
            <w:r>
              <w:rPr>
                <w:rFonts w:ascii="仿宋_GB2312" w:hAnsi="仿宋_GB2312" w:cs="仿宋_GB2312" w:eastAsia="仿宋_GB2312"/>
              </w:rPr>
              <w:t>一、评审内容 供应商针对本项目制定专门的售后服务保障方案，包括①售后服务内容、②售后服务机构信息、③设备维保后持续出现问题的解决方案及预防措施、④设备数据的备份等。 二、评审标准 1、完整性：方案必须全面，对评审内容中的各项要求有详细描述； 2、可实施性：切合本项目实际情况，提出步骤清晰、合理的方案。 3、针对性：方案能够紧扣项目实际情况，内容科学合理。 三、赋分标准（满分12分） 每小项：每完全满足一个评审标准得1分，每小项满分3分；共4小项，满分12分。 备注：满足评审标准是指：内容不能逻辑混乱、描述过于简单、与项目特点不匹配、要求的内容有遗漏、出现常识性错误、存在不适用项目实际情况的情形、只有标题没有实质性内容以及套用挪用别的项目内容等情况。</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6.售后服务保障措施.docx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项目制定专门的的服务承诺，包括①维保服务质量承诺、②、设备保证开机率及正常使用的承诺、③根据采购人意见及时调整人员及维保方案的承诺、④在维保过程中与采购人积极配合，确保患者正常就诊的保障承诺、⑤其他供应商认为应承诺的内容。所作承诺内容具体、可行，每小项计0-1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7.服务承诺.docx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 2023年 1 月 1 日至今（以合同签订时间为准）类似业绩合同，每提供一份得 2 分，满分10分。 注：需提供合同复印件，所提供资料缺失或资料不全的不得分。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价格分采用低价优先法计算，即满足竞争性磋商文件要求且报价最低的磋商报价为评标基准价，其价格分为满分。其他供应商的价格分统一按照下列公式计算： 磋商报价得分=（评标基准价/磋商报价）×10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磋商函.docx</w:t>
            </w:r>
          </w:p>
          <w:p>
            <w:pPr>
              <w:pStyle w:val="null3"/>
            </w:pPr>
            <w:r>
              <w:rPr>
                <w:rFonts w:ascii="仿宋_GB2312" w:hAnsi="仿宋_GB2312" w:cs="仿宋_GB2312" w:eastAsia="仿宋_GB2312"/>
              </w:rPr>
              <w:t>第一次磋商报价表.docx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详见附件：磋商函.docx</w:t>
      </w:r>
    </w:p>
    <w:p>
      <w:pPr>
        <w:pStyle w:val="null3"/>
        <w:ind w:firstLine="960"/>
      </w:pPr>
      <w:r>
        <w:rPr>
          <w:rFonts w:ascii="仿宋_GB2312" w:hAnsi="仿宋_GB2312" w:cs="仿宋_GB2312" w:eastAsia="仿宋_GB2312"/>
        </w:rPr>
        <w:t>详见附件：第一次磋商报价表.docx</w:t>
      </w:r>
    </w:p>
    <w:p>
      <w:pPr>
        <w:pStyle w:val="null3"/>
        <w:ind w:firstLine="960"/>
      </w:pPr>
      <w:r>
        <w:rPr>
          <w:rFonts w:ascii="仿宋_GB2312" w:hAnsi="仿宋_GB2312" w:cs="仿宋_GB2312" w:eastAsia="仿宋_GB2312"/>
        </w:rPr>
        <w:t>详见附件：技术、商务条款响应偏离表.docx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详见附件：供应商参加政府采购活动承诺书.docx</w:t>
      </w:r>
    </w:p>
    <w:p>
      <w:pPr>
        <w:pStyle w:val="null3"/>
        <w:ind w:firstLine="960"/>
      </w:pPr>
      <w:r>
        <w:rPr>
          <w:rFonts w:ascii="仿宋_GB2312" w:hAnsi="仿宋_GB2312" w:cs="仿宋_GB2312" w:eastAsia="仿宋_GB2312"/>
        </w:rPr>
        <w:t>详见附件：其他需要提交的资料.docx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详见附件：2.保密措施.docx</w:t>
      </w:r>
    </w:p>
    <w:p>
      <w:pPr>
        <w:pStyle w:val="null3"/>
        <w:ind w:firstLine="960"/>
      </w:pPr>
      <w:r>
        <w:rPr>
          <w:rFonts w:ascii="仿宋_GB2312" w:hAnsi="仿宋_GB2312" w:cs="仿宋_GB2312" w:eastAsia="仿宋_GB2312"/>
        </w:rPr>
        <w:t>详见附件：3.服务质量保障措施.docx</w:t>
      </w:r>
    </w:p>
    <w:p>
      <w:pPr>
        <w:pStyle w:val="null3"/>
        <w:ind w:firstLine="960"/>
      </w:pPr>
      <w:r>
        <w:rPr>
          <w:rFonts w:ascii="仿宋_GB2312" w:hAnsi="仿宋_GB2312" w:cs="仿宋_GB2312" w:eastAsia="仿宋_GB2312"/>
        </w:rPr>
        <w:t>详见附件：4.人员配置.docx</w:t>
      </w:r>
    </w:p>
    <w:p>
      <w:pPr>
        <w:pStyle w:val="null3"/>
        <w:ind w:firstLine="960"/>
      </w:pPr>
      <w:r>
        <w:rPr>
          <w:rFonts w:ascii="仿宋_GB2312" w:hAnsi="仿宋_GB2312" w:cs="仿宋_GB2312" w:eastAsia="仿宋_GB2312"/>
        </w:rPr>
        <w:t>详见附件：5.应急方案.docx</w:t>
      </w:r>
    </w:p>
    <w:p>
      <w:pPr>
        <w:pStyle w:val="null3"/>
        <w:ind w:firstLine="960"/>
      </w:pPr>
      <w:r>
        <w:rPr>
          <w:rFonts w:ascii="仿宋_GB2312" w:hAnsi="仿宋_GB2312" w:cs="仿宋_GB2312" w:eastAsia="仿宋_GB2312"/>
        </w:rPr>
        <w:t>详见附件：6.售后服务保障措施.docx</w:t>
      </w:r>
    </w:p>
    <w:p>
      <w:pPr>
        <w:pStyle w:val="null3"/>
        <w:ind w:firstLine="960"/>
      </w:pPr>
      <w:r>
        <w:rPr>
          <w:rFonts w:ascii="仿宋_GB2312" w:hAnsi="仿宋_GB2312" w:cs="仿宋_GB2312" w:eastAsia="仿宋_GB2312"/>
        </w:rPr>
        <w:t>详见附件：7.服务承诺.docx</w:t>
      </w:r>
    </w:p>
    <w:p>
      <w:pPr>
        <w:pStyle w:val="null3"/>
        <w:ind w:firstLine="960"/>
      </w:pPr>
      <w:r>
        <w:rPr>
          <w:rFonts w:ascii="仿宋_GB2312" w:hAnsi="仿宋_GB2312" w:cs="仿宋_GB2312" w:eastAsia="仿宋_GB2312"/>
        </w:rPr>
        <w:t>详见附件：8.业绩.docx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详见附件：拟签订合同条款及格式.docx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