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保密措施</w:t>
      </w:r>
    </w:p>
    <w:p w14:paraId="061814A9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 w:val="0"/>
          <w:bCs w:val="0"/>
          <w:sz w:val="28"/>
          <w:szCs w:val="28"/>
          <w:lang w:val="en-US" w:eastAsia="zh-CN"/>
        </w:rPr>
        <w:t>供应商根据本项目制定保密措施，格式自拟。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051303DF"/>
    <w:rsid w:val="2FB74786"/>
    <w:rsid w:val="36AF5145"/>
    <w:rsid w:val="3CD72B49"/>
    <w:rsid w:val="48C14CEB"/>
    <w:rsid w:val="5B7A4125"/>
    <w:rsid w:val="66810B5B"/>
    <w:rsid w:val="6D887843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2026-05-15T06:17:45Z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855C2DF3B6A44AB1BCD7AA5F5944B944_13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