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应急方案</w:t>
      </w:r>
    </w:p>
    <w:p w14:paraId="0EA0A167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089BDD39">
      <w:pPr>
        <w:jc w:val="center"/>
        <w:rPr>
          <w:rFonts w:hint="default"/>
          <w:b w:val="0"/>
          <w:bCs w:val="0"/>
          <w:sz w:val="28"/>
          <w:szCs w:val="28"/>
          <w:lang w:val="en-US" w:eastAsia="zh-CN"/>
        </w:rPr>
      </w:pPr>
      <w:bookmarkStart w:id="0" w:name="_GoBack"/>
      <w:r>
        <w:rPr>
          <w:rFonts w:hint="default"/>
          <w:b w:val="0"/>
          <w:bCs w:val="0"/>
          <w:sz w:val="28"/>
          <w:szCs w:val="28"/>
          <w:lang w:val="en-US" w:eastAsia="zh-CN"/>
        </w:rPr>
        <w:t>供应商根据本项目制定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应急方案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，格式自拟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051303DF"/>
    <w:rsid w:val="09F22179"/>
    <w:rsid w:val="2FB74786"/>
    <w:rsid w:val="36AF5145"/>
    <w:rsid w:val="48C14CEB"/>
    <w:rsid w:val="5B7A4125"/>
    <w:rsid w:val="621C5EEE"/>
    <w:rsid w:val="79A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2026-05-15T06:19:02Z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9A3D5F224E704D809796F2F12DF244B5_13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