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C28950">
      <w:pPr>
        <w:pStyle w:val="2"/>
        <w:spacing w:before="0" w:after="0" w:line="360" w:lineRule="auto"/>
        <w:rPr>
          <w:rFonts w:ascii="宋体" w:hAnsi="宋体" w:cs="宋体"/>
          <w:color w:val="000000" w:themeColor="text1"/>
          <w14:textFill>
            <w14:solidFill>
              <w14:schemeClr w14:val="tx1"/>
            </w14:solidFill>
          </w14:textFill>
        </w:rPr>
      </w:pPr>
      <w:bookmarkStart w:id="0" w:name="_Toc16354"/>
      <w:bookmarkStart w:id="1" w:name="_Toc20180"/>
      <w:bookmarkStart w:id="2" w:name="_Toc32103"/>
      <w:r>
        <w:rPr>
          <w:rFonts w:hint="eastAsia" w:ascii="宋体" w:hAnsi="宋体" w:cs="宋体"/>
          <w:color w:val="000000" w:themeColor="text1"/>
          <w:lang w:val="en-US" w:eastAsia="zh-CN"/>
          <w14:textFill>
            <w14:solidFill>
              <w14:schemeClr w14:val="tx1"/>
            </w14:solidFill>
          </w14:textFill>
        </w:rPr>
        <w:t>拟签订</w:t>
      </w:r>
      <w:r>
        <w:rPr>
          <w:rFonts w:hint="eastAsia" w:ascii="宋体" w:hAnsi="宋体" w:cs="宋体"/>
          <w:color w:val="000000" w:themeColor="text1"/>
          <w14:textFill>
            <w14:solidFill>
              <w14:schemeClr w14:val="tx1"/>
            </w14:solidFill>
          </w14:textFill>
        </w:rPr>
        <w:t>合同条款及格式</w:t>
      </w:r>
      <w:bookmarkEnd w:id="0"/>
    </w:p>
    <w:p w14:paraId="44571735">
      <w:pPr>
        <w:spacing w:line="360" w:lineRule="auto"/>
        <w:jc w:val="center"/>
        <w:rPr>
          <w:rFonts w:hint="eastAsia" w:ascii="Times New Roman" w:hAnsi="Times New Roman" w:eastAsia="宋体" w:cs="Times New Roman"/>
          <w:b/>
          <w:bCs w:val="0"/>
          <w:kern w:val="44"/>
          <w:sz w:val="28"/>
          <w:szCs w:val="28"/>
          <w:highlight w:val="none"/>
          <w:lang w:val="en-US" w:eastAsia="zh-CN" w:bidi="ar-SA"/>
        </w:rPr>
      </w:pPr>
      <w:r>
        <w:rPr>
          <w:rFonts w:hint="eastAsia" w:ascii="Times New Roman" w:hAnsi="Times New Roman" w:eastAsia="宋体" w:cs="Times New Roman"/>
          <w:b/>
          <w:bCs w:val="0"/>
          <w:kern w:val="44"/>
          <w:sz w:val="28"/>
          <w:szCs w:val="28"/>
          <w:highlight w:val="none"/>
          <w:lang w:val="en-US" w:eastAsia="zh-CN" w:bidi="ar-SA"/>
        </w:rPr>
        <w:t>（此合同为参考合同，具体以甲乙双方协商为准）</w:t>
      </w:r>
      <w:bookmarkEnd w:id="1"/>
      <w:bookmarkEnd w:id="2"/>
    </w:p>
    <w:p w14:paraId="4920F2BB">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auto"/>
          <w:sz w:val="24"/>
          <w:szCs w:val="24"/>
          <w:highlight w:val="none"/>
        </w:rPr>
      </w:pPr>
    </w:p>
    <w:p w14:paraId="285ADB71">
      <w:pPr>
        <w:spacing w:line="640" w:lineRule="exact"/>
        <w:jc w:val="center"/>
        <w:rPr>
          <w:rFonts w:hint="eastAsia" w:ascii="宋体" w:hAnsi="宋体" w:cs="宋体"/>
          <w:b/>
          <w:color w:val="000000" w:themeColor="text1"/>
          <w:sz w:val="44"/>
          <w:szCs w:val="44"/>
          <w:lang w:eastAsia="zh-CN"/>
          <w14:textFill>
            <w14:solidFill>
              <w14:schemeClr w14:val="tx1"/>
            </w14:solidFill>
          </w14:textFill>
        </w:rPr>
      </w:pPr>
    </w:p>
    <w:p w14:paraId="3410442D">
      <w:pPr>
        <w:spacing w:line="640" w:lineRule="exact"/>
        <w:jc w:val="center"/>
        <w:rPr>
          <w:rFonts w:ascii="宋体" w:hAnsi="宋体" w:cs="宋体"/>
          <w:b/>
          <w:color w:val="000000" w:themeColor="text1"/>
          <w:sz w:val="22"/>
          <w:szCs w:val="22"/>
          <w14:textFill>
            <w14:solidFill>
              <w14:schemeClr w14:val="tx1"/>
            </w14:solidFill>
          </w14:textFill>
        </w:rPr>
      </w:pPr>
      <w:r>
        <w:rPr>
          <w:rFonts w:hint="eastAsia" w:ascii="宋体" w:hAnsi="宋体" w:cs="宋体"/>
          <w:b/>
          <w:color w:val="000000" w:themeColor="text1"/>
          <w:sz w:val="44"/>
          <w:szCs w:val="44"/>
          <w:lang w:eastAsia="zh-CN"/>
          <w14:textFill>
            <w14:solidFill>
              <w14:schemeClr w14:val="tx1"/>
            </w14:solidFill>
          </w14:textFill>
        </w:rPr>
        <w:t>（</w:t>
      </w:r>
      <w:r>
        <w:rPr>
          <w:rFonts w:hint="eastAsia" w:ascii="宋体" w:hAnsi="宋体" w:cs="宋体"/>
          <w:b/>
          <w:color w:val="000000" w:themeColor="text1"/>
          <w:sz w:val="44"/>
          <w:szCs w:val="44"/>
          <w:lang w:val="en-US" w:eastAsia="zh-CN"/>
          <w14:textFill>
            <w14:solidFill>
              <w14:schemeClr w14:val="tx1"/>
            </w14:solidFill>
          </w14:textFill>
        </w:rPr>
        <w:t>项目名称</w:t>
      </w:r>
      <w:r>
        <w:rPr>
          <w:rFonts w:hint="eastAsia" w:ascii="宋体" w:hAnsi="宋体" w:cs="宋体"/>
          <w:b/>
          <w:color w:val="000000" w:themeColor="text1"/>
          <w:sz w:val="44"/>
          <w:szCs w:val="44"/>
          <w:lang w:eastAsia="zh-CN"/>
          <w14:textFill>
            <w14:solidFill>
              <w14:schemeClr w14:val="tx1"/>
            </w14:solidFill>
          </w14:textFill>
        </w:rPr>
        <w:t>）</w:t>
      </w:r>
    </w:p>
    <w:p w14:paraId="6F144631">
      <w:pPr>
        <w:spacing w:line="640" w:lineRule="exact"/>
        <w:jc w:val="center"/>
        <w:rPr>
          <w:rFonts w:ascii="宋体" w:hAnsi="宋体" w:cs="宋体"/>
          <w:b/>
          <w:color w:val="000000" w:themeColor="text1"/>
          <w:sz w:val="28"/>
          <w:szCs w:val="28"/>
          <w14:textFill>
            <w14:solidFill>
              <w14:schemeClr w14:val="tx1"/>
            </w14:solidFill>
          </w14:textFill>
        </w:rPr>
      </w:pPr>
    </w:p>
    <w:p w14:paraId="77D5A974">
      <w:pPr>
        <w:spacing w:line="640" w:lineRule="exact"/>
        <w:jc w:val="center"/>
        <w:rPr>
          <w:rFonts w:ascii="宋体" w:hAnsi="宋体" w:cs="宋体"/>
          <w:b/>
          <w:color w:val="000000" w:themeColor="text1"/>
          <w:sz w:val="28"/>
          <w:szCs w:val="28"/>
          <w14:textFill>
            <w14:solidFill>
              <w14:schemeClr w14:val="tx1"/>
            </w14:solidFill>
          </w14:textFill>
        </w:rPr>
      </w:pPr>
    </w:p>
    <w:p w14:paraId="5AD2B775">
      <w:pPr>
        <w:spacing w:line="640" w:lineRule="exact"/>
        <w:jc w:val="center"/>
        <w:rPr>
          <w:rFonts w:ascii="宋体" w:hAnsi="宋体" w:cs="宋体"/>
          <w:b/>
          <w:color w:val="000000" w:themeColor="text1"/>
          <w:sz w:val="52"/>
          <w:szCs w:val="52"/>
          <w14:textFill>
            <w14:solidFill>
              <w14:schemeClr w14:val="tx1"/>
            </w14:solidFill>
          </w14:textFill>
        </w:rPr>
      </w:pPr>
      <w:r>
        <w:rPr>
          <w:rFonts w:hint="eastAsia" w:ascii="宋体" w:hAnsi="宋体" w:cs="宋体"/>
          <w:b/>
          <w:color w:val="000000" w:themeColor="text1"/>
          <w:sz w:val="52"/>
          <w:szCs w:val="52"/>
          <w14:textFill>
            <w14:solidFill>
              <w14:schemeClr w14:val="tx1"/>
            </w14:solidFill>
          </w14:textFill>
        </w:rPr>
        <w:t>合</w:t>
      </w:r>
    </w:p>
    <w:p w14:paraId="60D4E822">
      <w:pPr>
        <w:spacing w:line="640" w:lineRule="exact"/>
        <w:jc w:val="center"/>
        <w:rPr>
          <w:rFonts w:ascii="宋体" w:hAnsi="宋体" w:cs="宋体"/>
          <w:b/>
          <w:color w:val="000000" w:themeColor="text1"/>
          <w:sz w:val="52"/>
          <w:szCs w:val="52"/>
          <w14:textFill>
            <w14:solidFill>
              <w14:schemeClr w14:val="tx1"/>
            </w14:solidFill>
          </w14:textFill>
        </w:rPr>
      </w:pPr>
    </w:p>
    <w:p w14:paraId="62DA3804">
      <w:pPr>
        <w:spacing w:line="640" w:lineRule="exact"/>
        <w:jc w:val="center"/>
        <w:rPr>
          <w:rFonts w:ascii="宋体" w:hAnsi="宋体" w:cs="宋体"/>
          <w:b/>
          <w:color w:val="000000" w:themeColor="text1"/>
          <w:sz w:val="52"/>
          <w:szCs w:val="52"/>
          <w14:textFill>
            <w14:solidFill>
              <w14:schemeClr w14:val="tx1"/>
            </w14:solidFill>
          </w14:textFill>
        </w:rPr>
      </w:pPr>
      <w:r>
        <w:rPr>
          <w:rFonts w:hint="eastAsia" w:ascii="宋体" w:hAnsi="宋体" w:cs="宋体"/>
          <w:b/>
          <w:color w:val="000000" w:themeColor="text1"/>
          <w:sz w:val="52"/>
          <w:szCs w:val="52"/>
          <w14:textFill>
            <w14:solidFill>
              <w14:schemeClr w14:val="tx1"/>
            </w14:solidFill>
          </w14:textFill>
        </w:rPr>
        <w:t>同</w:t>
      </w:r>
    </w:p>
    <w:p w14:paraId="68A3DF39">
      <w:pPr>
        <w:spacing w:line="640" w:lineRule="exact"/>
        <w:jc w:val="center"/>
        <w:rPr>
          <w:rFonts w:ascii="宋体" w:hAnsi="宋体" w:cs="宋体"/>
          <w:b/>
          <w:color w:val="000000" w:themeColor="text1"/>
          <w:sz w:val="52"/>
          <w:szCs w:val="52"/>
          <w14:textFill>
            <w14:solidFill>
              <w14:schemeClr w14:val="tx1"/>
            </w14:solidFill>
          </w14:textFill>
        </w:rPr>
      </w:pPr>
    </w:p>
    <w:p w14:paraId="71B76B84">
      <w:pPr>
        <w:spacing w:line="640" w:lineRule="exact"/>
        <w:jc w:val="center"/>
        <w:rPr>
          <w:rFonts w:ascii="宋体" w:hAnsi="宋体" w:cs="宋体"/>
          <w:b/>
          <w:color w:val="000000" w:themeColor="text1"/>
          <w:sz w:val="44"/>
          <w:szCs w:val="44"/>
          <w14:textFill>
            <w14:solidFill>
              <w14:schemeClr w14:val="tx1"/>
            </w14:solidFill>
          </w14:textFill>
        </w:rPr>
      </w:pPr>
      <w:r>
        <w:rPr>
          <w:rFonts w:hint="eastAsia" w:ascii="宋体" w:hAnsi="宋体" w:cs="宋体"/>
          <w:b/>
          <w:color w:val="000000" w:themeColor="text1"/>
          <w:sz w:val="52"/>
          <w:szCs w:val="52"/>
          <w14:textFill>
            <w14:solidFill>
              <w14:schemeClr w14:val="tx1"/>
            </w14:solidFill>
          </w14:textFill>
        </w:rPr>
        <w:t>书</w:t>
      </w:r>
    </w:p>
    <w:p w14:paraId="24A490AE">
      <w:pPr>
        <w:spacing w:line="640" w:lineRule="exact"/>
        <w:jc w:val="center"/>
        <w:rPr>
          <w:rFonts w:ascii="宋体" w:hAnsi="宋体" w:cs="宋体"/>
          <w:b/>
          <w:color w:val="000000" w:themeColor="text1"/>
          <w:sz w:val="28"/>
          <w:szCs w:val="28"/>
          <w14:textFill>
            <w14:solidFill>
              <w14:schemeClr w14:val="tx1"/>
            </w14:solidFill>
          </w14:textFill>
        </w:rPr>
      </w:pPr>
    </w:p>
    <w:p w14:paraId="584F2213">
      <w:pPr>
        <w:spacing w:line="640" w:lineRule="exact"/>
        <w:jc w:val="center"/>
        <w:rPr>
          <w:rFonts w:ascii="宋体" w:hAnsi="宋体" w:cs="宋体"/>
          <w:b/>
          <w:color w:val="000000" w:themeColor="text1"/>
          <w:sz w:val="28"/>
          <w:szCs w:val="28"/>
          <w14:textFill>
            <w14:solidFill>
              <w14:schemeClr w14:val="tx1"/>
            </w14:solidFill>
          </w14:textFill>
        </w:rPr>
      </w:pPr>
    </w:p>
    <w:p w14:paraId="6EDB1BF3">
      <w:pPr>
        <w:adjustRightInd w:val="0"/>
        <w:snapToGrid w:val="0"/>
        <w:spacing w:line="640" w:lineRule="exact"/>
        <w:jc w:val="left"/>
        <w:rPr>
          <w:rFonts w:ascii="Arial" w:cs="Arial"/>
          <w:b/>
          <w:color w:val="000000" w:themeColor="text1"/>
          <w:sz w:val="28"/>
          <w:szCs w:val="21"/>
          <w14:textFill>
            <w14:solidFill>
              <w14:schemeClr w14:val="tx1"/>
            </w14:solidFill>
          </w14:textFill>
        </w:rPr>
      </w:pPr>
    </w:p>
    <w:p w14:paraId="66CC2C71">
      <w:pPr>
        <w:adjustRightInd w:val="0"/>
        <w:snapToGrid w:val="0"/>
        <w:spacing w:line="640" w:lineRule="exact"/>
        <w:jc w:val="left"/>
        <w:rPr>
          <w:rFonts w:ascii="Arial" w:cs="Arial"/>
          <w:b/>
          <w:color w:val="000000" w:themeColor="text1"/>
          <w:sz w:val="28"/>
          <w:szCs w:val="21"/>
          <w14:textFill>
            <w14:solidFill>
              <w14:schemeClr w14:val="tx1"/>
            </w14:solidFill>
          </w14:textFill>
        </w:rPr>
      </w:pPr>
    </w:p>
    <w:p w14:paraId="41D1CBEF">
      <w:pPr>
        <w:adjustRightInd w:val="0"/>
        <w:snapToGrid w:val="0"/>
        <w:spacing w:line="640" w:lineRule="exact"/>
        <w:jc w:val="left"/>
        <w:rPr>
          <w:rFonts w:ascii="Arial" w:cs="Arial"/>
          <w:b/>
          <w:color w:val="000000" w:themeColor="text1"/>
          <w:sz w:val="28"/>
          <w:szCs w:val="21"/>
          <w14:textFill>
            <w14:solidFill>
              <w14:schemeClr w14:val="tx1"/>
            </w14:solidFill>
          </w14:textFill>
        </w:rPr>
      </w:pPr>
    </w:p>
    <w:p w14:paraId="28896458">
      <w:pPr>
        <w:spacing w:line="640" w:lineRule="exact"/>
        <w:ind w:firstLine="2108" w:firstLineChars="750"/>
        <w:jc w:val="left"/>
        <w:rPr>
          <w:rFonts w:ascii="宋体" w:hAnsi="宋体" w:cs="宋体"/>
          <w:b/>
          <w:color w:val="000000" w:themeColor="text1"/>
          <w:sz w:val="28"/>
          <w:szCs w:val="28"/>
          <w:u w:val="single"/>
          <w14:textFill>
            <w14:solidFill>
              <w14:schemeClr w14:val="tx1"/>
            </w14:solidFill>
          </w14:textFill>
        </w:rPr>
      </w:pPr>
      <w:r>
        <w:rPr>
          <w:rFonts w:hint="eastAsia" w:ascii="宋体" w:hAnsi="宋体" w:cs="宋体"/>
          <w:b/>
          <w:color w:val="000000" w:themeColor="text1"/>
          <w:sz w:val="28"/>
          <w:szCs w:val="28"/>
          <w14:textFill>
            <w14:solidFill>
              <w14:schemeClr w14:val="tx1"/>
            </w14:solidFill>
          </w14:textFill>
        </w:rPr>
        <w:t xml:space="preserve">甲    方： </w:t>
      </w:r>
    </w:p>
    <w:p w14:paraId="39DB599D">
      <w:pPr>
        <w:spacing w:line="640" w:lineRule="exact"/>
        <w:ind w:firstLine="2108" w:firstLineChars="750"/>
        <w:jc w:val="left"/>
        <w:rPr>
          <w:rFonts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8"/>
          <w:szCs w:val="28"/>
          <w14:textFill>
            <w14:solidFill>
              <w14:schemeClr w14:val="tx1"/>
            </w14:solidFill>
          </w14:textFill>
        </w:rPr>
        <w:t xml:space="preserve">乙    方：  </w:t>
      </w:r>
    </w:p>
    <w:p w14:paraId="2F09A71D">
      <w:pPr>
        <w:spacing w:line="640" w:lineRule="exact"/>
        <w:ind w:firstLine="2108" w:firstLineChars="750"/>
        <w:jc w:val="left"/>
        <w:rPr>
          <w:rFonts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8"/>
          <w:szCs w:val="28"/>
          <w14:textFill>
            <w14:solidFill>
              <w14:schemeClr w14:val="tx1"/>
            </w14:solidFill>
          </w14:textFill>
        </w:rPr>
        <w:t xml:space="preserve">签订地点： </w:t>
      </w:r>
    </w:p>
    <w:p w14:paraId="2A161D56">
      <w:pPr>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br w:type="page"/>
      </w:r>
    </w:p>
    <w:p w14:paraId="355B1108">
      <w:pPr>
        <w:spacing w:line="360" w:lineRule="auto"/>
        <w:rPr>
          <w:rFonts w:hint="eastAsia" w:ascii="宋体" w:hAnsi="宋体" w:eastAsia="宋体" w:cs="宋体"/>
          <w:color w:val="000000" w:themeColor="text1"/>
          <w:lang w:eastAsia="zh-CN"/>
          <w14:textFill>
            <w14:solidFill>
              <w14:schemeClr w14:val="tx1"/>
            </w14:solidFill>
          </w14:textFill>
        </w:rPr>
      </w:pPr>
      <w:r>
        <w:rPr>
          <w:rFonts w:hint="eastAsia" w:ascii="宋体" w:hAnsi="宋体" w:cs="宋体"/>
          <w:color w:val="000000" w:themeColor="text1"/>
          <w14:textFill>
            <w14:solidFill>
              <w14:schemeClr w14:val="tx1"/>
            </w14:solidFill>
          </w14:textFill>
        </w:rPr>
        <w:t>甲方（以下称为甲方）：</w:t>
      </w:r>
      <w:r>
        <w:rPr>
          <w:rFonts w:hint="eastAsia" w:ascii="宋体" w:hAnsi="宋体" w:cs="宋体"/>
          <w:color w:val="000000" w:themeColor="text1"/>
          <w:lang w:val="en-US" w:eastAsia="zh-CN"/>
          <w14:textFill>
            <w14:solidFill>
              <w14:schemeClr w14:val="tx1"/>
            </w14:solidFill>
          </w14:textFill>
        </w:rPr>
        <w:t xml:space="preserve"> </w:t>
      </w:r>
    </w:p>
    <w:p w14:paraId="01A92EE3">
      <w:pPr>
        <w:spacing w:line="360" w:lineRule="auto"/>
        <w:rPr>
          <w:rFonts w:hint="eastAsia" w:ascii="宋体" w:hAnsi="宋体" w:eastAsia="宋体" w:cs="宋体"/>
          <w:color w:val="000000" w:themeColor="text1"/>
          <w:lang w:eastAsia="zh-CN"/>
          <w14:textFill>
            <w14:solidFill>
              <w14:schemeClr w14:val="tx1"/>
            </w14:solidFill>
          </w14:textFill>
        </w:rPr>
      </w:pPr>
      <w:r>
        <w:rPr>
          <w:rFonts w:hint="eastAsia" w:ascii="宋体" w:hAnsi="宋体" w:cs="宋体"/>
          <w:color w:val="000000" w:themeColor="text1"/>
          <w14:textFill>
            <w14:solidFill>
              <w14:schemeClr w14:val="tx1"/>
            </w14:solidFill>
          </w14:textFill>
        </w:rPr>
        <w:t>地址：</w:t>
      </w:r>
      <w:r>
        <w:rPr>
          <w:rFonts w:hint="eastAsia" w:ascii="宋体" w:hAnsi="宋体" w:cs="宋体"/>
          <w:color w:val="000000" w:themeColor="text1"/>
          <w:lang w:val="en-US" w:eastAsia="zh-CN"/>
          <w14:textFill>
            <w14:solidFill>
              <w14:schemeClr w14:val="tx1"/>
            </w14:solidFill>
          </w14:textFill>
        </w:rPr>
        <w:t xml:space="preserve"> </w:t>
      </w:r>
    </w:p>
    <w:p w14:paraId="527858CF">
      <w:pPr>
        <w:spacing w:line="360" w:lineRule="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 xml:space="preserve">法定代表人：               </w:t>
      </w:r>
    </w:p>
    <w:p w14:paraId="6DF3ECB1">
      <w:pPr>
        <w:spacing w:line="360" w:lineRule="auto"/>
        <w:rPr>
          <w:rFonts w:ascii="宋体" w:hAnsi="宋体" w:cs="宋体"/>
          <w:color w:val="000000" w:themeColor="text1"/>
          <w14:textFill>
            <w14:solidFill>
              <w14:schemeClr w14:val="tx1"/>
            </w14:solidFill>
          </w14:textFill>
        </w:rPr>
      </w:pPr>
    </w:p>
    <w:p w14:paraId="41CC3265">
      <w:pPr>
        <w:spacing w:line="360" w:lineRule="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 xml:space="preserve">乙方（以下称为乙方）：                  </w:t>
      </w:r>
    </w:p>
    <w:p w14:paraId="51B61C57">
      <w:pPr>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14:textFill>
            <w14:solidFill>
              <w14:schemeClr w14:val="tx1"/>
            </w14:solidFill>
          </w14:textFill>
        </w:rPr>
        <w:t>地址：</w:t>
      </w:r>
    </w:p>
    <w:p w14:paraId="526A12AA">
      <w:pPr>
        <w:spacing w:line="360" w:lineRule="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 xml:space="preserve">法定代表人：  </w:t>
      </w:r>
    </w:p>
    <w:p w14:paraId="4A5AF486">
      <w:pPr>
        <w:spacing w:line="360" w:lineRule="auto"/>
        <w:ind w:firstLine="480" w:firstLineChars="200"/>
        <w:rPr>
          <w:rFonts w:ascii="宋体" w:hAnsi="宋体" w:cs="宋体"/>
          <w:color w:val="000000" w:themeColor="text1"/>
          <w14:textFill>
            <w14:solidFill>
              <w14:schemeClr w14:val="tx1"/>
            </w14:solidFill>
          </w14:textFill>
        </w:rPr>
      </w:pPr>
    </w:p>
    <w:p w14:paraId="1E63A0AF">
      <w:pPr>
        <w:spacing w:line="360" w:lineRule="auto"/>
        <w:ind w:firstLine="48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为保证甲方</w:t>
      </w:r>
      <w:r>
        <w:rPr>
          <w:rFonts w:hint="eastAsia" w:ascii="宋体" w:hAnsi="宋体" w:cs="宋体"/>
          <w:color w:val="000000" w:themeColor="text1"/>
          <w:u w:val="single"/>
          <w14:textFill>
            <w14:solidFill>
              <w14:schemeClr w14:val="tx1"/>
            </w14:solidFill>
          </w14:textFill>
        </w:rPr>
        <w:t xml:space="preserve">             </w:t>
      </w:r>
      <w:r>
        <w:rPr>
          <w:rFonts w:hint="eastAsia" w:ascii="宋体" w:hAnsi="宋体" w:cs="宋体"/>
          <w:color w:val="000000" w:themeColor="text1"/>
          <w14:textFill>
            <w14:solidFill>
              <w14:schemeClr w14:val="tx1"/>
            </w14:solidFill>
          </w14:textFill>
        </w:rPr>
        <w:t>设备正常运行，经友好协商，甲乙双方签定本协议，共同信守。</w:t>
      </w:r>
    </w:p>
    <w:p w14:paraId="1D09E550">
      <w:pPr>
        <w:pStyle w:val="28"/>
        <w:adjustRightInd w:val="0"/>
        <w:snapToGrid w:val="0"/>
        <w:spacing w:before="120" w:beforeLines="50" w:after="120" w:afterLines="50" w:line="360" w:lineRule="auto"/>
        <w:ind w:left="720" w:hanging="720" w:firstLineChars="0"/>
        <w:rPr>
          <w:rFonts w:ascii="宋体" w:hAnsi="宋体" w:cs="宋体"/>
          <w:b/>
          <w:color w:val="000000" w:themeColor="text1"/>
          <w14:textFill>
            <w14:solidFill>
              <w14:schemeClr w14:val="tx1"/>
            </w14:solidFill>
          </w14:textFill>
        </w:rPr>
      </w:pPr>
      <w:r>
        <w:rPr>
          <w:rFonts w:hint="eastAsia" w:ascii="宋体" w:hAnsi="宋体" w:cs="宋体"/>
          <w:b/>
          <w:color w:val="000000" w:themeColor="text1"/>
          <w14:textFill>
            <w14:solidFill>
              <w14:schemeClr w14:val="tx1"/>
            </w14:solidFill>
          </w14:textFill>
        </w:rPr>
        <w:t>一、保修及保养合同内容</w:t>
      </w:r>
    </w:p>
    <w:p w14:paraId="33476D42">
      <w:pPr>
        <w:widowControl/>
        <w:wordWrap w:val="0"/>
        <w:adjustRightInd w:val="0"/>
        <w:snapToGrid w:val="0"/>
        <w:spacing w:line="360" w:lineRule="auto"/>
        <w:ind w:firstLine="480" w:firstLineChars="200"/>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cs="宋体"/>
          <w:color w:val="000000" w:themeColor="text1"/>
          <w:szCs w:val="24"/>
          <w:highlight w:val="none"/>
          <w14:textFill>
            <w14:solidFill>
              <w14:schemeClr w14:val="tx1"/>
            </w14:solidFill>
          </w14:textFill>
        </w:rPr>
        <w:t>为</w:t>
      </w:r>
      <w:r>
        <w:rPr>
          <w:rFonts w:hint="eastAsia" w:ascii="宋体" w:hAnsi="宋体" w:cs="宋体"/>
          <w:color w:val="000000" w:themeColor="text1"/>
          <w:szCs w:val="24"/>
          <w:highlight w:val="none"/>
          <w:u w:val="single"/>
          <w14:textFill>
            <w14:solidFill>
              <w14:schemeClr w14:val="tx1"/>
            </w14:solidFill>
          </w14:textFill>
        </w:rPr>
        <w:t xml:space="preserve">           </w:t>
      </w:r>
      <w:r>
        <w:rPr>
          <w:rFonts w:hint="eastAsia" w:ascii="宋体" w:hAnsi="宋体" w:cs="宋体"/>
          <w:color w:val="000000" w:themeColor="text1"/>
          <w:szCs w:val="24"/>
          <w:highlight w:val="none"/>
          <w14:textFill>
            <w14:solidFill>
              <w14:schemeClr w14:val="tx1"/>
            </w14:solidFill>
          </w14:textFill>
        </w:rPr>
        <w:t>项目，该维保内容含维保期间所有零配件等</w:t>
      </w:r>
      <w:r>
        <w:rPr>
          <w:rFonts w:hint="eastAsia" w:ascii="宋体" w:hAnsi="宋体" w:cs="宋体"/>
          <w:color w:val="000000" w:themeColor="text1"/>
          <w:szCs w:val="24"/>
          <w:highlight w:val="none"/>
          <w:lang w:eastAsia="zh-CN"/>
          <w14:textFill>
            <w14:solidFill>
              <w14:schemeClr w14:val="tx1"/>
            </w14:solidFill>
          </w14:textFill>
        </w:rPr>
        <w:t>。</w:t>
      </w:r>
    </w:p>
    <w:p w14:paraId="75C4E709">
      <w:pPr>
        <w:widowControl/>
        <w:wordWrap w:val="0"/>
        <w:adjustRightInd w:val="0"/>
        <w:snapToGrid w:val="0"/>
        <w:spacing w:line="360" w:lineRule="auto"/>
        <w:rPr>
          <w:rFonts w:ascii="宋体" w:hAnsi="宋体" w:cs="宋体"/>
          <w:b/>
          <w:bCs/>
          <w:color w:val="000000" w:themeColor="text1"/>
          <w:szCs w:val="24"/>
          <w14:textFill>
            <w14:solidFill>
              <w14:schemeClr w14:val="tx1"/>
            </w14:solidFill>
          </w14:textFill>
        </w:rPr>
      </w:pPr>
      <w:r>
        <w:rPr>
          <w:rFonts w:hint="eastAsia" w:ascii="宋体" w:hAnsi="宋体" w:cs="宋体"/>
          <w:b/>
          <w:bCs/>
          <w:color w:val="000000" w:themeColor="text1"/>
          <w:szCs w:val="24"/>
          <w14:textFill>
            <w14:solidFill>
              <w14:schemeClr w14:val="tx1"/>
            </w14:solidFill>
          </w14:textFill>
        </w:rPr>
        <w:t>二、合同履行期限：</w:t>
      </w:r>
      <w:r>
        <w:rPr>
          <w:rFonts w:hint="eastAsia" w:ascii="宋体" w:hAnsi="宋体" w:cs="宋体"/>
          <w:color w:val="000000" w:themeColor="text1"/>
          <w:szCs w:val="24"/>
          <w14:textFill>
            <w14:solidFill>
              <w14:schemeClr w14:val="tx1"/>
            </w14:solidFill>
          </w14:textFill>
        </w:rPr>
        <w:t>自合同签订之日起</w:t>
      </w:r>
      <w:r>
        <w:rPr>
          <w:rFonts w:hint="eastAsia" w:ascii="宋体" w:hAnsi="宋体" w:cs="宋体"/>
          <w:color w:val="000000" w:themeColor="text1"/>
          <w:szCs w:val="24"/>
          <w:lang w:val="en-US" w:eastAsia="zh-CN"/>
          <w14:textFill>
            <w14:solidFill>
              <w14:schemeClr w14:val="tx1"/>
            </w14:solidFill>
          </w14:textFill>
        </w:rPr>
        <w:t>3</w:t>
      </w:r>
      <w:r>
        <w:rPr>
          <w:rFonts w:hint="eastAsia" w:ascii="宋体" w:hAnsi="宋体" w:cs="宋体"/>
          <w:color w:val="000000" w:themeColor="text1"/>
          <w:szCs w:val="24"/>
          <w14:textFill>
            <w14:solidFill>
              <w14:schemeClr w14:val="tx1"/>
            </w14:solidFill>
          </w14:textFill>
        </w:rPr>
        <w:t>年。</w:t>
      </w:r>
    </w:p>
    <w:p w14:paraId="1DE04560">
      <w:pPr>
        <w:widowControl/>
        <w:wordWrap w:val="0"/>
        <w:adjustRightInd w:val="0"/>
        <w:snapToGrid w:val="0"/>
        <w:spacing w:line="360" w:lineRule="auto"/>
        <w:rPr>
          <w:rFonts w:ascii="宋体" w:hAnsi="宋体" w:cs="宋体"/>
          <w:b/>
          <w:bCs/>
          <w:color w:val="000000" w:themeColor="text1"/>
          <w:szCs w:val="24"/>
          <w14:textFill>
            <w14:solidFill>
              <w14:schemeClr w14:val="tx1"/>
            </w14:solidFill>
          </w14:textFill>
        </w:rPr>
      </w:pPr>
      <w:r>
        <w:rPr>
          <w:rFonts w:hint="eastAsia" w:ascii="宋体" w:hAnsi="宋体" w:cs="宋体"/>
          <w:b/>
          <w:bCs/>
          <w:color w:val="000000" w:themeColor="text1"/>
          <w:szCs w:val="24"/>
          <w14:textFill>
            <w14:solidFill>
              <w14:schemeClr w14:val="tx1"/>
            </w14:solidFill>
          </w14:textFill>
        </w:rPr>
        <w:t>三、保修类型和范围：</w:t>
      </w:r>
    </w:p>
    <w:p w14:paraId="3FD22627">
      <w:pPr>
        <w:widowControl/>
        <w:wordWrap w:val="0"/>
        <w:adjustRightInd w:val="0"/>
        <w:snapToGrid w:val="0"/>
        <w:spacing w:line="360" w:lineRule="auto"/>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（一）保修类型：</w:t>
      </w:r>
    </w:p>
    <w:p w14:paraId="7C0E7B6F">
      <w:pPr>
        <w:widowControl/>
        <w:wordWrap w:val="0"/>
        <w:adjustRightInd w:val="0"/>
        <w:snapToGrid w:val="0"/>
        <w:spacing w:line="360" w:lineRule="auto"/>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（二）保修范围：见附件所注明具体保修或升级的详细项目清单及范围。</w:t>
      </w:r>
    </w:p>
    <w:p w14:paraId="52A24649">
      <w:pPr>
        <w:widowControl/>
        <w:wordWrap w:val="0"/>
        <w:adjustRightInd w:val="0"/>
        <w:snapToGrid w:val="0"/>
        <w:spacing w:line="360" w:lineRule="auto"/>
        <w:rPr>
          <w:rFonts w:ascii="宋体" w:hAnsi="宋体" w:cs="宋体"/>
          <w:b/>
          <w:bCs/>
          <w:color w:val="000000" w:themeColor="text1"/>
          <w:szCs w:val="24"/>
          <w14:textFill>
            <w14:solidFill>
              <w14:schemeClr w14:val="tx1"/>
            </w14:solidFill>
          </w14:textFill>
        </w:rPr>
      </w:pPr>
      <w:r>
        <w:rPr>
          <w:rFonts w:hint="eastAsia" w:ascii="宋体" w:hAnsi="宋体" w:cs="宋体"/>
          <w:b/>
          <w:bCs/>
          <w:color w:val="000000" w:themeColor="text1"/>
          <w:szCs w:val="24"/>
          <w14:textFill>
            <w14:solidFill>
              <w14:schemeClr w14:val="tx1"/>
            </w14:solidFill>
          </w14:textFill>
        </w:rPr>
        <w:t>（注：结合不同设备的具体情况，甲乙双方协商一致后制定详细的维修和保养的项目清单及范围，并作为合同附件附于合同后。）</w:t>
      </w:r>
    </w:p>
    <w:p w14:paraId="366F4D31">
      <w:pPr>
        <w:widowControl/>
        <w:wordWrap w:val="0"/>
        <w:adjustRightInd w:val="0"/>
        <w:snapToGrid w:val="0"/>
        <w:spacing w:line="360" w:lineRule="auto"/>
        <w:rPr>
          <w:rFonts w:ascii="宋体" w:hAnsi="宋体" w:cs="宋体"/>
          <w:b/>
          <w:bCs/>
          <w:color w:val="000000" w:themeColor="text1"/>
          <w:szCs w:val="24"/>
          <w14:textFill>
            <w14:solidFill>
              <w14:schemeClr w14:val="tx1"/>
            </w14:solidFill>
          </w14:textFill>
        </w:rPr>
      </w:pPr>
      <w:r>
        <w:rPr>
          <w:rFonts w:hint="eastAsia" w:ascii="宋体" w:hAnsi="宋体" w:cs="宋体"/>
          <w:b/>
          <w:bCs/>
          <w:color w:val="000000" w:themeColor="text1"/>
          <w:szCs w:val="24"/>
          <w14:textFill>
            <w14:solidFill>
              <w14:schemeClr w14:val="tx1"/>
            </w14:solidFill>
          </w14:textFill>
        </w:rPr>
        <w:t>四、保修期内双方义务</w:t>
      </w:r>
    </w:p>
    <w:p w14:paraId="66F10F24">
      <w:pPr>
        <w:widowControl/>
        <w:wordWrap w:val="0"/>
        <w:adjustRightInd w:val="0"/>
        <w:snapToGrid w:val="0"/>
        <w:spacing w:line="360" w:lineRule="auto"/>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（一）保修期内甲方义务</w:t>
      </w:r>
    </w:p>
    <w:p w14:paraId="48DEB6B6">
      <w:pPr>
        <w:widowControl/>
        <w:wordWrap w:val="0"/>
        <w:adjustRightInd w:val="0"/>
        <w:snapToGrid w:val="0"/>
        <w:spacing w:line="360" w:lineRule="auto"/>
        <w:ind w:firstLine="480" w:firstLineChars="20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1.甲方应保证设备电源质量稳定、可靠，并对设备进行日常清洁保养和基本维护工作，做好故障记录。</w:t>
      </w:r>
    </w:p>
    <w:p w14:paraId="23144DC5">
      <w:pPr>
        <w:widowControl/>
        <w:wordWrap w:val="0"/>
        <w:adjustRightInd w:val="0"/>
        <w:snapToGrid w:val="0"/>
        <w:spacing w:line="360" w:lineRule="auto"/>
        <w:ind w:firstLine="480" w:firstLineChars="20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2.保修期间，甲方提供乙方在甲方的基本工作条件。</w:t>
      </w:r>
    </w:p>
    <w:p w14:paraId="5CF83663">
      <w:pPr>
        <w:widowControl/>
        <w:wordWrap w:val="0"/>
        <w:adjustRightInd w:val="0"/>
        <w:snapToGrid w:val="0"/>
        <w:spacing w:line="360" w:lineRule="auto"/>
        <w:ind w:firstLine="480" w:firstLineChars="20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3.保修期间，甲方有义务保存乙方人员所需的设备资料及故障记录以备使用。</w:t>
      </w:r>
    </w:p>
    <w:p w14:paraId="394B5A2B">
      <w:pPr>
        <w:widowControl/>
        <w:wordWrap w:val="0"/>
        <w:adjustRightInd w:val="0"/>
        <w:snapToGrid w:val="0"/>
        <w:spacing w:line="360" w:lineRule="auto"/>
        <w:ind w:firstLine="480" w:firstLineChars="20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4.保修期间，甲方应该按照设备使用手册的要求正确操作设备，并保证设备使用的电、气和水的正常供应，同时保证设备开启、关闭时的环境处于正常状态。</w:t>
      </w:r>
    </w:p>
    <w:p w14:paraId="1ACEF42C">
      <w:pPr>
        <w:widowControl/>
        <w:wordWrap w:val="0"/>
        <w:adjustRightInd w:val="0"/>
        <w:snapToGrid w:val="0"/>
        <w:spacing w:line="360" w:lineRule="auto"/>
        <w:rPr>
          <w:rFonts w:ascii="宋体" w:hAnsi="宋体" w:cs="宋体"/>
          <w:b/>
          <w:bCs/>
          <w:color w:val="000000" w:themeColor="text1"/>
          <w:szCs w:val="24"/>
          <w14:textFill>
            <w14:solidFill>
              <w14:schemeClr w14:val="tx1"/>
            </w14:solidFill>
          </w14:textFill>
        </w:rPr>
      </w:pPr>
      <w:r>
        <w:rPr>
          <w:rFonts w:hint="eastAsia" w:ascii="宋体" w:hAnsi="宋体" w:cs="宋体"/>
          <w:b/>
          <w:bCs/>
          <w:color w:val="000000" w:themeColor="text1"/>
          <w:szCs w:val="24"/>
          <w14:textFill>
            <w14:solidFill>
              <w14:schemeClr w14:val="tx1"/>
            </w14:solidFill>
          </w14:textFill>
        </w:rPr>
        <w:t>（二）保修期内乙方义务：</w:t>
      </w:r>
    </w:p>
    <w:p w14:paraId="1079F994">
      <w:pPr>
        <w:widowControl/>
        <w:wordWrap w:val="0"/>
        <w:adjustRightInd w:val="0"/>
        <w:snapToGrid w:val="0"/>
        <w:spacing w:line="360" w:lineRule="auto"/>
        <w:ind w:firstLine="480" w:firstLineChars="200"/>
        <w:rPr>
          <w:rFonts w:ascii="宋体" w:hAnsi="宋体" w:cs="宋体"/>
          <w:color w:val="000000" w:themeColor="text1"/>
          <w:szCs w:val="24"/>
          <w:highlight w:val="green"/>
          <w14:textFill>
            <w14:solidFill>
              <w14:schemeClr w14:val="tx1"/>
            </w14:solidFill>
          </w14:textFill>
        </w:rPr>
      </w:pPr>
      <w:r>
        <w:rPr>
          <w:rFonts w:hint="eastAsia" w:ascii="宋体" w:hAnsi="宋体" w:cs="宋体"/>
          <w:color w:val="000000" w:themeColor="text1"/>
          <w:szCs w:val="24"/>
          <w14:textFill>
            <w14:solidFill>
              <w14:schemeClr w14:val="tx1"/>
            </w14:solidFill>
          </w14:textFill>
        </w:rPr>
        <w:t>1.乙方承担上述保修设备责任，提供【  】小时报修及免费技术支持电话，接到故障报修电话通知后【  】分钟之内响应，提供电话、网络等技术支持。如以上技术支持无法解决设备故障，供应商须在【  】小时内到达设备使用现场进行维修，排除故障</w:t>
      </w:r>
      <w:r>
        <w:rPr>
          <w:rFonts w:hint="eastAsia" w:ascii="宋体" w:hAnsi="宋体" w:cs="宋体"/>
          <w:color w:val="000000" w:themeColor="text1"/>
          <w:szCs w:val="24"/>
          <w:highlight w:val="none"/>
          <w14:textFill>
            <w14:solidFill>
              <w14:schemeClr w14:val="tx1"/>
            </w14:solidFill>
          </w14:textFill>
        </w:rPr>
        <w:t>。</w:t>
      </w:r>
      <w:r>
        <w:rPr>
          <w:rFonts w:hint="eastAsia" w:ascii="宋体" w:hAnsi="宋体" w:cs="宋体"/>
          <w:color w:val="000000" w:themeColor="text1"/>
          <w:szCs w:val="24"/>
          <w14:textFill>
            <w14:solidFill>
              <w14:schemeClr w14:val="tx1"/>
            </w14:solidFill>
          </w14:textFill>
        </w:rPr>
        <w:t>【  】</w:t>
      </w:r>
      <w:r>
        <w:rPr>
          <w:rFonts w:hint="eastAsia" w:ascii="宋体" w:hAnsi="宋体" w:cs="宋体"/>
          <w:color w:val="000000" w:themeColor="text1"/>
          <w:szCs w:val="24"/>
          <w:highlight w:val="none"/>
          <w:lang w:val="en-US" w:eastAsia="zh-CN"/>
          <w14:textFill>
            <w14:solidFill>
              <w14:schemeClr w14:val="tx1"/>
            </w14:solidFill>
          </w14:textFill>
        </w:rPr>
        <w:t>小时内无法修复，立即提供相同或更高档次的备用设备免费使用，直至原设备修复完毕。</w:t>
      </w:r>
    </w:p>
    <w:p w14:paraId="32686215">
      <w:pPr>
        <w:widowControl/>
        <w:wordWrap w:val="0"/>
        <w:adjustRightInd w:val="0"/>
        <w:snapToGrid w:val="0"/>
        <w:spacing w:line="360" w:lineRule="auto"/>
        <w:ind w:firstLine="480" w:firstLineChars="20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2.乙方人员在维修期间的往返费用由乙方自理。</w:t>
      </w:r>
    </w:p>
    <w:p w14:paraId="698785C2">
      <w:pPr>
        <w:widowControl/>
        <w:wordWrap w:val="0"/>
        <w:adjustRightInd w:val="0"/>
        <w:snapToGrid w:val="0"/>
        <w:spacing w:line="360" w:lineRule="auto"/>
        <w:ind w:firstLine="480" w:firstLineChars="20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3.为保证甲方设备的正常运行，合同期内必须提供【  】次</w:t>
      </w:r>
      <w:r>
        <w:rPr>
          <w:rFonts w:hint="eastAsia" w:ascii="宋体" w:hAnsi="宋体" w:cs="宋体"/>
          <w:color w:val="000000" w:themeColor="text1"/>
          <w:szCs w:val="24"/>
          <w:lang w:val="en-US" w:eastAsia="zh-CN"/>
          <w14:textFill>
            <w14:solidFill>
              <w14:schemeClr w14:val="tx1"/>
            </w14:solidFill>
          </w14:textFill>
        </w:rPr>
        <w:t>/</w:t>
      </w:r>
      <w:r>
        <w:rPr>
          <w:rFonts w:hint="eastAsia" w:ascii="宋体" w:hAnsi="宋体" w:cs="宋体"/>
          <w:color w:val="000000" w:themeColor="text1"/>
          <w:szCs w:val="24"/>
          <w14:textFill>
            <w14:solidFill>
              <w14:schemeClr w14:val="tx1"/>
            </w14:solidFill>
          </w14:textFill>
        </w:rPr>
        <w:t>年常规机器调试和专业维护保养。按照标准对设备进行校准、检测、主机定期保养，确认各项技术指标和性能，记录设备运行状况，图像质量检查、机除尘清洁、机械安全检查、质量安全检查等，并在预防性维护结束时提供合同设备的主动维护报告及整机质量评估报告。</w:t>
      </w:r>
    </w:p>
    <w:p w14:paraId="0F236448">
      <w:pPr>
        <w:widowControl/>
        <w:wordWrap w:val="0"/>
        <w:adjustRightInd w:val="0"/>
        <w:snapToGrid w:val="0"/>
        <w:spacing w:line="360" w:lineRule="auto"/>
        <w:ind w:firstLine="480" w:firstLineChars="20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4.乙方在系统故障维修过程中，所更换的配件费、人工费、安装调试费及系统软件升级等一切费用包含在合同总价内由乙方承担。</w:t>
      </w:r>
    </w:p>
    <w:p w14:paraId="5BCADAD9">
      <w:pPr>
        <w:widowControl/>
        <w:wordWrap w:val="0"/>
        <w:adjustRightInd w:val="0"/>
        <w:snapToGrid w:val="0"/>
        <w:spacing w:line="360" w:lineRule="auto"/>
        <w:ind w:firstLine="480" w:firstLineChars="20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5.保证在合同服务期内设备开机率≥95%，每超过一天保修延长5天。</w:t>
      </w:r>
    </w:p>
    <w:p w14:paraId="103A959F">
      <w:pPr>
        <w:widowControl/>
        <w:wordWrap w:val="0"/>
        <w:adjustRightInd w:val="0"/>
        <w:snapToGrid w:val="0"/>
        <w:spacing w:line="360" w:lineRule="auto"/>
        <w:ind w:firstLine="480" w:firstLineChars="20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6.保修合同内乙方必须明确注明不在本维保合同内的特殊器件（无），具体内容双方协商签订，双方未做约定的，均属于乙方保修范围。</w:t>
      </w:r>
    </w:p>
    <w:p w14:paraId="454D7C7D">
      <w:pPr>
        <w:widowControl/>
        <w:wordWrap w:val="0"/>
        <w:adjustRightInd w:val="0"/>
        <w:snapToGrid w:val="0"/>
        <w:spacing w:line="360" w:lineRule="auto"/>
        <w:ind w:firstLine="480" w:firstLineChars="20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lang w:val="en-US" w:eastAsia="zh-CN"/>
          <w14:textFill>
            <w14:solidFill>
              <w14:schemeClr w14:val="tx1"/>
            </w14:solidFill>
          </w14:textFill>
        </w:rPr>
        <w:t>7</w:t>
      </w:r>
      <w:r>
        <w:rPr>
          <w:rFonts w:hint="eastAsia" w:ascii="宋体" w:hAnsi="宋体" w:cs="宋体"/>
          <w:color w:val="000000" w:themeColor="text1"/>
          <w:szCs w:val="24"/>
          <w14:textFill>
            <w14:solidFill>
              <w14:schemeClr w14:val="tx1"/>
            </w14:solidFill>
          </w14:textFill>
        </w:rPr>
        <w:t>.乙方承诺需要更换的损耗件及零备件的来源必须符合国家相关法律法规要求，并在合同期内因故障而需要更换的备件，如果需要报关单证明，必须提供并不受数量限制。</w:t>
      </w:r>
    </w:p>
    <w:p w14:paraId="3151257A">
      <w:pPr>
        <w:widowControl/>
        <w:wordWrap w:val="0"/>
        <w:adjustRightInd w:val="0"/>
        <w:snapToGrid w:val="0"/>
        <w:spacing w:line="360" w:lineRule="auto"/>
        <w:ind w:firstLine="480" w:firstLineChars="20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lang w:val="en-US" w:eastAsia="zh-CN"/>
          <w14:textFill>
            <w14:solidFill>
              <w14:schemeClr w14:val="tx1"/>
            </w14:solidFill>
          </w14:textFill>
        </w:rPr>
        <w:t>8</w:t>
      </w:r>
      <w:r>
        <w:rPr>
          <w:rFonts w:hint="eastAsia" w:ascii="宋体" w:hAnsi="宋体" w:cs="宋体"/>
          <w:color w:val="000000" w:themeColor="text1"/>
          <w:szCs w:val="24"/>
          <w14:textFill>
            <w14:solidFill>
              <w14:schemeClr w14:val="tx1"/>
            </w14:solidFill>
          </w14:textFill>
        </w:rPr>
        <w:t>.乙方在保修过程中负责维修工程师、设备及配件的安全，若在维修过程中，因乙方单方面过错导致设备及人员（包括工程师、甲方工作人员及其他第三人）损害的，由乙方承担全部责任。</w:t>
      </w:r>
    </w:p>
    <w:p w14:paraId="11177411">
      <w:pPr>
        <w:widowControl/>
        <w:wordWrap w:val="0"/>
        <w:adjustRightInd w:val="0"/>
        <w:snapToGrid w:val="0"/>
        <w:spacing w:line="360" w:lineRule="auto"/>
        <w:ind w:firstLine="480" w:firstLineChars="20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lang w:val="en-US" w:eastAsia="zh-CN"/>
          <w14:textFill>
            <w14:solidFill>
              <w14:schemeClr w14:val="tx1"/>
            </w14:solidFill>
          </w14:textFill>
        </w:rPr>
        <w:t>9</w:t>
      </w:r>
      <w:r>
        <w:rPr>
          <w:rFonts w:hint="eastAsia" w:ascii="宋体" w:hAnsi="宋体" w:cs="宋体"/>
          <w:color w:val="000000" w:themeColor="text1"/>
          <w:szCs w:val="24"/>
          <w14:textFill>
            <w14:solidFill>
              <w14:schemeClr w14:val="tx1"/>
            </w14:solidFill>
          </w14:textFill>
        </w:rPr>
        <w:t>.若因乙方原因（包括但不限于乙方未尽到维保义务、乙方原因导致设备故障的），导致维保设备工作异常而给甲方患者造成人身损害的，由乙方承担全部赔偿责任。</w:t>
      </w:r>
    </w:p>
    <w:p w14:paraId="4BCC733C">
      <w:pPr>
        <w:widowControl/>
        <w:wordWrap w:val="0"/>
        <w:adjustRightInd w:val="0"/>
        <w:snapToGrid w:val="0"/>
        <w:spacing w:line="360" w:lineRule="auto"/>
        <w:rPr>
          <w:rFonts w:ascii="宋体" w:hAnsi="宋体" w:cs="宋体"/>
          <w:b/>
          <w:bCs/>
          <w:color w:val="000000" w:themeColor="text1"/>
          <w:szCs w:val="24"/>
          <w14:textFill>
            <w14:solidFill>
              <w14:schemeClr w14:val="tx1"/>
            </w14:solidFill>
          </w14:textFill>
        </w:rPr>
      </w:pPr>
      <w:r>
        <w:rPr>
          <w:rFonts w:hint="eastAsia" w:ascii="宋体" w:hAnsi="宋体" w:cs="宋体"/>
          <w:b/>
          <w:bCs/>
          <w:color w:val="000000" w:themeColor="text1"/>
          <w:szCs w:val="24"/>
          <w14:textFill>
            <w14:solidFill>
              <w14:schemeClr w14:val="tx1"/>
            </w14:solidFill>
          </w14:textFill>
        </w:rPr>
        <w:t>五、保修费及支付方式</w:t>
      </w:r>
    </w:p>
    <w:p w14:paraId="7D6DB470">
      <w:pPr>
        <w:widowControl/>
        <w:wordWrap w:val="0"/>
        <w:adjustRightInd w:val="0"/>
        <w:snapToGrid w:val="0"/>
        <w:spacing w:line="360" w:lineRule="auto"/>
        <w:ind w:firstLine="480" w:firstLineChars="20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（一）保修款总额（人民币）：</w:t>
      </w:r>
      <w:r>
        <w:rPr>
          <w:rFonts w:hint="eastAsia" w:ascii="宋体" w:hAnsi="宋体" w:cs="宋体"/>
          <w:color w:val="000000" w:themeColor="text1"/>
          <w:szCs w:val="24"/>
          <w:u w:val="single"/>
          <w14:textFill>
            <w14:solidFill>
              <w14:schemeClr w14:val="tx1"/>
            </w14:solidFill>
          </w14:textFill>
        </w:rPr>
        <w:t xml:space="preserve">     </w:t>
      </w:r>
      <w:r>
        <w:rPr>
          <w:rFonts w:hint="eastAsia" w:ascii="宋体" w:hAnsi="宋体" w:cs="宋体"/>
          <w:color w:val="000000" w:themeColor="text1"/>
          <w:szCs w:val="24"/>
          <w14:textFill>
            <w14:solidFill>
              <w14:schemeClr w14:val="tx1"/>
            </w14:solidFill>
          </w14:textFill>
        </w:rPr>
        <w:t>元， (大写)：</w:t>
      </w:r>
      <w:r>
        <w:rPr>
          <w:rFonts w:hint="eastAsia" w:ascii="宋体" w:hAnsi="宋体" w:cs="宋体"/>
          <w:color w:val="000000" w:themeColor="text1"/>
          <w:szCs w:val="24"/>
          <w:u w:val="single"/>
          <w14:textFill>
            <w14:solidFill>
              <w14:schemeClr w14:val="tx1"/>
            </w14:solidFill>
          </w14:textFill>
        </w:rPr>
        <w:t xml:space="preserve">      </w:t>
      </w:r>
      <w:r>
        <w:rPr>
          <w:rFonts w:hint="eastAsia" w:ascii="宋体" w:hAnsi="宋体" w:cs="宋体"/>
          <w:color w:val="000000" w:themeColor="text1"/>
          <w:szCs w:val="24"/>
          <w14:textFill>
            <w14:solidFill>
              <w14:schemeClr w14:val="tx1"/>
            </w14:solidFill>
          </w14:textFill>
        </w:rPr>
        <w:t>整</w:t>
      </w:r>
    </w:p>
    <w:p w14:paraId="74B01F40">
      <w:pPr>
        <w:widowControl/>
        <w:wordWrap w:val="0"/>
        <w:adjustRightInd w:val="0"/>
        <w:snapToGrid w:val="0"/>
        <w:spacing w:line="360" w:lineRule="auto"/>
        <w:ind w:firstLine="480" w:firstLineChars="20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合同总价包括：合同总价一次性包死，不受市场价格变化因素的影响。除双方另有约定外，合同履行期内甲方无须再向乙方支付任何其他费用。</w:t>
      </w:r>
    </w:p>
    <w:p w14:paraId="23ABD01D">
      <w:pPr>
        <w:widowControl/>
        <w:wordWrap w:val="0"/>
        <w:adjustRightInd w:val="0"/>
        <w:snapToGrid w:val="0"/>
        <w:spacing w:line="360" w:lineRule="auto"/>
        <w:ind w:firstLine="480" w:firstLineChars="20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（二）支付方式：</w:t>
      </w:r>
    </w:p>
    <w:p w14:paraId="19D59889">
      <w:pPr>
        <w:widowControl/>
        <w:wordWrap w:val="0"/>
        <w:adjustRightInd w:val="0"/>
        <w:snapToGrid w:val="0"/>
        <w:spacing w:line="360" w:lineRule="auto"/>
        <w:ind w:firstLine="480" w:firstLineChars="200"/>
        <w:rPr>
          <w:rFonts w:hint="eastAsia"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1.第一期：第一年维保期开始后支付合同总金额的</w:t>
      </w:r>
      <w:r>
        <w:rPr>
          <w:rFonts w:hint="eastAsia" w:ascii="宋体" w:hAnsi="宋体" w:cs="宋体"/>
          <w:color w:val="000000" w:themeColor="text1"/>
          <w:szCs w:val="24"/>
          <w:lang w:val="en-US" w:eastAsia="zh-CN"/>
          <w14:textFill>
            <w14:solidFill>
              <w14:schemeClr w14:val="tx1"/>
            </w14:solidFill>
          </w14:textFill>
        </w:rPr>
        <w:t>60</w:t>
      </w:r>
      <w:r>
        <w:rPr>
          <w:rFonts w:hint="eastAsia" w:ascii="宋体" w:hAnsi="宋体" w:cs="宋体"/>
          <w:color w:val="000000" w:themeColor="text1"/>
          <w:szCs w:val="24"/>
          <w14:textFill>
            <w14:solidFill>
              <w14:schemeClr w14:val="tx1"/>
            </w14:solidFill>
          </w14:textFill>
        </w:rPr>
        <w:t>%；</w:t>
      </w:r>
    </w:p>
    <w:p w14:paraId="5C67FBEE">
      <w:pPr>
        <w:widowControl/>
        <w:wordWrap w:val="0"/>
        <w:adjustRightInd w:val="0"/>
        <w:snapToGrid w:val="0"/>
        <w:spacing w:line="360" w:lineRule="auto"/>
        <w:ind w:firstLine="480" w:firstLineChars="200"/>
        <w:rPr>
          <w:rFonts w:hint="eastAsia"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2.第二期：第二年维保期开始后支付合同总金额的</w:t>
      </w:r>
      <w:r>
        <w:rPr>
          <w:rFonts w:hint="eastAsia" w:ascii="宋体" w:hAnsi="宋体" w:cs="宋体"/>
          <w:color w:val="000000" w:themeColor="text1"/>
          <w:szCs w:val="24"/>
          <w:lang w:val="en-US" w:eastAsia="zh-CN"/>
          <w14:textFill>
            <w14:solidFill>
              <w14:schemeClr w14:val="tx1"/>
            </w14:solidFill>
          </w14:textFill>
        </w:rPr>
        <w:t>30</w:t>
      </w:r>
      <w:r>
        <w:rPr>
          <w:rFonts w:hint="eastAsia" w:ascii="宋体" w:hAnsi="宋体" w:cs="宋体"/>
          <w:color w:val="000000" w:themeColor="text1"/>
          <w:szCs w:val="24"/>
          <w14:textFill>
            <w14:solidFill>
              <w14:schemeClr w14:val="tx1"/>
            </w14:solidFill>
          </w14:textFill>
        </w:rPr>
        <w:t>%；</w:t>
      </w:r>
    </w:p>
    <w:p w14:paraId="37AEDFE7">
      <w:pPr>
        <w:widowControl/>
        <w:wordWrap w:val="0"/>
        <w:adjustRightInd w:val="0"/>
        <w:snapToGrid w:val="0"/>
        <w:spacing w:line="360" w:lineRule="auto"/>
        <w:ind w:firstLine="480" w:firstLineChars="20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3.第三期：第三年维保期开始后支付合同总金额的10% 。</w:t>
      </w:r>
    </w:p>
    <w:p w14:paraId="06A480EA">
      <w:pPr>
        <w:widowControl/>
        <w:wordWrap w:val="0"/>
        <w:adjustRightInd w:val="0"/>
        <w:snapToGrid w:val="0"/>
        <w:spacing w:line="360" w:lineRule="auto"/>
        <w:ind w:firstLine="480" w:firstLineChars="20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（三）乙方应于甲方付款前30个日内向甲方提供全/等额合规发票，乙方未按合同约定提供发票的，甲方付款期限顺延，且不承担任何责任。</w:t>
      </w:r>
    </w:p>
    <w:p w14:paraId="6FF24DC6">
      <w:pPr>
        <w:widowControl/>
        <w:wordWrap w:val="0"/>
        <w:adjustRightInd w:val="0"/>
        <w:snapToGrid w:val="0"/>
        <w:spacing w:line="360" w:lineRule="auto"/>
        <w:rPr>
          <w:rFonts w:ascii="宋体" w:hAnsi="宋体" w:cs="宋体"/>
          <w:b/>
          <w:bCs/>
          <w:color w:val="000000" w:themeColor="text1"/>
          <w:szCs w:val="24"/>
          <w14:textFill>
            <w14:solidFill>
              <w14:schemeClr w14:val="tx1"/>
            </w14:solidFill>
          </w14:textFill>
        </w:rPr>
      </w:pPr>
      <w:r>
        <w:rPr>
          <w:rFonts w:hint="eastAsia" w:ascii="宋体" w:hAnsi="宋体" w:cs="宋体"/>
          <w:b/>
          <w:bCs/>
          <w:color w:val="000000" w:themeColor="text1"/>
          <w:szCs w:val="24"/>
          <w14:textFill>
            <w14:solidFill>
              <w14:schemeClr w14:val="tx1"/>
            </w14:solidFill>
          </w14:textFill>
        </w:rPr>
        <w:t>六、维保验收</w:t>
      </w:r>
      <w:bookmarkStart w:id="3" w:name="_GoBack"/>
      <w:bookmarkEnd w:id="3"/>
    </w:p>
    <w:p w14:paraId="3D9E8AAF">
      <w:pPr>
        <w:widowControl/>
        <w:wordWrap w:val="0"/>
        <w:adjustRightInd w:val="0"/>
        <w:snapToGrid w:val="0"/>
        <w:spacing w:line="360" w:lineRule="auto"/>
        <w:ind w:firstLine="480" w:firstLineChars="20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（一）每次维保完成后，乙方向甲方提供书面《维修保养记录单》包括维修保养项目及更换配件等内容，交与甲方验收。</w:t>
      </w:r>
    </w:p>
    <w:p w14:paraId="063B28D4">
      <w:pPr>
        <w:widowControl/>
        <w:wordWrap w:val="0"/>
        <w:adjustRightInd w:val="0"/>
        <w:snapToGrid w:val="0"/>
        <w:spacing w:line="360" w:lineRule="auto"/>
        <w:ind w:firstLine="480" w:firstLineChars="20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二）若验收合格，甲方出具维修维保验收合格单作为对乙方维修保养的最终认可；若验收不合格的，乙方应立即安排免费返修；返修后验收仍不合格的，甲方有权解除合同，合同自书面解除通知送达乙方之日起解除，乙方应按照合同总价的10%向甲方支付违约金，违约金不足以弥补甲方损失的，乙方另行承担。</w:t>
      </w:r>
    </w:p>
    <w:p w14:paraId="269A0AE9">
      <w:pPr>
        <w:widowControl/>
        <w:wordWrap w:val="0"/>
        <w:adjustRightInd w:val="0"/>
        <w:snapToGrid w:val="0"/>
        <w:spacing w:line="360" w:lineRule="auto"/>
        <w:rPr>
          <w:rFonts w:ascii="宋体" w:hAnsi="宋体" w:cs="宋体"/>
          <w:b/>
          <w:bCs/>
          <w:color w:val="000000" w:themeColor="text1"/>
          <w:szCs w:val="24"/>
          <w14:textFill>
            <w14:solidFill>
              <w14:schemeClr w14:val="tx1"/>
            </w14:solidFill>
          </w14:textFill>
        </w:rPr>
      </w:pPr>
      <w:r>
        <w:rPr>
          <w:rFonts w:hint="eastAsia" w:ascii="宋体" w:hAnsi="宋体" w:cs="宋体"/>
          <w:b/>
          <w:bCs/>
          <w:color w:val="000000" w:themeColor="text1"/>
          <w:szCs w:val="24"/>
          <w14:textFill>
            <w14:solidFill>
              <w14:schemeClr w14:val="tx1"/>
            </w14:solidFill>
          </w14:textFill>
        </w:rPr>
        <w:t>七、违约责任</w:t>
      </w:r>
    </w:p>
    <w:p w14:paraId="7EA14177">
      <w:pPr>
        <w:widowControl/>
        <w:wordWrap w:val="0"/>
        <w:adjustRightInd w:val="0"/>
        <w:snapToGrid w:val="0"/>
        <w:spacing w:line="360" w:lineRule="auto"/>
        <w:ind w:firstLine="480" w:firstLineChars="20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（一）由于公认的不可抗力事件造成的损坏（如自然灾害、爆炸、房屋倒塌、暴乱、坠机及撞蓄意破坏、缺乏燃料或水电、劳资纠纷、罢工等），乙方根据实际情况部分或全部免除责任，但应及时通知甲方。</w:t>
      </w:r>
    </w:p>
    <w:p w14:paraId="0B59749C">
      <w:pPr>
        <w:widowControl/>
        <w:wordWrap w:val="0"/>
        <w:adjustRightInd w:val="0"/>
        <w:snapToGrid w:val="0"/>
        <w:spacing w:line="360" w:lineRule="auto"/>
        <w:ind w:firstLine="480" w:firstLineChars="20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二）因为乙方不履行合同或者履行合同不符合约定给甲方造成损失的，甲方可以书面通知乙方纠正，乙方在收到甲方书面通知30日内未采取纠正措施的，甲方有权单方面接触合同，合同自书面解除通知送达乙方之日起解除，同时，乙方还应按照合同总价的10%向甲方支付违约金，违约金不足以弥补甲方损失的，乙方另行承担。</w:t>
      </w:r>
    </w:p>
    <w:p w14:paraId="01DB3A40">
      <w:pPr>
        <w:widowControl/>
        <w:wordWrap w:val="0"/>
        <w:adjustRightInd w:val="0"/>
        <w:snapToGrid w:val="0"/>
        <w:spacing w:line="360" w:lineRule="auto"/>
        <w:ind w:firstLine="480" w:firstLineChars="20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三）若乙方未能按照合同约定及时响应、排除故障的，累计超过5次，甲方可以书面通知乙方纠正，乙方在收到甲方书面通知30日内未采取纠正措施的，甲方有权单方面解除合同，合同自书面解除通知送达乙方之日起解除，乙方应按照保修款总额的10%向甲方支付违约金，违约金不足以弥补甲方损失的，乙方另行承担。</w:t>
      </w:r>
    </w:p>
    <w:p w14:paraId="525657DB">
      <w:pPr>
        <w:widowControl/>
        <w:wordWrap w:val="0"/>
        <w:adjustRightInd w:val="0"/>
        <w:snapToGrid w:val="0"/>
        <w:spacing w:line="360" w:lineRule="auto"/>
        <w:ind w:firstLine="480" w:firstLineChars="20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四)若乙方未按合同要求提供维保服务或所提供服务质量不能满足甲方需求的，乙方必须提升水平，提高质量，否则，甲方可以书面通知乙方纠正，乙方在收到甲方书面通知30日内未采取纠正措施的，甲方有权单方面解除合同，合同自书面解除通知送达乙方之日起解除，乙方应按照合同总价的10%向甲方支付违约金，违约金不足以弥补甲方损失的，乙方另行承担。</w:t>
      </w:r>
    </w:p>
    <w:p w14:paraId="557545A6">
      <w:pPr>
        <w:widowControl/>
        <w:wordWrap w:val="0"/>
        <w:adjustRightInd w:val="0"/>
        <w:snapToGrid w:val="0"/>
        <w:spacing w:line="360" w:lineRule="auto"/>
        <w:ind w:firstLine="480" w:firstLineChars="20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（五）若经乙方更换后的配件再次出现故障的，乙方应于</w:t>
      </w:r>
      <w:r>
        <w:rPr>
          <w:rFonts w:hint="eastAsia" w:ascii="宋体" w:hAnsi="宋体" w:cs="宋体"/>
          <w:color w:val="000000" w:themeColor="text1"/>
          <w:szCs w:val="24"/>
          <w:highlight w:val="none"/>
          <w14:textFill>
            <w14:solidFill>
              <w14:schemeClr w14:val="tx1"/>
            </w14:solidFill>
          </w14:textFill>
        </w:rPr>
        <w:t>24 小时</w:t>
      </w:r>
      <w:r>
        <w:rPr>
          <w:rFonts w:hint="eastAsia" w:ascii="宋体" w:hAnsi="宋体" w:cs="宋体"/>
          <w:color w:val="000000" w:themeColor="text1"/>
          <w:szCs w:val="24"/>
          <w14:textFill>
            <w14:solidFill>
              <w14:schemeClr w14:val="tx1"/>
            </w14:solidFill>
          </w14:textFill>
        </w:rPr>
        <w:t>内排除故障或重新更换，经乙方提供的配件连续出现故障达到</w:t>
      </w:r>
      <w:r>
        <w:rPr>
          <w:rFonts w:hint="eastAsia" w:ascii="宋体" w:hAnsi="宋体" w:cs="宋体"/>
          <w:color w:val="000000" w:themeColor="text1"/>
          <w:szCs w:val="24"/>
          <w:highlight w:val="none"/>
          <w14:textFill>
            <w14:solidFill>
              <w14:schemeClr w14:val="tx1"/>
            </w14:solidFill>
          </w14:textFill>
        </w:rPr>
        <w:t>两次的</w:t>
      </w:r>
      <w:r>
        <w:rPr>
          <w:rFonts w:hint="eastAsia" w:ascii="宋体" w:hAnsi="宋体" w:cs="宋体"/>
          <w:color w:val="000000" w:themeColor="text1"/>
          <w:szCs w:val="24"/>
          <w14:textFill>
            <w14:solidFill>
              <w14:schemeClr w14:val="tx1"/>
            </w14:solidFill>
          </w14:textFill>
        </w:rPr>
        <w:t>，视为乙方维保质量不合格，乙方应按本合同第七条（四）之约定承担违约责任。</w:t>
      </w:r>
    </w:p>
    <w:p w14:paraId="0EFDE107">
      <w:pPr>
        <w:widowControl/>
        <w:wordWrap w:val="0"/>
        <w:adjustRightInd w:val="0"/>
        <w:snapToGrid w:val="0"/>
        <w:spacing w:line="360" w:lineRule="auto"/>
        <w:ind w:firstLine="480" w:firstLineChars="20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（六）在执行维保合同期间，如双方终止合同，需经双方协商一致解决。</w:t>
      </w:r>
    </w:p>
    <w:p w14:paraId="3CAE765A">
      <w:pPr>
        <w:widowControl/>
        <w:wordWrap w:val="0"/>
        <w:adjustRightInd w:val="0"/>
        <w:snapToGrid w:val="0"/>
        <w:spacing w:line="360" w:lineRule="auto"/>
        <w:ind w:firstLine="480" w:firstLineChars="20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（七）对于本合同中所约定的全部违约金，甲方均有权从未付合同款项中直接扣除，未付款项不足的，由乙方另行向甲方承担。</w:t>
      </w:r>
    </w:p>
    <w:p w14:paraId="0BFF2600">
      <w:pPr>
        <w:widowControl/>
        <w:wordWrap w:val="0"/>
        <w:adjustRightInd w:val="0"/>
        <w:snapToGrid w:val="0"/>
        <w:spacing w:line="360" w:lineRule="auto"/>
        <w:ind w:firstLine="480" w:firstLineChars="20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(八)乙方在保修期内维护保养的次数与内容、更换维修备件的数目及发生的所有费用以双方共同核对为准，保养次数每少一次，扣除合同总价的10%，保养项目每少一项，扣除合同总价的1%，相关文件交甲方存档。</w:t>
      </w:r>
    </w:p>
    <w:p w14:paraId="56619688">
      <w:pPr>
        <w:widowControl/>
        <w:wordWrap w:val="0"/>
        <w:adjustRightInd w:val="0"/>
        <w:snapToGrid w:val="0"/>
        <w:spacing w:line="360" w:lineRule="auto"/>
        <w:ind w:firstLine="482" w:firstLineChars="200"/>
        <w:rPr>
          <w:rFonts w:ascii="宋体" w:hAnsi="宋体" w:cs="宋体"/>
          <w:b/>
          <w:bCs/>
          <w:color w:val="000000" w:themeColor="text1"/>
          <w:szCs w:val="24"/>
          <w14:textFill>
            <w14:solidFill>
              <w14:schemeClr w14:val="tx1"/>
            </w14:solidFill>
          </w14:textFill>
        </w:rPr>
      </w:pPr>
      <w:r>
        <w:rPr>
          <w:rFonts w:hint="eastAsia" w:ascii="宋体" w:hAnsi="宋体" w:cs="宋体"/>
          <w:b/>
          <w:bCs/>
          <w:color w:val="000000" w:themeColor="text1"/>
          <w:szCs w:val="24"/>
          <w14:textFill>
            <w14:solidFill>
              <w14:schemeClr w14:val="tx1"/>
            </w14:solidFill>
          </w14:textFill>
        </w:rPr>
        <w:t>八、争议解决</w:t>
      </w:r>
    </w:p>
    <w:p w14:paraId="78D8B2A6">
      <w:pPr>
        <w:widowControl/>
        <w:wordWrap w:val="0"/>
        <w:adjustRightInd w:val="0"/>
        <w:snapToGrid w:val="0"/>
        <w:spacing w:line="360" w:lineRule="auto"/>
        <w:ind w:firstLine="480" w:firstLineChars="20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双方应本着友好协商的原则解决争议。如协商不成，可向甲方所在地人民法院提起诉讼，本合同适用中华人民共和国法律。</w:t>
      </w:r>
    </w:p>
    <w:p w14:paraId="2C4A82F1">
      <w:pPr>
        <w:widowControl/>
        <w:wordWrap w:val="0"/>
        <w:adjustRightInd w:val="0"/>
        <w:snapToGrid w:val="0"/>
        <w:spacing w:line="360" w:lineRule="auto"/>
        <w:ind w:firstLine="482" w:firstLineChars="200"/>
        <w:rPr>
          <w:rFonts w:ascii="宋体" w:hAnsi="宋体" w:cs="宋体"/>
          <w:b/>
          <w:bCs/>
          <w:color w:val="000000" w:themeColor="text1"/>
          <w:szCs w:val="24"/>
          <w14:textFill>
            <w14:solidFill>
              <w14:schemeClr w14:val="tx1"/>
            </w14:solidFill>
          </w14:textFill>
        </w:rPr>
      </w:pPr>
      <w:r>
        <w:rPr>
          <w:rFonts w:hint="eastAsia" w:ascii="宋体" w:hAnsi="宋体" w:cs="宋体"/>
          <w:b/>
          <w:bCs/>
          <w:color w:val="000000" w:themeColor="text1"/>
          <w:szCs w:val="24"/>
          <w14:textFill>
            <w14:solidFill>
              <w14:schemeClr w14:val="tx1"/>
            </w14:solidFill>
          </w14:textFill>
        </w:rPr>
        <w:t>九、通知</w:t>
      </w:r>
    </w:p>
    <w:p w14:paraId="418E1C1C">
      <w:pPr>
        <w:widowControl/>
        <w:wordWrap w:val="0"/>
        <w:adjustRightInd w:val="0"/>
        <w:snapToGrid w:val="0"/>
        <w:spacing w:line="360" w:lineRule="auto"/>
        <w:ind w:firstLine="480" w:firstLineChars="20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本合同所载签约各方住所地即为各方正常通讯联系地址及相关通知的送达地址，通知采用邮寄方式送达的，自信件或邮件签收、代收、退回之日起视为送达，任何一方如地址发生变更应提前书面告知对方，否则应承担由此产生的法律责任。</w:t>
      </w:r>
    </w:p>
    <w:p w14:paraId="03D93FBC">
      <w:pPr>
        <w:widowControl/>
        <w:wordWrap w:val="0"/>
        <w:adjustRightInd w:val="0"/>
        <w:snapToGrid w:val="0"/>
        <w:spacing w:line="360" w:lineRule="auto"/>
        <w:ind w:firstLine="482" w:firstLineChars="200"/>
        <w:rPr>
          <w:rFonts w:ascii="宋体" w:hAnsi="宋体" w:cs="宋体"/>
          <w:color w:val="000000" w:themeColor="text1"/>
          <w:szCs w:val="24"/>
          <w14:textFill>
            <w14:solidFill>
              <w14:schemeClr w14:val="tx1"/>
            </w14:solidFill>
          </w14:textFill>
        </w:rPr>
      </w:pPr>
      <w:r>
        <w:rPr>
          <w:rFonts w:hint="eastAsia" w:ascii="宋体" w:hAnsi="宋体" w:cs="宋体"/>
          <w:b/>
          <w:bCs/>
          <w:color w:val="000000" w:themeColor="text1"/>
          <w:szCs w:val="24"/>
          <w14:textFill>
            <w14:solidFill>
              <w14:schemeClr w14:val="tx1"/>
            </w14:solidFill>
          </w14:textFill>
        </w:rPr>
        <w:t>十、</w:t>
      </w:r>
      <w:r>
        <w:rPr>
          <w:rFonts w:hint="eastAsia" w:ascii="宋体" w:hAnsi="宋体" w:cs="宋体"/>
          <w:color w:val="000000" w:themeColor="text1"/>
          <w:szCs w:val="24"/>
          <w14:textFill>
            <w14:solidFill>
              <w14:schemeClr w14:val="tx1"/>
            </w14:solidFill>
          </w14:textFill>
        </w:rPr>
        <w:t>本合同一式【】份，甲方【】份，乙方【】份，双方代表签字并盖公章方可生效。</w:t>
      </w:r>
    </w:p>
    <w:p w14:paraId="406EAF71">
      <w:pPr>
        <w:widowControl/>
        <w:wordWrap w:val="0"/>
        <w:adjustRightInd w:val="0"/>
        <w:snapToGrid w:val="0"/>
        <w:spacing w:line="360" w:lineRule="auto"/>
        <w:ind w:firstLine="482" w:firstLineChars="200"/>
        <w:rPr>
          <w:rFonts w:ascii="宋体" w:hAnsi="宋体" w:cs="宋体"/>
          <w:color w:val="000000" w:themeColor="text1"/>
          <w:szCs w:val="24"/>
          <w14:textFill>
            <w14:solidFill>
              <w14:schemeClr w14:val="tx1"/>
            </w14:solidFill>
          </w14:textFill>
        </w:rPr>
      </w:pPr>
      <w:r>
        <w:rPr>
          <w:rFonts w:hint="eastAsia" w:ascii="宋体" w:hAnsi="宋体" w:cs="宋体"/>
          <w:b/>
          <w:bCs/>
          <w:color w:val="000000" w:themeColor="text1"/>
          <w:szCs w:val="24"/>
          <w14:textFill>
            <w14:solidFill>
              <w14:schemeClr w14:val="tx1"/>
            </w14:solidFill>
          </w14:textFill>
        </w:rPr>
        <w:t>十一、</w:t>
      </w:r>
      <w:r>
        <w:rPr>
          <w:rFonts w:hint="eastAsia" w:ascii="宋体" w:hAnsi="宋体" w:cs="宋体"/>
          <w:color w:val="000000" w:themeColor="text1"/>
          <w:szCs w:val="24"/>
          <w14:textFill>
            <w14:solidFill>
              <w14:schemeClr w14:val="tx1"/>
            </w14:solidFill>
          </w14:textFill>
        </w:rPr>
        <w:t>本合同有效期自合同签订之日起</w:t>
      </w:r>
      <w:r>
        <w:rPr>
          <w:rFonts w:hint="eastAsia" w:ascii="宋体" w:hAnsi="宋体" w:cs="宋体"/>
          <w:color w:val="000000" w:themeColor="text1"/>
          <w:szCs w:val="24"/>
          <w:lang w:val="en-US" w:eastAsia="zh-CN"/>
          <w14:textFill>
            <w14:solidFill>
              <w14:schemeClr w14:val="tx1"/>
            </w14:solidFill>
          </w14:textFill>
        </w:rPr>
        <w:t>三</w:t>
      </w:r>
      <w:r>
        <w:rPr>
          <w:rFonts w:hint="eastAsia" w:ascii="宋体" w:hAnsi="宋体" w:cs="宋体"/>
          <w:color w:val="000000" w:themeColor="text1"/>
          <w:szCs w:val="24"/>
          <w14:textFill>
            <w14:solidFill>
              <w14:schemeClr w14:val="tx1"/>
            </w14:solidFill>
          </w14:textFill>
        </w:rPr>
        <w:t>年。对于合同未尽事宜，双方可另行签订补充合同，补充合同与本合同不一致的，以本合同为准。</w:t>
      </w:r>
    </w:p>
    <w:tbl>
      <w:tblPr>
        <w:tblStyle w:val="17"/>
        <w:tblW w:w="9610" w:type="dxa"/>
        <w:tblInd w:w="-295" w:type="dxa"/>
        <w:tblLayout w:type="fixed"/>
        <w:tblCellMar>
          <w:top w:w="0" w:type="dxa"/>
          <w:left w:w="108" w:type="dxa"/>
          <w:bottom w:w="0" w:type="dxa"/>
          <w:right w:w="108" w:type="dxa"/>
        </w:tblCellMar>
      </w:tblPr>
      <w:tblGrid>
        <w:gridCol w:w="4555"/>
        <w:gridCol w:w="5055"/>
      </w:tblGrid>
      <w:tr w14:paraId="53F2742E">
        <w:tblPrEx>
          <w:tblCellMar>
            <w:top w:w="0" w:type="dxa"/>
            <w:left w:w="108" w:type="dxa"/>
            <w:bottom w:w="0" w:type="dxa"/>
            <w:right w:w="108" w:type="dxa"/>
          </w:tblCellMar>
        </w:tblPrEx>
        <w:trPr>
          <w:trHeight w:val="5442" w:hRule="atLeast"/>
        </w:trPr>
        <w:tc>
          <w:tcPr>
            <w:tcW w:w="4555" w:type="dxa"/>
          </w:tcPr>
          <w:p w14:paraId="1ECAE53B">
            <w:pPr>
              <w:adjustRightInd w:val="0"/>
              <w:snapToGrid w:val="0"/>
              <w:spacing w:line="360" w:lineRule="auto"/>
              <w:rPr>
                <w:rFonts w:ascii="宋体" w:hAnsi="宋体" w:cs="宋体"/>
                <w:b/>
                <w:color w:val="000000" w:themeColor="text1"/>
                <w14:textFill>
                  <w14:solidFill>
                    <w14:schemeClr w14:val="tx1"/>
                  </w14:solidFill>
                </w14:textFill>
              </w:rPr>
            </w:pPr>
            <w:r>
              <w:rPr>
                <w:rFonts w:hint="eastAsia" w:ascii="宋体" w:hAnsi="宋体" w:cs="宋体"/>
                <w:b/>
                <w:color w:val="000000" w:themeColor="text1"/>
                <w:kern w:val="0"/>
                <w14:textFill>
                  <w14:solidFill>
                    <w14:schemeClr w14:val="tx1"/>
                  </w14:solidFill>
                </w14:textFill>
              </w:rPr>
              <w:t>甲方：</w:t>
            </w:r>
          </w:p>
          <w:p w14:paraId="68C8CF04">
            <w:pPr>
              <w:adjustRightInd w:val="0"/>
              <w:snapToGrid w:val="0"/>
              <w:spacing w:line="360" w:lineRule="auto"/>
              <w:rPr>
                <w:rFonts w:ascii="宋体" w:hAnsi="宋体" w:cs="宋体"/>
                <w:color w:val="000000" w:themeColor="text1"/>
                <w:kern w:val="0"/>
                <w14:textFill>
                  <w14:solidFill>
                    <w14:schemeClr w14:val="tx1"/>
                  </w14:solidFill>
                </w14:textFill>
              </w:rPr>
            </w:pPr>
            <w:r>
              <w:rPr>
                <w:rFonts w:hint="eastAsia" w:ascii="宋体" w:hAnsi="宋体" w:cs="宋体"/>
                <w:color w:val="000000" w:themeColor="text1"/>
                <w:kern w:val="0"/>
                <w14:textFill>
                  <w14:solidFill>
                    <w14:schemeClr w14:val="tx1"/>
                  </w14:solidFill>
                </w14:textFill>
              </w:rPr>
              <w:t>名称：</w:t>
            </w:r>
          </w:p>
          <w:p w14:paraId="7ABAAA56">
            <w:pPr>
              <w:adjustRightInd w:val="0"/>
              <w:snapToGrid w:val="0"/>
              <w:spacing w:line="360" w:lineRule="auto"/>
              <w:rPr>
                <w:rFonts w:ascii="宋体" w:hAnsi="宋体" w:cs="宋体"/>
                <w:color w:val="000000" w:themeColor="text1"/>
                <w:kern w:val="0"/>
                <w14:textFill>
                  <w14:solidFill>
                    <w14:schemeClr w14:val="tx1"/>
                  </w14:solidFill>
                </w14:textFill>
              </w:rPr>
            </w:pPr>
            <w:r>
              <w:rPr>
                <w:rFonts w:hint="eastAsia" w:ascii="宋体" w:hAnsi="宋体" w:cs="宋体"/>
                <w:color w:val="000000" w:themeColor="text1"/>
                <w:kern w:val="0"/>
                <w14:textFill>
                  <w14:solidFill>
                    <w14:schemeClr w14:val="tx1"/>
                  </w14:solidFill>
                </w14:textFill>
              </w:rPr>
              <w:t>地址：</w:t>
            </w:r>
          </w:p>
          <w:p w14:paraId="662595EF">
            <w:pPr>
              <w:adjustRightInd w:val="0"/>
              <w:snapToGrid w:val="0"/>
              <w:spacing w:line="360" w:lineRule="auto"/>
              <w:rPr>
                <w:rFonts w:hint="eastAsia" w:ascii="宋体" w:hAnsi="宋体" w:eastAsia="宋体" w:cs="宋体"/>
                <w:color w:val="000000" w:themeColor="text1"/>
                <w:kern w:val="0"/>
                <w:lang w:eastAsia="zh-CN"/>
                <w14:textFill>
                  <w14:solidFill>
                    <w14:schemeClr w14:val="tx1"/>
                  </w14:solidFill>
                </w14:textFill>
              </w:rPr>
            </w:pPr>
            <w:r>
              <w:rPr>
                <w:rFonts w:hint="eastAsia" w:ascii="宋体" w:hAnsi="宋体" w:cs="宋体"/>
                <w:color w:val="000000" w:themeColor="text1"/>
                <w:kern w:val="0"/>
                <w14:textFill>
                  <w14:solidFill>
                    <w14:schemeClr w14:val="tx1"/>
                  </w14:solidFill>
                </w14:textFill>
              </w:rPr>
              <w:t>法定代表人</w:t>
            </w:r>
            <w:r>
              <w:rPr>
                <w:rFonts w:hint="eastAsia" w:ascii="宋体" w:hAnsi="宋体" w:cs="宋体"/>
                <w:color w:val="000000" w:themeColor="text1"/>
                <w:kern w:val="0"/>
                <w:lang w:val="en-US" w:eastAsia="zh-CN"/>
                <w14:textFill>
                  <w14:solidFill>
                    <w14:schemeClr w14:val="tx1"/>
                  </w14:solidFill>
                </w14:textFill>
              </w:rPr>
              <w:t>或</w:t>
            </w:r>
          </w:p>
          <w:p w14:paraId="4AF5D2DB">
            <w:pPr>
              <w:adjustRightInd w:val="0"/>
              <w:snapToGrid w:val="0"/>
              <w:spacing w:line="360" w:lineRule="auto"/>
              <w:rPr>
                <w:rFonts w:ascii="宋体" w:hAnsi="宋体" w:cs="宋体"/>
                <w:color w:val="000000" w:themeColor="text1"/>
                <w:kern w:val="0"/>
                <w14:textFill>
                  <w14:solidFill>
                    <w14:schemeClr w14:val="tx1"/>
                  </w14:solidFill>
                </w14:textFill>
              </w:rPr>
            </w:pPr>
            <w:r>
              <w:rPr>
                <w:rFonts w:hint="eastAsia" w:ascii="宋体" w:hAnsi="宋体" w:cs="宋体"/>
                <w:color w:val="000000" w:themeColor="text1"/>
                <w:kern w:val="0"/>
                <w14:textFill>
                  <w14:solidFill>
                    <w14:schemeClr w14:val="tx1"/>
                  </w14:solidFill>
                </w14:textFill>
              </w:rPr>
              <w:t>委托代理人：</w:t>
            </w:r>
          </w:p>
          <w:p w14:paraId="53A6FE03">
            <w:pPr>
              <w:adjustRightInd w:val="0"/>
              <w:snapToGrid w:val="0"/>
              <w:spacing w:line="360" w:lineRule="auto"/>
              <w:rPr>
                <w:rFonts w:ascii="宋体" w:hAnsi="宋体" w:cs="宋体"/>
                <w:color w:val="000000" w:themeColor="text1"/>
                <w:kern w:val="0"/>
                <w14:textFill>
                  <w14:solidFill>
                    <w14:schemeClr w14:val="tx1"/>
                  </w14:solidFill>
                </w14:textFill>
              </w:rPr>
            </w:pPr>
            <w:r>
              <w:rPr>
                <w:rFonts w:hint="eastAsia" w:ascii="宋体" w:hAnsi="宋体" w:cs="宋体"/>
                <w:color w:val="000000" w:themeColor="text1"/>
                <w:kern w:val="0"/>
                <w14:textFill>
                  <w14:solidFill>
                    <w14:schemeClr w14:val="tx1"/>
                  </w14:solidFill>
                </w14:textFill>
              </w:rPr>
              <w:t>电话：</w:t>
            </w:r>
          </w:p>
          <w:p w14:paraId="486BACDB">
            <w:pPr>
              <w:spacing w:line="360" w:lineRule="auto"/>
              <w:rPr>
                <w:rFonts w:ascii="宋体" w:hAnsi="宋体" w:cs="宋体"/>
                <w:color w:val="000000" w:themeColor="text1"/>
                <w14:textFill>
                  <w14:solidFill>
                    <w14:schemeClr w14:val="tx1"/>
                  </w14:solidFill>
                </w14:textFill>
              </w:rPr>
            </w:pPr>
            <w:r>
              <w:rPr>
                <w:rFonts w:hint="eastAsia" w:ascii="宋体" w:hAnsi="宋体" w:cs="宋体"/>
                <w:color w:val="000000" w:themeColor="text1"/>
                <w:kern w:val="0"/>
                <w14:textFill>
                  <w14:solidFill>
                    <w14:schemeClr w14:val="tx1"/>
                  </w14:solidFill>
                </w14:textFill>
              </w:rPr>
              <w:t>开户银行：</w:t>
            </w:r>
          </w:p>
          <w:p w14:paraId="65D31962">
            <w:pPr>
              <w:spacing w:line="360" w:lineRule="auto"/>
              <w:rPr>
                <w:rFonts w:ascii="宋体" w:hAnsi="宋体" w:cs="宋体"/>
                <w:color w:val="000000" w:themeColor="text1"/>
                <w:kern w:val="0"/>
                <w14:textFill>
                  <w14:solidFill>
                    <w14:schemeClr w14:val="tx1"/>
                  </w14:solidFill>
                </w14:textFill>
              </w:rPr>
            </w:pPr>
            <w:r>
              <w:rPr>
                <w:rFonts w:hint="eastAsia" w:ascii="宋体" w:hAnsi="宋体" w:cs="宋体"/>
                <w:color w:val="000000" w:themeColor="text1"/>
                <w:kern w:val="0"/>
                <w14:textFill>
                  <w14:solidFill>
                    <w14:schemeClr w14:val="tx1"/>
                  </w14:solidFill>
                </w14:textFill>
              </w:rPr>
              <w:t>开户账号：</w:t>
            </w:r>
          </w:p>
          <w:p w14:paraId="6E81BDE8">
            <w:pPr>
              <w:adjustRightInd w:val="0"/>
              <w:snapToGrid w:val="0"/>
              <w:spacing w:line="360" w:lineRule="auto"/>
              <w:rPr>
                <w:rFonts w:ascii="宋体" w:hAnsi="宋体" w:cs="宋体"/>
                <w:color w:val="000000" w:themeColor="text1"/>
                <w:kern w:val="0"/>
                <w14:textFill>
                  <w14:solidFill>
                    <w14:schemeClr w14:val="tx1"/>
                  </w14:solidFill>
                </w14:textFill>
              </w:rPr>
            </w:pPr>
            <w:r>
              <w:rPr>
                <w:rFonts w:hint="eastAsia" w:ascii="宋体" w:hAnsi="宋体" w:cs="宋体"/>
                <w:color w:val="000000" w:themeColor="text1"/>
                <w:kern w:val="0"/>
                <w14:textFill>
                  <w14:solidFill>
                    <w14:schemeClr w14:val="tx1"/>
                  </w14:solidFill>
                </w14:textFill>
              </w:rPr>
              <w:t>传真：</w:t>
            </w:r>
          </w:p>
          <w:p w14:paraId="0CEBC607">
            <w:pPr>
              <w:adjustRightInd w:val="0"/>
              <w:snapToGrid w:val="0"/>
              <w:spacing w:line="360" w:lineRule="auto"/>
              <w:rPr>
                <w:rFonts w:hint="eastAsia" w:ascii="宋体" w:hAnsi="宋体" w:cs="宋体"/>
                <w:color w:val="000000" w:themeColor="text1"/>
                <w:kern w:val="0"/>
                <w14:textFill>
                  <w14:solidFill>
                    <w14:schemeClr w14:val="tx1"/>
                  </w14:solidFill>
                </w14:textFill>
              </w:rPr>
            </w:pPr>
          </w:p>
          <w:p w14:paraId="025F7069">
            <w:pPr>
              <w:adjustRightInd w:val="0"/>
              <w:snapToGrid w:val="0"/>
              <w:spacing w:line="360" w:lineRule="auto"/>
              <w:rPr>
                <w:rFonts w:ascii="宋体" w:hAnsi="宋体" w:cs="宋体"/>
                <w:b/>
                <w:color w:val="000000" w:themeColor="text1"/>
                <w14:textFill>
                  <w14:solidFill>
                    <w14:schemeClr w14:val="tx1"/>
                  </w14:solidFill>
                </w14:textFill>
              </w:rPr>
            </w:pPr>
            <w:r>
              <w:rPr>
                <w:rFonts w:hint="eastAsia" w:ascii="宋体" w:hAnsi="宋体" w:cs="宋体"/>
                <w:color w:val="000000" w:themeColor="text1"/>
                <w:kern w:val="0"/>
                <w14:textFill>
                  <w14:solidFill>
                    <w14:schemeClr w14:val="tx1"/>
                  </w14:solidFill>
                </w14:textFill>
              </w:rPr>
              <w:t>日期：   年  月  日</w:t>
            </w:r>
          </w:p>
        </w:tc>
        <w:tc>
          <w:tcPr>
            <w:tcW w:w="5055" w:type="dxa"/>
          </w:tcPr>
          <w:p w14:paraId="22681AD4">
            <w:pPr>
              <w:adjustRightInd w:val="0"/>
              <w:snapToGrid w:val="0"/>
              <w:spacing w:line="360" w:lineRule="auto"/>
              <w:rPr>
                <w:rFonts w:ascii="宋体" w:hAnsi="宋体" w:cs="宋体"/>
                <w:b/>
                <w:color w:val="000000" w:themeColor="text1"/>
                <w14:textFill>
                  <w14:solidFill>
                    <w14:schemeClr w14:val="tx1"/>
                  </w14:solidFill>
                </w14:textFill>
              </w:rPr>
            </w:pPr>
            <w:r>
              <w:rPr>
                <w:rFonts w:hint="eastAsia" w:ascii="宋体" w:hAnsi="宋体" w:cs="宋体"/>
                <w:b/>
                <w:color w:val="000000" w:themeColor="text1"/>
                <w:kern w:val="0"/>
                <w14:textFill>
                  <w14:solidFill>
                    <w14:schemeClr w14:val="tx1"/>
                  </w14:solidFill>
                </w14:textFill>
              </w:rPr>
              <w:t>乙方：</w:t>
            </w:r>
          </w:p>
          <w:p w14:paraId="0ED9F0B7">
            <w:pPr>
              <w:adjustRightInd w:val="0"/>
              <w:snapToGrid w:val="0"/>
              <w:spacing w:line="360" w:lineRule="auto"/>
              <w:rPr>
                <w:rFonts w:ascii="宋体" w:hAnsi="宋体" w:cs="宋体"/>
                <w:color w:val="000000" w:themeColor="text1"/>
                <w:kern w:val="0"/>
                <w14:textFill>
                  <w14:solidFill>
                    <w14:schemeClr w14:val="tx1"/>
                  </w14:solidFill>
                </w14:textFill>
              </w:rPr>
            </w:pPr>
            <w:r>
              <w:rPr>
                <w:rFonts w:hint="eastAsia" w:ascii="宋体" w:hAnsi="宋体" w:cs="宋体"/>
                <w:color w:val="000000" w:themeColor="text1"/>
                <w:kern w:val="0"/>
                <w14:textFill>
                  <w14:solidFill>
                    <w14:schemeClr w14:val="tx1"/>
                  </w14:solidFill>
                </w14:textFill>
              </w:rPr>
              <w:t>名称：</w:t>
            </w:r>
          </w:p>
          <w:p w14:paraId="59F461B7">
            <w:pPr>
              <w:adjustRightInd w:val="0"/>
              <w:snapToGrid w:val="0"/>
              <w:spacing w:line="360" w:lineRule="auto"/>
              <w:rPr>
                <w:rFonts w:ascii="宋体" w:hAnsi="宋体" w:cs="宋体"/>
                <w:color w:val="000000" w:themeColor="text1"/>
                <w:kern w:val="0"/>
                <w14:textFill>
                  <w14:solidFill>
                    <w14:schemeClr w14:val="tx1"/>
                  </w14:solidFill>
                </w14:textFill>
              </w:rPr>
            </w:pPr>
            <w:r>
              <w:rPr>
                <w:rFonts w:hint="eastAsia" w:ascii="宋体" w:hAnsi="宋体" w:cs="宋体"/>
                <w:color w:val="000000" w:themeColor="text1"/>
                <w:kern w:val="0"/>
                <w14:textFill>
                  <w14:solidFill>
                    <w14:schemeClr w14:val="tx1"/>
                  </w14:solidFill>
                </w14:textFill>
              </w:rPr>
              <w:t>地址：</w:t>
            </w:r>
          </w:p>
          <w:p w14:paraId="0F557D07">
            <w:pPr>
              <w:adjustRightInd w:val="0"/>
              <w:snapToGrid w:val="0"/>
              <w:spacing w:line="360" w:lineRule="auto"/>
              <w:rPr>
                <w:rFonts w:hint="eastAsia" w:ascii="宋体" w:hAnsi="宋体" w:eastAsia="宋体" w:cs="宋体"/>
                <w:color w:val="000000" w:themeColor="text1"/>
                <w:kern w:val="0"/>
                <w:lang w:eastAsia="zh-CN"/>
                <w14:textFill>
                  <w14:solidFill>
                    <w14:schemeClr w14:val="tx1"/>
                  </w14:solidFill>
                </w14:textFill>
              </w:rPr>
            </w:pPr>
            <w:r>
              <w:rPr>
                <w:rFonts w:hint="eastAsia" w:ascii="宋体" w:hAnsi="宋体" w:cs="宋体"/>
                <w:color w:val="000000" w:themeColor="text1"/>
                <w:kern w:val="0"/>
                <w14:textFill>
                  <w14:solidFill>
                    <w14:schemeClr w14:val="tx1"/>
                  </w14:solidFill>
                </w14:textFill>
              </w:rPr>
              <w:t>法定代表人</w:t>
            </w:r>
            <w:r>
              <w:rPr>
                <w:rFonts w:hint="eastAsia" w:ascii="宋体" w:hAnsi="宋体" w:cs="宋体"/>
                <w:color w:val="000000" w:themeColor="text1"/>
                <w:kern w:val="0"/>
                <w:lang w:val="en-US" w:eastAsia="zh-CN"/>
                <w14:textFill>
                  <w14:solidFill>
                    <w14:schemeClr w14:val="tx1"/>
                  </w14:solidFill>
                </w14:textFill>
              </w:rPr>
              <w:t>或</w:t>
            </w:r>
          </w:p>
          <w:p w14:paraId="5DAA3D53">
            <w:pPr>
              <w:adjustRightInd w:val="0"/>
              <w:snapToGrid w:val="0"/>
              <w:spacing w:line="360" w:lineRule="auto"/>
              <w:rPr>
                <w:rFonts w:ascii="宋体" w:hAnsi="宋体" w:cs="宋体"/>
                <w:color w:val="000000" w:themeColor="text1"/>
                <w:kern w:val="0"/>
                <w14:textFill>
                  <w14:solidFill>
                    <w14:schemeClr w14:val="tx1"/>
                  </w14:solidFill>
                </w14:textFill>
              </w:rPr>
            </w:pPr>
            <w:r>
              <w:rPr>
                <w:rFonts w:hint="eastAsia" w:ascii="宋体" w:hAnsi="宋体" w:cs="宋体"/>
                <w:color w:val="000000" w:themeColor="text1"/>
                <w:kern w:val="0"/>
                <w14:textFill>
                  <w14:solidFill>
                    <w14:schemeClr w14:val="tx1"/>
                  </w14:solidFill>
                </w14:textFill>
              </w:rPr>
              <w:t>委托代理人：</w:t>
            </w:r>
          </w:p>
          <w:p w14:paraId="66FF7370">
            <w:pPr>
              <w:adjustRightInd w:val="0"/>
              <w:snapToGrid w:val="0"/>
              <w:spacing w:line="360" w:lineRule="auto"/>
              <w:rPr>
                <w:rFonts w:ascii="宋体" w:hAnsi="宋体" w:cs="宋体"/>
                <w:color w:val="000000" w:themeColor="text1"/>
                <w:kern w:val="0"/>
                <w14:textFill>
                  <w14:solidFill>
                    <w14:schemeClr w14:val="tx1"/>
                  </w14:solidFill>
                </w14:textFill>
              </w:rPr>
            </w:pPr>
            <w:r>
              <w:rPr>
                <w:rFonts w:hint="eastAsia" w:ascii="宋体" w:hAnsi="宋体" w:cs="宋体"/>
                <w:color w:val="000000" w:themeColor="text1"/>
                <w:kern w:val="0"/>
                <w14:textFill>
                  <w14:solidFill>
                    <w14:schemeClr w14:val="tx1"/>
                  </w14:solidFill>
                </w14:textFill>
              </w:rPr>
              <w:t>电话：</w:t>
            </w:r>
          </w:p>
          <w:p w14:paraId="70FC8B2B">
            <w:pPr>
              <w:adjustRightInd w:val="0"/>
              <w:snapToGrid w:val="0"/>
              <w:spacing w:line="360" w:lineRule="auto"/>
              <w:rPr>
                <w:rFonts w:ascii="宋体" w:hAnsi="宋体" w:cs="宋体"/>
                <w:color w:val="000000" w:themeColor="text1"/>
                <w:kern w:val="0"/>
                <w14:textFill>
                  <w14:solidFill>
                    <w14:schemeClr w14:val="tx1"/>
                  </w14:solidFill>
                </w14:textFill>
              </w:rPr>
            </w:pPr>
            <w:r>
              <w:rPr>
                <w:rFonts w:hint="eastAsia" w:ascii="宋体" w:hAnsi="宋体" w:cs="宋体"/>
                <w:color w:val="000000" w:themeColor="text1"/>
                <w:kern w:val="0"/>
                <w14:textFill>
                  <w14:solidFill>
                    <w14:schemeClr w14:val="tx1"/>
                  </w14:solidFill>
                </w14:textFill>
              </w:rPr>
              <w:t>开户银行：</w:t>
            </w:r>
          </w:p>
          <w:p w14:paraId="2E24CBDB">
            <w:pPr>
              <w:adjustRightInd w:val="0"/>
              <w:snapToGrid w:val="0"/>
              <w:spacing w:line="360" w:lineRule="auto"/>
              <w:rPr>
                <w:rFonts w:ascii="宋体" w:hAnsi="宋体" w:cs="宋体"/>
                <w:color w:val="000000" w:themeColor="text1"/>
                <w:kern w:val="0"/>
                <w14:textFill>
                  <w14:solidFill>
                    <w14:schemeClr w14:val="tx1"/>
                  </w14:solidFill>
                </w14:textFill>
              </w:rPr>
            </w:pPr>
            <w:r>
              <w:rPr>
                <w:rFonts w:hint="eastAsia" w:ascii="宋体" w:hAnsi="宋体" w:cs="宋体"/>
                <w:color w:val="000000" w:themeColor="text1"/>
                <w:kern w:val="0"/>
                <w14:textFill>
                  <w14:solidFill>
                    <w14:schemeClr w14:val="tx1"/>
                  </w14:solidFill>
                </w14:textFill>
              </w:rPr>
              <w:t>开户账号：</w:t>
            </w:r>
          </w:p>
          <w:p w14:paraId="54AD4E26">
            <w:pPr>
              <w:adjustRightInd w:val="0"/>
              <w:snapToGrid w:val="0"/>
              <w:spacing w:line="360" w:lineRule="auto"/>
              <w:rPr>
                <w:rFonts w:ascii="宋体" w:hAnsi="宋体" w:cs="宋体"/>
                <w:color w:val="000000" w:themeColor="text1"/>
                <w:kern w:val="0"/>
                <w14:textFill>
                  <w14:solidFill>
                    <w14:schemeClr w14:val="tx1"/>
                  </w14:solidFill>
                </w14:textFill>
              </w:rPr>
            </w:pPr>
            <w:r>
              <w:rPr>
                <w:rFonts w:hint="eastAsia" w:ascii="宋体" w:hAnsi="宋体" w:cs="宋体"/>
                <w:color w:val="000000" w:themeColor="text1"/>
                <w:kern w:val="0"/>
                <w14:textFill>
                  <w14:solidFill>
                    <w14:schemeClr w14:val="tx1"/>
                  </w14:solidFill>
                </w14:textFill>
              </w:rPr>
              <w:t>传真：</w:t>
            </w:r>
          </w:p>
          <w:p w14:paraId="010E0307">
            <w:pPr>
              <w:adjustRightInd w:val="0"/>
              <w:snapToGrid w:val="0"/>
              <w:spacing w:line="360" w:lineRule="auto"/>
              <w:rPr>
                <w:rFonts w:hint="eastAsia" w:ascii="宋体" w:hAnsi="宋体" w:cs="宋体"/>
                <w:color w:val="000000" w:themeColor="text1"/>
                <w:kern w:val="0"/>
                <w14:textFill>
                  <w14:solidFill>
                    <w14:schemeClr w14:val="tx1"/>
                  </w14:solidFill>
                </w14:textFill>
              </w:rPr>
            </w:pPr>
          </w:p>
          <w:p w14:paraId="179BED7C">
            <w:pPr>
              <w:adjustRightInd w:val="0"/>
              <w:snapToGrid w:val="0"/>
              <w:spacing w:line="360" w:lineRule="auto"/>
              <w:rPr>
                <w:rFonts w:ascii="宋体" w:hAnsi="宋体" w:cs="宋体"/>
                <w:b/>
                <w:color w:val="000000" w:themeColor="text1"/>
                <w14:textFill>
                  <w14:solidFill>
                    <w14:schemeClr w14:val="tx1"/>
                  </w14:solidFill>
                </w14:textFill>
              </w:rPr>
            </w:pPr>
            <w:r>
              <w:rPr>
                <w:rFonts w:hint="eastAsia" w:ascii="宋体" w:hAnsi="宋体" w:cs="宋体"/>
                <w:color w:val="000000" w:themeColor="text1"/>
                <w:kern w:val="0"/>
                <w14:textFill>
                  <w14:solidFill>
                    <w14:schemeClr w14:val="tx1"/>
                  </w14:solidFill>
                </w14:textFill>
              </w:rPr>
              <w:t>日期：   年  月  日</w:t>
            </w:r>
          </w:p>
        </w:tc>
      </w:tr>
    </w:tbl>
    <w:p w14:paraId="7AC84791">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auto"/>
          <w:sz w:val="24"/>
          <w:szCs w:val="24"/>
          <w:highlight w:val="none"/>
        </w:rPr>
      </w:pPr>
    </w:p>
    <w:p w14:paraId="22B367A9">
      <w:pPr>
        <w:spacing w:line="360" w:lineRule="auto"/>
        <w:jc w:val="center"/>
        <w:rPr>
          <w:rFonts w:hint="eastAsia" w:ascii="Times New Roman" w:hAnsi="Times New Roman" w:eastAsia="宋体" w:cs="Times New Roman"/>
          <w:b/>
          <w:bCs w:val="0"/>
          <w:kern w:val="44"/>
          <w:sz w:val="28"/>
          <w:szCs w:val="28"/>
          <w:highlight w:val="none"/>
          <w:lang w:val="en-US" w:eastAsia="zh-CN" w:bidi="ar-SA"/>
        </w:rPr>
      </w:pPr>
    </w:p>
    <w:sectPr>
      <w:headerReference r:id="rId4" w:type="first"/>
      <w:footerReference r:id="rId6" w:type="first"/>
      <w:headerReference r:id="rId3" w:type="default"/>
      <w:footerReference r:id="rId5" w:type="default"/>
      <w:pgSz w:w="11907" w:h="16840"/>
      <w:pgMar w:top="1417" w:right="1440" w:bottom="1417" w:left="1417" w:header="850" w:footer="1020" w:gutter="0"/>
      <w:cols w:space="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D9BA54">
    <w:pPr>
      <w:pStyle w:val="11"/>
      <w:jc w:val="center"/>
      <w:rPr>
        <w:rFonts w:ascii="宋体" w:hAnsi="宋体"/>
        <w:b/>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8715" cy="1524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148715" cy="152400"/>
                      </a:xfrm>
                      <a:prstGeom prst="rect">
                        <a:avLst/>
                      </a:prstGeom>
                      <a:noFill/>
                      <a:ln w="6350">
                        <a:noFill/>
                      </a:ln>
                      <a:effectLst/>
                    </wps:spPr>
                    <wps:txbx>
                      <w:txbxContent>
                        <w:p w14:paraId="6402C1AA">
                          <w:pPr>
                            <w:pStyle w:val="11"/>
                          </w:pPr>
                          <w:r>
                            <w:t xml:space="preserve">第 </w:t>
                          </w:r>
                          <w:r>
                            <w:fldChar w:fldCharType="begin"/>
                          </w:r>
                          <w:r>
                            <w:instrText xml:space="preserve"> PAGE  \* MERGEFORMAT </w:instrText>
                          </w:r>
                          <w:r>
                            <w:fldChar w:fldCharType="separate"/>
                          </w:r>
                          <w:r>
                            <w:t>50</w:t>
                          </w:r>
                          <w:r>
                            <w:fldChar w:fldCharType="end"/>
                          </w:r>
                          <w:r>
                            <w:t xml:space="preserve"> 页 共 </w:t>
                          </w:r>
                          <w:r>
                            <w:fldChar w:fldCharType="begin"/>
                          </w:r>
                          <w:r>
                            <w:instrText xml:space="preserve"> NUMPAGES  \* MERGEFORMAT </w:instrText>
                          </w:r>
                          <w:r>
                            <w:fldChar w:fldCharType="separate"/>
                          </w:r>
                          <w:r>
                            <w:t>94</w:t>
                          </w:r>
                          <w:r>
                            <w:fldChar w:fldCharType="end"/>
                          </w:r>
                          <w:r>
                            <w:t xml:space="preserve"> 页</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0pt;height:12pt;width:90.45pt;mso-position-horizontal:center;mso-position-horizontal-relative:margin;z-index:251659264;mso-width-relative:page;mso-height-relative:page;" filled="f" stroked="f" coordsize="21600,21600" o:gfxdata="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DwIFTy0wAAAAQBAAAPAAAAAAAAAAEAIAAAACIAAABkcnMvZG93bnJldi54&#10;bWxQSwECFAAUAAAACACHTuJAogBW9jgCAABmBAAADgAAAAAAAAABACAAAAAiAQAAZHJzL2Uyb0Rv&#10;Yy54bWxQSwUGAAAAAAYABgBZAQAAzAUAAAAA&#10;">
              <v:fill on="f" focussize="0,0"/>
              <v:stroke on="f" weight="0.5pt"/>
              <v:imagedata o:title=""/>
              <o:lock v:ext="edit" aspectratio="f"/>
              <v:textbox inset="0mm,0mm,0mm,0mm">
                <w:txbxContent>
                  <w:p w14:paraId="6402C1AA">
                    <w:pPr>
                      <w:pStyle w:val="11"/>
                    </w:pPr>
                    <w:r>
                      <w:t xml:space="preserve">第 </w:t>
                    </w:r>
                    <w:r>
                      <w:fldChar w:fldCharType="begin"/>
                    </w:r>
                    <w:r>
                      <w:instrText xml:space="preserve"> PAGE  \* MERGEFORMAT </w:instrText>
                    </w:r>
                    <w:r>
                      <w:fldChar w:fldCharType="separate"/>
                    </w:r>
                    <w:r>
                      <w:t>50</w:t>
                    </w:r>
                    <w:r>
                      <w:fldChar w:fldCharType="end"/>
                    </w:r>
                    <w:r>
                      <w:t xml:space="preserve"> 页 共 </w:t>
                    </w:r>
                    <w:r>
                      <w:fldChar w:fldCharType="begin"/>
                    </w:r>
                    <w:r>
                      <w:instrText xml:space="preserve"> NUMPAGES  \* MERGEFORMAT </w:instrText>
                    </w:r>
                    <w:r>
                      <w:fldChar w:fldCharType="separate"/>
                    </w:r>
                    <w:r>
                      <w:t>94</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C2F2E2">
    <w:pPr>
      <w:pStyle w:val="11"/>
      <w:rPr>
        <w:rStyle w:val="20"/>
        <w:rFonts w:ascii="宋体" w:hAnsi="宋体"/>
        <w:b/>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ED8DAD0">
                          <w:pPr>
                            <w:pStyle w:val="11"/>
                          </w:pPr>
                          <w:r>
                            <w:t xml:space="preserve">第 </w:t>
                          </w:r>
                          <w:r>
                            <w:fldChar w:fldCharType="begin"/>
                          </w:r>
                          <w:r>
                            <w:instrText xml:space="preserve"> PAGE  \* MERGEFORMAT </w:instrText>
                          </w:r>
                          <w:r>
                            <w:fldChar w:fldCharType="separate"/>
                          </w:r>
                          <w:r>
                            <w:t>49</w:t>
                          </w:r>
                          <w:r>
                            <w:fldChar w:fldCharType="end"/>
                          </w:r>
                          <w:r>
                            <w:t xml:space="preserve"> 页 共 </w:t>
                          </w:r>
                          <w:r>
                            <w:fldChar w:fldCharType="begin"/>
                          </w:r>
                          <w:r>
                            <w:instrText xml:space="preserve"> NUMPAGES  \* MERGEFORMAT </w:instrText>
                          </w:r>
                          <w:r>
                            <w:fldChar w:fldCharType="separate"/>
                          </w:r>
                          <w:r>
                            <w:t>94</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cXIzzICAABlBAAADgAAAAAAAAABACAAAAAfAQAAZHJzL2Uyb0RvYy54bWxQSwUG&#10;AAAAAAYABgBZAQAAwwUAAAAA&#10;">
              <v:fill on="f" focussize="0,0"/>
              <v:stroke on="f" weight="0.5pt"/>
              <v:imagedata o:title=""/>
              <o:lock v:ext="edit" aspectratio="f"/>
              <v:textbox inset="0mm,0mm,0mm,0mm" style="mso-fit-shape-to-text:t;">
                <w:txbxContent>
                  <w:p w14:paraId="0ED8DAD0">
                    <w:pPr>
                      <w:pStyle w:val="11"/>
                    </w:pPr>
                    <w:r>
                      <w:t xml:space="preserve">第 </w:t>
                    </w:r>
                    <w:r>
                      <w:fldChar w:fldCharType="begin"/>
                    </w:r>
                    <w:r>
                      <w:instrText xml:space="preserve"> PAGE  \* MERGEFORMAT </w:instrText>
                    </w:r>
                    <w:r>
                      <w:fldChar w:fldCharType="separate"/>
                    </w:r>
                    <w:r>
                      <w:t>49</w:t>
                    </w:r>
                    <w:r>
                      <w:fldChar w:fldCharType="end"/>
                    </w:r>
                    <w:r>
                      <w:t xml:space="preserve"> 页 共 </w:t>
                    </w:r>
                    <w:r>
                      <w:fldChar w:fldCharType="begin"/>
                    </w:r>
                    <w:r>
                      <w:instrText xml:space="preserve"> NUMPAGES  \* MERGEFORMAT </w:instrText>
                    </w:r>
                    <w:r>
                      <w:fldChar w:fldCharType="separate"/>
                    </w:r>
                    <w:r>
                      <w:t>94</w:t>
                    </w:r>
                    <w:r>
                      <w:fldChar w:fldCharType="end"/>
                    </w:r>
                    <w:r>
                      <w:t xml:space="preserve"> 页</w:t>
                    </w:r>
                  </w:p>
                </w:txbxContent>
              </v:textbox>
            </v:shape>
          </w:pict>
        </mc:Fallback>
      </mc:AlternateContent>
    </w:r>
    <w:r>
      <w:rPr>
        <w:rFonts w:hint="eastAsia" w:ascii="宋体" w:hAnsi="宋体"/>
        <w:b/>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2E6DBB">
    <w:pPr>
      <w:spacing w:line="480" w:lineRule="exact"/>
      <w:rPr>
        <w:rFonts w:ascii="仿宋_GB2312" w:eastAsia="仿宋_GB2312"/>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174DE3">
    <w:pPr>
      <w:pStyle w:val="12"/>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C467A0"/>
    <w:rsid w:val="05F2584F"/>
    <w:rsid w:val="093B3C82"/>
    <w:rsid w:val="0B220922"/>
    <w:rsid w:val="0FC467A0"/>
    <w:rsid w:val="13CE5D80"/>
    <w:rsid w:val="18A65539"/>
    <w:rsid w:val="1A7013EA"/>
    <w:rsid w:val="1B8422A6"/>
    <w:rsid w:val="1B9E2ACF"/>
    <w:rsid w:val="21E10261"/>
    <w:rsid w:val="2D656721"/>
    <w:rsid w:val="422F44A2"/>
    <w:rsid w:val="4DDC0512"/>
    <w:rsid w:val="598D29D8"/>
    <w:rsid w:val="5A4B50B1"/>
    <w:rsid w:val="5C1943FB"/>
    <w:rsid w:val="724A5B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paragraph" w:styleId="2">
    <w:name w:val="heading 1"/>
    <w:basedOn w:val="1"/>
    <w:next w:val="1"/>
    <w:qFormat/>
    <w:uiPriority w:val="0"/>
    <w:pPr>
      <w:keepNext/>
      <w:keepLines/>
      <w:spacing w:before="340" w:after="330" w:line="560" w:lineRule="exact"/>
      <w:jc w:val="center"/>
      <w:outlineLvl w:val="0"/>
    </w:pPr>
    <w:rPr>
      <w:b/>
      <w:bCs/>
      <w:kern w:val="44"/>
      <w:sz w:val="36"/>
      <w:szCs w:val="44"/>
    </w:rPr>
  </w:style>
  <w:style w:type="paragraph" w:styleId="3">
    <w:name w:val="heading 2"/>
    <w:basedOn w:val="1"/>
    <w:next w:val="1"/>
    <w:link w:val="25"/>
    <w:semiHidden/>
    <w:unhideWhenUsed/>
    <w:qFormat/>
    <w:uiPriority w:val="0"/>
    <w:pPr>
      <w:kinsoku w:val="0"/>
      <w:autoSpaceDE w:val="0"/>
      <w:autoSpaceDN w:val="0"/>
      <w:adjustRightInd w:val="0"/>
      <w:snapToGrid w:val="0"/>
      <w:jc w:val="center"/>
      <w:textAlignment w:val="baseline"/>
      <w:outlineLvl w:val="1"/>
    </w:pPr>
    <w:rPr>
      <w:rFonts w:ascii="宋体" w:hAnsi="宋体" w:cs="宋体"/>
      <w:b/>
      <w:bCs/>
      <w:sz w:val="28"/>
    </w:rPr>
  </w:style>
  <w:style w:type="paragraph" w:styleId="4">
    <w:name w:val="heading 4"/>
    <w:basedOn w:val="1"/>
    <w:next w:val="1"/>
    <w:unhideWhenUsed/>
    <w:qFormat/>
    <w:uiPriority w:val="0"/>
    <w:pPr>
      <w:spacing w:beforeAutospacing="1" w:afterAutospacing="1"/>
      <w:jc w:val="left"/>
      <w:outlineLvl w:val="3"/>
    </w:pPr>
    <w:rPr>
      <w:rFonts w:hint="eastAsia" w:ascii="宋体" w:hAnsi="宋体"/>
      <w:b/>
      <w:bCs/>
      <w:kern w:val="0"/>
      <w:szCs w:val="24"/>
    </w:rPr>
  </w:style>
  <w:style w:type="paragraph" w:styleId="5">
    <w:name w:val="heading 6"/>
    <w:basedOn w:val="1"/>
    <w:next w:val="1"/>
    <w:unhideWhenUsed/>
    <w:qFormat/>
    <w:uiPriority w:val="0"/>
    <w:pPr>
      <w:spacing w:beforeAutospacing="1" w:afterAutospacing="1"/>
      <w:jc w:val="left"/>
      <w:outlineLvl w:val="5"/>
    </w:pPr>
    <w:rPr>
      <w:rFonts w:hint="eastAsia" w:ascii="宋体" w:hAnsi="宋体"/>
      <w:b/>
      <w:bCs/>
      <w:kern w:val="0"/>
      <w:sz w:val="15"/>
      <w:szCs w:val="15"/>
    </w:rPr>
  </w:style>
  <w:style w:type="character" w:default="1" w:styleId="18">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6">
    <w:name w:val="Normal Indent"/>
    <w:basedOn w:val="1"/>
    <w:qFormat/>
    <w:uiPriority w:val="0"/>
    <w:pPr>
      <w:ind w:firstLine="420"/>
    </w:pPr>
    <w:rPr>
      <w:sz w:val="21"/>
    </w:rPr>
  </w:style>
  <w:style w:type="paragraph" w:styleId="7">
    <w:name w:val="Body Text"/>
    <w:basedOn w:val="1"/>
    <w:next w:val="8"/>
    <w:qFormat/>
    <w:uiPriority w:val="0"/>
    <w:pPr>
      <w:spacing w:after="120"/>
    </w:pPr>
    <w:rPr>
      <w:sz w:val="21"/>
      <w:szCs w:val="24"/>
    </w:rPr>
  </w:style>
  <w:style w:type="paragraph" w:customStyle="1" w:styleId="8">
    <w:name w:val="Normal"/>
    <w:autoRedefine/>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styleId="9">
    <w:name w:val="Plain Text"/>
    <w:basedOn w:val="1"/>
    <w:unhideWhenUsed/>
    <w:qFormat/>
    <w:uiPriority w:val="0"/>
    <w:rPr>
      <w:rFonts w:ascii="宋体" w:hAnsi="Courier New" w:cstheme="minorBidi"/>
      <w:sz w:val="21"/>
    </w:rPr>
  </w:style>
  <w:style w:type="paragraph" w:styleId="10">
    <w:name w:val="Body Text Indent 2"/>
    <w:basedOn w:val="1"/>
    <w:unhideWhenUsed/>
    <w:qFormat/>
    <w:uiPriority w:val="99"/>
    <w:pPr>
      <w:spacing w:after="120" w:line="480" w:lineRule="auto"/>
      <w:ind w:left="420" w:leftChars="200"/>
    </w:pPr>
    <w:rPr>
      <w:rFonts w:ascii="Calibri" w:hAnsi="Calibri"/>
    </w:rPr>
  </w:style>
  <w:style w:type="paragraph" w:styleId="11">
    <w:name w:val="footer"/>
    <w:basedOn w:val="1"/>
    <w:qFormat/>
    <w:uiPriority w:val="0"/>
    <w:pPr>
      <w:tabs>
        <w:tab w:val="center" w:pos="4153"/>
        <w:tab w:val="right" w:pos="8306"/>
      </w:tabs>
      <w:snapToGrid w:val="0"/>
      <w:jc w:val="left"/>
    </w:pPr>
    <w:rPr>
      <w:sz w:val="18"/>
      <w:szCs w:val="18"/>
    </w:rPr>
  </w:style>
  <w:style w:type="paragraph" w:styleId="12">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qFormat/>
    <w:uiPriority w:val="39"/>
    <w:rPr>
      <w:sz w:val="21"/>
      <w:szCs w:val="24"/>
    </w:rPr>
  </w:style>
  <w:style w:type="paragraph" w:styleId="14">
    <w:name w:val="HTML Preformatted"/>
    <w:basedOn w:val="1"/>
    <w:qFormat/>
    <w:uiPriority w:val="0"/>
    <w:pPr>
      <w:jc w:val="left"/>
    </w:pPr>
    <w:rPr>
      <w:rFonts w:ascii="Arial" w:hAnsi="Arial" w:cs="Arial"/>
      <w:kern w:val="0"/>
    </w:rPr>
  </w:style>
  <w:style w:type="paragraph" w:styleId="15">
    <w:name w:val="Normal (Web)"/>
    <w:basedOn w:val="1"/>
    <w:qFormat/>
    <w:uiPriority w:val="99"/>
    <w:rPr>
      <w:szCs w:val="24"/>
    </w:rPr>
  </w:style>
  <w:style w:type="paragraph" w:styleId="16">
    <w:name w:val="Body Text First Indent"/>
    <w:basedOn w:val="7"/>
    <w:unhideWhenUsed/>
    <w:qFormat/>
    <w:uiPriority w:val="0"/>
    <w:pPr>
      <w:ind w:firstLine="420" w:firstLineChars="100"/>
    </w:pPr>
    <w:rPr>
      <w:sz w:val="18"/>
      <w:szCs w:val="18"/>
    </w:rPr>
  </w:style>
  <w:style w:type="character" w:styleId="19">
    <w:name w:val="Strong"/>
    <w:basedOn w:val="18"/>
    <w:qFormat/>
    <w:uiPriority w:val="22"/>
    <w:rPr>
      <w:b/>
      <w:bCs/>
    </w:rPr>
  </w:style>
  <w:style w:type="character" w:styleId="20">
    <w:name w:val="page number"/>
    <w:basedOn w:val="18"/>
    <w:qFormat/>
    <w:uiPriority w:val="0"/>
  </w:style>
  <w:style w:type="paragraph" w:customStyle="1" w:styleId="21">
    <w:name w:val="_Style 5"/>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22">
    <w:name w:val="p15"/>
    <w:basedOn w:val="1"/>
    <w:qFormat/>
    <w:uiPriority w:val="99"/>
    <w:pPr>
      <w:widowControl/>
    </w:pPr>
    <w:rPr>
      <w:kern w:val="0"/>
      <w:sz w:val="21"/>
      <w:szCs w:val="21"/>
    </w:rPr>
  </w:style>
  <w:style w:type="paragraph" w:customStyle="1" w:styleId="23">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24">
    <w:name w:val="列表段落1"/>
    <w:basedOn w:val="1"/>
    <w:unhideWhenUsed/>
    <w:qFormat/>
    <w:uiPriority w:val="34"/>
    <w:pPr>
      <w:ind w:firstLine="420" w:firstLineChars="200"/>
    </w:pPr>
  </w:style>
  <w:style w:type="character" w:customStyle="1" w:styleId="25">
    <w:name w:val="标题 2 字符"/>
    <w:link w:val="3"/>
    <w:qFormat/>
    <w:uiPriority w:val="0"/>
    <w:rPr>
      <w:rFonts w:ascii="宋体" w:hAnsi="宋体" w:cs="宋体"/>
      <w:b/>
      <w:bCs/>
      <w:sz w:val="28"/>
    </w:rPr>
  </w:style>
  <w:style w:type="paragraph" w:customStyle="1" w:styleId="26">
    <w:name w:val="标题 2（投标文件）"/>
    <w:basedOn w:val="3"/>
    <w:qFormat/>
    <w:uiPriority w:val="0"/>
  </w:style>
  <w:style w:type="paragraph" w:customStyle="1" w:styleId="27">
    <w:name w:val="列出段落1"/>
    <w:basedOn w:val="1"/>
    <w:qFormat/>
    <w:uiPriority w:val="0"/>
    <w:pPr>
      <w:ind w:firstLine="420" w:firstLineChars="200"/>
    </w:pPr>
  </w:style>
  <w:style w:type="paragraph" w:styleId="28">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32</Words>
  <Characters>32</Characters>
  <Lines>0</Lines>
  <Paragraphs>0</Paragraphs>
  <TotalTime>0</TotalTime>
  <ScaleCrop>false</ScaleCrop>
  <LinksUpToDate>false</LinksUpToDate>
  <CharactersWithSpaces>32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2025-08-08T08:52:00Z</dcterms:created>
  <dc:creator>彤Tion</dc:creator>
  <cp:lastModifiedBy>Administrator</cp:lastModifiedBy>
  <dcterms:modified xsi:type="dcterms:W3CDTF">2026-05-15T06:35:22Z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38EACC3D426C46E98C95F899ED7A051F_13</vt:lpwstr>
  </property>
  <property fmtid="{D5CDD505-2E9C-101B-9397-08002B2CF9AE}" pid="4" name="KSOTemplateDocerSaveRecord">
    <vt:lpwstr>eyJoZGlkIjoiZDA1N2I0YWY0MjJhZTA1NTU2M2E4MmVjMGI5MmIwNTQiLCJ1c2VySWQiOiIyMzc4MTk3NjYifQ==</vt:lpwstr>
  </property>
</Properties>
</file>