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版本号：铜川市公安局印台分局焦坪派出所维修改造项目20260710001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焦坪派出所维修改造项目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铜川市公安局印台分局焦坪派出所维修改造项目</w:t>
      </w:r>
      <w:r>
        <w:br/>
      </w:r>
      <w:r>
        <w:br/>
      </w:r>
      <w:r>
        <w:br/>
      </w:r>
    </w:p>
    <w:p>
      <w:pPr>
        <w:pStyle w:val="null3"/>
        <w:jc w:val="center"/>
        <w:outlineLvl w:val="2"/>
      </w:pPr>
      <w:r>
        <w:rPr>
          <w:rFonts w:ascii="仿宋_GB2312" w:hAnsi="仿宋_GB2312" w:cs="仿宋_GB2312" w:eastAsia="仿宋_GB2312"/>
          <w:sz w:val="28"/>
          <w:b/>
        </w:rPr>
        <w:t>铜川市公安局印台分局</w:t>
      </w:r>
    </w:p>
    <w:p>
      <w:pPr>
        <w:pStyle w:val="null3"/>
        <w:jc w:val="center"/>
        <w:outlineLvl w:val="2"/>
      </w:pPr>
      <w:r>
        <w:rPr>
          <w:rFonts w:ascii="仿宋_GB2312" w:hAnsi="仿宋_GB2312" w:cs="仿宋_GB2312" w:eastAsia="仿宋_GB2312"/>
          <w:sz w:val="28"/>
          <w:b/>
        </w:rPr>
        <w:t>中昊泰达咨询集团有限公司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中昊泰达咨询集团有限公司</w:t>
      </w:r>
      <w:r>
        <w:rPr>
          <w:rFonts w:ascii="仿宋_GB2312" w:hAnsi="仿宋_GB2312" w:cs="仿宋_GB2312" w:eastAsia="仿宋_GB2312"/>
        </w:rPr>
        <w:t>（以下简称“代理机构”）受</w:t>
      </w:r>
      <w:r>
        <w:rPr>
          <w:rFonts w:ascii="仿宋_GB2312" w:hAnsi="仿宋_GB2312" w:cs="仿宋_GB2312" w:eastAsia="仿宋_GB2312"/>
        </w:rPr>
        <w:t>铜川市公安局印台分局</w:t>
      </w:r>
      <w:r>
        <w:rPr>
          <w:rFonts w:ascii="仿宋_GB2312" w:hAnsi="仿宋_GB2312" w:cs="仿宋_GB2312" w:eastAsia="仿宋_GB2312"/>
        </w:rPr>
        <w:t>委托，拟对</w:t>
      </w:r>
      <w:r>
        <w:rPr>
          <w:rFonts w:ascii="仿宋_GB2312" w:hAnsi="仿宋_GB2312" w:cs="仿宋_GB2312" w:eastAsia="仿宋_GB2312"/>
        </w:rPr>
        <w:t>焦坪派出所维修改造项目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铜川市公安局印台分局焦坪派出所维修改造项目</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焦坪派出所维修改造项目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焦坪派出所维修改造项目1项（具体详见工程量清单）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采购包1（焦坪派出所维修改造项目）：属于专门面向中小企业采购。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提供法人或者其他组织的营业执照等证明文件，自然人参与的提供其有效身份证明：具有独立承担民事责任的能力，提供法人或者其他组织的营业执照等证明文件，自然人参与的提供其有效身份证明。</w:t>
      </w:r>
    </w:p>
    <w:p>
      <w:pPr>
        <w:pStyle w:val="null3"/>
      </w:pPr>
      <w:r>
        <w:rPr>
          <w:rFonts w:ascii="仿宋_GB2312" w:hAnsi="仿宋_GB2312" w:cs="仿宋_GB2312" w:eastAsia="仿宋_GB2312"/>
        </w:rPr>
        <w:t>2、具有履行合同所必需的设备和专业技术能力（提供承诺函）：具有履行合同所必需的设备和专业技术能力（提供承诺函）。</w:t>
      </w:r>
    </w:p>
    <w:p>
      <w:pPr>
        <w:pStyle w:val="null3"/>
      </w:pPr>
      <w:r>
        <w:rPr>
          <w:rFonts w:ascii="仿宋_GB2312" w:hAnsi="仿宋_GB2312" w:cs="仿宋_GB2312" w:eastAsia="仿宋_GB2312"/>
        </w:rPr>
        <w:t>3、依法缴纳税收和社会保障资金相关材料（磋商截止日前六个月内任意一个月）：依法缴纳税收和社会保障资金相关材料（磋商截止日前六个月内任意一个月）。</w:t>
      </w:r>
    </w:p>
    <w:p>
      <w:pPr>
        <w:pStyle w:val="null3"/>
      </w:pPr>
      <w:r>
        <w:rPr>
          <w:rFonts w:ascii="仿宋_GB2312" w:hAnsi="仿宋_GB2312" w:cs="仿宋_GB2312" w:eastAsia="仿宋_GB2312"/>
        </w:rPr>
        <w:t>4、供应商需提供2025年度财务审计报告或提供文件递交截止日前三个月内从基本户银行开具的资信证明：供应商需提供2025年度财务审计报告或提供文件递交截止日前三个月内从基本户银行开具的资信证明。</w:t>
      </w:r>
    </w:p>
    <w:p>
      <w:pPr>
        <w:pStyle w:val="null3"/>
      </w:pPr>
      <w:r>
        <w:rPr>
          <w:rFonts w:ascii="仿宋_GB2312" w:hAnsi="仿宋_GB2312" w:cs="仿宋_GB2312" w:eastAsia="仿宋_GB2312"/>
        </w:rPr>
        <w:t>5、法定代表人直接参加磋商的，须出具法人身份证；授权代表参加磋商的，须出具授权书及授权代表身份证：法定代表人直接参加磋商的，须出具法人身份证；授权代表参加磋商的，须出具授权书及授权代表身份证。</w:t>
      </w:r>
    </w:p>
    <w:p>
      <w:pPr>
        <w:pStyle w:val="null3"/>
      </w:pPr>
      <w:r>
        <w:rPr>
          <w:rFonts w:ascii="仿宋_GB2312" w:hAnsi="仿宋_GB2312" w:cs="仿宋_GB2312" w:eastAsia="仿宋_GB2312"/>
        </w:rPr>
        <w:t>6、供应商出具本企业参加政府采购活动前三年内经营活动中没有重大违法记录的书面声明：供应商出具本企业参加政府采购活动前三年内经营活动中没有重大违法记录的书面声明。</w:t>
      </w:r>
    </w:p>
    <w:p>
      <w:pPr>
        <w:pStyle w:val="null3"/>
      </w:pPr>
      <w:r>
        <w:rPr>
          <w:rFonts w:ascii="仿宋_GB2312" w:hAnsi="仿宋_GB2312" w:cs="仿宋_GB2312" w:eastAsia="仿宋_GB2312"/>
        </w:rPr>
        <w:t>7、具备建设行政主管部门颁发的建筑工程施工总承包三级（含）及以上资质，且具有有效的安全生产许可证；拟委派项目经理须具有有效的建筑工程专业贰级（含）及以上注册建造师执业资格并具有有效的安全生产考核合格证（B证），在本单位注册且无在建项目：具备建设行政主管部门颁发的建筑工程施工总承包三级（含）及以上资质，且具有有效的安全生产许可证；拟委派项目经理须具有有效的建筑工程专业贰级（含）及以上注册建造师执业资格并具有有效的安全生产考核合格证（B证），在本单位注册且无在建项目。</w:t>
      </w:r>
    </w:p>
    <w:p>
      <w:pPr>
        <w:pStyle w:val="null3"/>
      </w:pPr>
      <w:r>
        <w:rPr>
          <w:rFonts w:ascii="仿宋_GB2312" w:hAnsi="仿宋_GB2312" w:cs="仿宋_GB2312" w:eastAsia="仿宋_GB2312"/>
        </w:rPr>
        <w:t>8、供应商不得为“信用中国”中列入失信被执行人和重大税收违法案件当事人名单的供应商，不得为“中国政府采购网”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铜川市公安局印台分局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铜川市印台区同官路38号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0919-4183706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中昊泰达咨询集团有限公司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西安市未央区雅荷花园A18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18149186142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铜川市印台区政府采购管理股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孟老师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0919-4191018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采购包1：1,687,221.35元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办法》的通知（计价格〔2002〕1980号）、《国家发展和改⾰委员会办公厅关于招标代理服务收费有关问题的通知》（发改办价格〔2003〕857号）规定的标准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铜川市公安局印台分局</w:t>
      </w:r>
      <w:r>
        <w:rPr>
          <w:rFonts w:ascii="仿宋_GB2312" w:hAnsi="仿宋_GB2312" w:cs="仿宋_GB2312" w:eastAsia="仿宋_GB2312"/>
        </w:rPr>
        <w:t>和</w:t>
      </w:r>
      <w:r>
        <w:rPr>
          <w:rFonts w:ascii="仿宋_GB2312" w:hAnsi="仿宋_GB2312" w:cs="仿宋_GB2312" w:eastAsia="仿宋_GB2312"/>
        </w:rPr>
        <w:t>中昊泰达咨询集团有限公司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铜川市公安局印台分局</w:t>
      </w:r>
      <w:r>
        <w:rPr>
          <w:rFonts w:ascii="仿宋_GB2312" w:hAnsi="仿宋_GB2312" w:cs="仿宋_GB2312" w:eastAsia="仿宋_GB2312"/>
        </w:rPr>
        <w:t>负责解释。除上述磋商文件内容，其他内容由</w:t>
      </w:r>
      <w:r>
        <w:rPr>
          <w:rFonts w:ascii="仿宋_GB2312" w:hAnsi="仿宋_GB2312" w:cs="仿宋_GB2312" w:eastAsia="仿宋_GB2312"/>
        </w:rPr>
        <w:t>中昊泰达咨询集团有限公司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铜川市公安局印台分局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中昊泰达咨询集团有限公司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双⽅签订合同时具体约定。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符合国家有关验收合格标准。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中昊泰达咨询集团有限公司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中昊泰达咨询集团有限公司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中昊泰达咨询集团有限公司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联系人：王佩⾬</w:t>
      </w:r>
    </w:p>
    <w:p>
      <w:pPr>
        <w:pStyle w:val="null3"/>
      </w:pPr>
      <w:r>
        <w:rPr>
          <w:rFonts w:ascii="仿宋_GB2312" w:hAnsi="仿宋_GB2312" w:cs="仿宋_GB2312" w:eastAsia="仿宋_GB2312"/>
        </w:rPr>
        <w:t>联系电话：18149186142</w:t>
      </w:r>
    </w:p>
    <w:p>
      <w:pPr>
        <w:pStyle w:val="null3"/>
      </w:pPr>
      <w:r>
        <w:rPr>
          <w:rFonts w:ascii="仿宋_GB2312" w:hAnsi="仿宋_GB2312" w:cs="仿宋_GB2312" w:eastAsia="仿宋_GB2312"/>
        </w:rPr>
        <w:t>地址：西安市未央区雅荷花园A18</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1,687,221.35</w:t>
      </w:r>
    </w:p>
    <w:p>
      <w:pPr>
        <w:pStyle w:val="null3"/>
      </w:pPr>
      <w:r>
        <w:rPr>
          <w:rFonts w:ascii="仿宋_GB2312" w:hAnsi="仿宋_GB2312" w:cs="仿宋_GB2312" w:eastAsia="仿宋_GB2312"/>
        </w:rPr>
        <w:t>采购包最高限价（元）: 1,687,221.35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铜川市公安局印台分局焦坪派出所维修改造项目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1,687,221.35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标的名称：铜川市公安局印台分局焦坪派出所维修改造项目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采购项目名称：焦坪派出所维修改造项目</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满足采购需求：符合国家有关验收合格标准。</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施工地点：采购人指定地点。</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建设内容：</w:t>
            </w:r>
            <w:r>
              <w:rPr>
                <w:rFonts w:ascii="仿宋_GB2312" w:hAnsi="仿宋_GB2312" w:cs="仿宋_GB2312" w:eastAsia="仿宋_GB2312"/>
                <w:sz w:val="21"/>
                <w:color w:val="000000"/>
              </w:rPr>
              <w:t>焦坪派出所维修改造项目</w:t>
            </w:r>
            <w:r>
              <w:rPr>
                <w:rFonts w:ascii="仿宋_GB2312" w:hAnsi="仿宋_GB2312" w:cs="仿宋_GB2312" w:eastAsia="仿宋_GB2312"/>
                <w:sz w:val="21"/>
                <w:color w:val="000000"/>
              </w:rPr>
              <w:t>1</w:t>
            </w:r>
            <w:r>
              <w:rPr>
                <w:rFonts w:ascii="仿宋_GB2312" w:hAnsi="仿宋_GB2312" w:cs="仿宋_GB2312" w:eastAsia="仿宋_GB2312"/>
                <w:sz w:val="21"/>
                <w:color w:val="000000"/>
              </w:rPr>
              <w:t>项（具体详见工程量清单）。</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计划工期：</w:t>
            </w:r>
            <w:r>
              <w:rPr>
                <w:rFonts w:ascii="仿宋_GB2312" w:hAnsi="仿宋_GB2312" w:cs="仿宋_GB2312" w:eastAsia="仿宋_GB2312"/>
                <w:sz w:val="21"/>
                <w:color w:val="000000"/>
              </w:rPr>
              <w:t>合同签订之日起3个月。</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、缺项责任期：工程缺陷责任期不少于</w:t>
            </w:r>
            <w:r>
              <w:rPr>
                <w:rFonts w:ascii="仿宋_GB2312" w:hAnsi="仿宋_GB2312" w:cs="仿宋_GB2312" w:eastAsia="仿宋_GB2312"/>
                <w:sz w:val="21"/>
                <w:color w:val="000000"/>
              </w:rPr>
              <w:t>1</w:t>
            </w:r>
            <w:r>
              <w:rPr>
                <w:rFonts w:ascii="仿宋_GB2312" w:hAnsi="仿宋_GB2312" w:cs="仿宋_GB2312" w:eastAsia="仿宋_GB2312"/>
                <w:sz w:val="21"/>
                <w:color w:val="000000"/>
              </w:rPr>
              <w:t>年，缺陷责任期自工程实际竣工之日起计算。</w:t>
            </w:r>
            <w:r>
              <w:rPr>
                <w:rFonts w:ascii="仿宋_GB2312" w:hAnsi="仿宋_GB2312" w:cs="仿宋_GB2312" w:eastAsia="仿宋_GB2312"/>
                <w:sz w:val="21"/>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符合国家有关验收合格标准。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双方签订合同时具体约定。</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双方签订合同时具体约定。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供应商需提供2025年度财务审计报告或提供文件递交截止日前三个月内从基本户银行开具的资信证明。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w:t>
            </w:r>
          </w:p>
        </w:tc>
        <w:tc>
          <w:tcPr>
            <w:tcW w:type="dxa" w:w="332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具有履行合同所必需的设备和专业技术能力（提供承诺函）</w:t>
            </w:r>
          </w:p>
        </w:tc>
        <w:tc>
          <w:tcPr>
            <w:tcW w:type="dxa" w:w="3322"/>
          </w:tcPr>
          <w:p>
            <w:pPr>
              <w:pStyle w:val="null3"/>
            </w:pPr>
            <w:r>
              <w:rPr>
                <w:rFonts w:ascii="仿宋_GB2312" w:hAnsi="仿宋_GB2312" w:cs="仿宋_GB2312" w:eastAsia="仿宋_GB2312"/>
              </w:rPr>
              <w:t>具有履行合同所必需的设备和专业技术能力（提供承诺函）。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依法缴纳税收和社会保障资金相关材料（磋商截止日前六个月内任意一个月）</w:t>
            </w:r>
          </w:p>
        </w:tc>
        <w:tc>
          <w:tcPr>
            <w:tcW w:type="dxa" w:w="3322"/>
          </w:tcPr>
          <w:p>
            <w:pPr>
              <w:pStyle w:val="null3"/>
            </w:pPr>
            <w:r>
              <w:rPr>
                <w:rFonts w:ascii="仿宋_GB2312" w:hAnsi="仿宋_GB2312" w:cs="仿宋_GB2312" w:eastAsia="仿宋_GB2312"/>
              </w:rPr>
              <w:t>依法缴纳税收和社会保障资金相关材料（磋商截止日前六个月内任意一个月）。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供应商需提供2025年度财务审计报告或提供文件递交截止日前三个月内从基本户银行开具的资信证明</w:t>
            </w:r>
          </w:p>
        </w:tc>
        <w:tc>
          <w:tcPr>
            <w:tcW w:type="dxa" w:w="3322"/>
          </w:tcPr>
          <w:p>
            <w:pPr>
              <w:pStyle w:val="null3"/>
            </w:pPr>
            <w:r>
              <w:rPr>
                <w:rFonts w:ascii="仿宋_GB2312" w:hAnsi="仿宋_GB2312" w:cs="仿宋_GB2312" w:eastAsia="仿宋_GB2312"/>
              </w:rPr>
              <w:t>供应商需提供2025年度财务审计报告或提供文件递交截止日前三个月内从基本户银行开具的资信证明。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法定代表人直接参加磋商的，须出具法人身份证；授权代表参加磋商的，须出具授权书及授权代表身份证</w:t>
            </w:r>
          </w:p>
        </w:tc>
        <w:tc>
          <w:tcPr>
            <w:tcW w:type="dxa" w:w="3322"/>
          </w:tcPr>
          <w:p>
            <w:pPr>
              <w:pStyle w:val="null3"/>
            </w:pPr>
            <w:r>
              <w:rPr>
                <w:rFonts w:ascii="仿宋_GB2312" w:hAnsi="仿宋_GB2312" w:cs="仿宋_GB2312" w:eastAsia="仿宋_GB2312"/>
              </w:rPr>
              <w:t>法定代表人直接参加磋商的，须出具法人身份证；授权代表参加磋商的，须出具授权书及授权代表身份证。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供应商出具本企业参加政府采购活动前三年内经营活动中没有重大违法记录的书面声明</w:t>
            </w:r>
          </w:p>
        </w:tc>
        <w:tc>
          <w:tcPr>
            <w:tcW w:type="dxa" w:w="3322"/>
          </w:tcPr>
          <w:p>
            <w:pPr>
              <w:pStyle w:val="null3"/>
            </w:pPr>
            <w:r>
              <w:rPr>
                <w:rFonts w:ascii="仿宋_GB2312" w:hAnsi="仿宋_GB2312" w:cs="仿宋_GB2312" w:eastAsia="仿宋_GB2312"/>
              </w:rPr>
              <w:t>供应商出具本企业参加政府采购活动前三年内经营活动中没有重大违法记录的书面声明。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备建设行政主管部门颁发的建筑工程施工总承包三级（含）及以上资质，且具有有效的安全生产许可证；拟委派项目经理须具有有效的建筑工程专业贰级（含）及以上注册建造师执业资格并具有有效的安全生产考核合格证（B证），在本单位注册且无在建项目</w:t>
            </w:r>
          </w:p>
        </w:tc>
        <w:tc>
          <w:tcPr>
            <w:tcW w:type="dxa" w:w="3322"/>
          </w:tcPr>
          <w:p>
            <w:pPr>
              <w:pStyle w:val="null3"/>
            </w:pPr>
            <w:r>
              <w:rPr>
                <w:rFonts w:ascii="仿宋_GB2312" w:hAnsi="仿宋_GB2312" w:cs="仿宋_GB2312" w:eastAsia="仿宋_GB2312"/>
              </w:rPr>
              <w:t>具备建设行政主管部门颁发的建筑工程施工总承包三级（含）及以上资质，且具有有效的安全生产许可证；拟委派项目经理须具有有效的建筑工程专业贰级（含）及以上注册建造师执业资格并具有有效的安全生产考核合格证（B证），在本单位注册且无在建项目。</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332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符合“磋商响应文件格式”要求。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只能有一个有效报价，不得提交选择性报价，且报价不超过采购最高限价。</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施工方案及相关技术措施</w:t>
            </w:r>
          </w:p>
        </w:tc>
        <w:tc>
          <w:tcPr>
            <w:tcW w:type="dxa" w:w="2492"/>
          </w:tcPr>
          <w:p>
            <w:pPr>
              <w:pStyle w:val="null3"/>
            </w:pPr>
            <w:r>
              <w:rPr>
                <w:rFonts w:ascii="仿宋_GB2312" w:hAnsi="仿宋_GB2312" w:cs="仿宋_GB2312" w:eastAsia="仿宋_GB2312"/>
              </w:rPr>
              <w:t>针对本项目提供完善的施工方案及相关技术措施，内容包含但不限于：①对项目总体概况表述；②施工部署及措施；③对项目主要及关键方案的表述；④施工总平面图布置等。方案完整，完全包含以上4项且满足实际工作需求的得12分，每缺少一项扣3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针对本项目提供完善的工程质量的技术组织措施，内容包含但不限于：①质量管理工作流程；②工程质量保障方案；③工程质量控制体系；④各施工阶段质量管理措施等。方案完整，完全包含以上4项且满足实际工作需求的得8分，每缺少一项扣2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确保安全施工保证措施</w:t>
            </w:r>
          </w:p>
        </w:tc>
        <w:tc>
          <w:tcPr>
            <w:tcW w:type="dxa" w:w="2492"/>
          </w:tcPr>
          <w:p>
            <w:pPr>
              <w:pStyle w:val="null3"/>
            </w:pPr>
            <w:r>
              <w:rPr>
                <w:rFonts w:ascii="仿宋_GB2312" w:hAnsi="仿宋_GB2312" w:cs="仿宋_GB2312" w:eastAsia="仿宋_GB2312"/>
              </w:rPr>
              <w:t>针对本项目提供完善的安全施工保证措施，内容包含但不限于：①安全生产目标及安全管理体系；②安全生产保障措施；方案完整，完全包含以上2项且满足实际工作需求的得8分，每缺少一项扣4分，每有一项缺陷（缺陷是指不适用项目实际情况、凭空编造、存在逻辑漏洞、科学原理错误、不可能实现的夸大情形以及涉及的规范、标准与本项目要求不一致等）扣1分 ，扣完为止。说明：未提供不得分。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确保文明施工及环境保护的技术组织措施</w:t>
            </w:r>
          </w:p>
        </w:tc>
        <w:tc>
          <w:tcPr>
            <w:tcW w:type="dxa" w:w="2492"/>
          </w:tcPr>
          <w:p>
            <w:pPr>
              <w:pStyle w:val="null3"/>
            </w:pPr>
            <w:r>
              <w:rPr>
                <w:rFonts w:ascii="仿宋_GB2312" w:hAnsi="仿宋_GB2312" w:cs="仿宋_GB2312" w:eastAsia="仿宋_GB2312"/>
              </w:rPr>
              <w:t>针对本项目提供完善的文明施工及环境保护的技术组织措施，内容包含但不限于：①安全文明施工目标及施工现场的管理措施；②文明施工保障措施；③环境保护管理体系及措施等。方案完整，完全包含以上3项且满足实际工作需求的得6分 ，每缺少一项扣2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针对本项目提供完善的工程进度计划与措施，内容包含但不限于：①工期目标及施工进度计划措施；②遇夜间、雨季、高温等情况的工期保证措施。方案完整，完全包含以上2项且满足实际工作需求的得6分 ，每缺少一项扣3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施工机械配备及材料投入计划</w:t>
            </w:r>
          </w:p>
        </w:tc>
        <w:tc>
          <w:tcPr>
            <w:tcW w:type="dxa" w:w="2492"/>
          </w:tcPr>
          <w:p>
            <w:pPr>
              <w:pStyle w:val="null3"/>
            </w:pPr>
            <w:r>
              <w:rPr>
                <w:rFonts w:ascii="仿宋_GB2312" w:hAnsi="仿宋_GB2312" w:cs="仿宋_GB2312" w:eastAsia="仿宋_GB2312"/>
              </w:rPr>
              <w:t>提供针对本项目完善的资源配备计划，内容包含但不限于：①主要材料供应计划；②施工机械设备配备计划；③材料设备发生紧急情况的调度配备计划等。方案完整，完全包含以上3项且满足实际工作需求的得9分，每缺少一项扣3分，每有一项缺陷（缺陷是指不适用项目实际情况、凭空编造、存在逻辑漏洞、科学原理错误、不可能实现的夸大情形以及涉及的规范、标准与本项目要求不一致等）扣1分 ，扣完为止。说明：未提供不得分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项目部组成人员</w:t>
            </w:r>
          </w:p>
        </w:tc>
        <w:tc>
          <w:tcPr>
            <w:tcW w:type="dxa" w:w="2492"/>
          </w:tcPr>
          <w:p>
            <w:pPr>
              <w:pStyle w:val="null3"/>
            </w:pPr>
            <w:r>
              <w:rPr>
                <w:rFonts w:ascii="仿宋_GB2312" w:hAnsi="仿宋_GB2312" w:cs="仿宋_GB2312" w:eastAsia="仿宋_GB2312"/>
              </w:rPr>
              <w:t>供应商提供针对本项目实际需求编制项目部组成人员，包括不限于①项目部组成人员配备计划；②配备人员相关证书；③人员岗位职责。评审标准：内容详细全面，对评审内容中的各项要求有详细描述；切合本项目实际情况，方案全面、施工步骤清晰、合理；方案能够紧扣项目实际情况，内容科学合理。符合本项目要求得9分。评审内容每缺一项扣3分，评审内容有不完整、表达简单笼统、缺少关键点，或不适用本项目特性等扣1分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保修服务措施及承诺</w:t>
            </w:r>
          </w:p>
        </w:tc>
        <w:tc>
          <w:tcPr>
            <w:tcW w:type="dxa" w:w="2492"/>
          </w:tcPr>
          <w:p>
            <w:pPr>
              <w:pStyle w:val="null3"/>
            </w:pPr>
            <w:r>
              <w:rPr>
                <w:rFonts w:ascii="仿宋_GB2312" w:hAnsi="仿宋_GB2312" w:cs="仿宋_GB2312" w:eastAsia="仿宋_GB2312"/>
              </w:rPr>
              <w:t>供应商提供针对本项目实际需求编制保修服务措施及承诺，包括不限于①详细的保修服务措施；②保修承诺。评审标准：内容详细全面，对评审内容中的各项要求有详细描述；切合本项目实际情况，方案全面、施工步骤清晰、合理；方案能够紧扣项目实际情况，内容科学合理。符合本项目要求得6分。评审内容每缺一项扣3分，评审内容有不完整、表达简单笼统、缺少关键点，或不适用本项目特性等扣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供应商近2023年1月至今类似项目业绩，每提供一个业绩得2分，最多得6分（须附类似项目业绩合同的复印件或扫描件，并加盖公章）。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详见附件：施工合同GF.docx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