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版本号：政采-大荔县-2026-0015820260817002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抽排水设备采购项目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政采-大荔县-2026-00158</w:t>
      </w:r>
      <w:r>
        <w:br/>
      </w:r>
      <w:r>
        <w:br/>
      </w:r>
      <w:r>
        <w:br/>
      </w:r>
    </w:p>
    <w:p>
      <w:pPr>
        <w:pStyle w:val="null3"/>
        <w:jc w:val="center"/>
        <w:outlineLvl w:val="2"/>
      </w:pPr>
      <w:r>
        <w:rPr>
          <w:rFonts w:ascii="仿宋_GB2312" w:hAnsi="仿宋_GB2312" w:cs="仿宋_GB2312" w:eastAsia="仿宋_GB2312"/>
          <w:sz w:val="28"/>
          <w:b/>
        </w:rPr>
        <w:t>大荔县防汛物资储备中心</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大荔县防汛物资储备中心</w:t>
      </w:r>
      <w:r>
        <w:rPr>
          <w:rFonts w:ascii="仿宋_GB2312" w:hAnsi="仿宋_GB2312" w:cs="仿宋_GB2312" w:eastAsia="仿宋_GB2312"/>
        </w:rPr>
        <w:t>委托，拟对</w:t>
      </w:r>
      <w:r>
        <w:rPr>
          <w:rFonts w:ascii="仿宋_GB2312" w:hAnsi="仿宋_GB2312" w:cs="仿宋_GB2312" w:eastAsia="仿宋_GB2312"/>
        </w:rPr>
        <w:t>抽排水设备采购项目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政采-大荔县-2026-00158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抽排水设备采购项目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采购一批抽排水设备，补充应急防汛排涝装备缺口，确保汛期洪涝灾害发生时能迅速实施高效排涝抢险，最大程度减少灾害损失，保障群众通行安全、保护农田及农业设施，防范次生灾害。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1、法定代表人授权书/法定代表人身份证明书：法定代表人参与投标时需提供法定代表人身份证明书；被授权人参与投标时需提供法定代表人授权委托书；</w:t>
      </w:r>
    </w:p>
    <w:p>
      <w:pPr>
        <w:pStyle w:val="null3"/>
      </w:pPr>
      <w:r>
        <w:rPr>
          <w:rFonts w:ascii="仿宋_GB2312" w:hAnsi="仿宋_GB2312" w:cs="仿宋_GB2312" w:eastAsia="仿宋_GB2312"/>
        </w:rPr>
        <w:t>2、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3、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1、法定代表人授权书/法定代表人身份证明书：法定代表人参与投标时需提供法定代表人身份证明书；被授权人参与投标时需提供法定代表人授权委托书；</w:t>
      </w:r>
    </w:p>
    <w:p>
      <w:pPr>
        <w:pStyle w:val="null3"/>
      </w:pPr>
      <w:r>
        <w:rPr>
          <w:rFonts w:ascii="仿宋_GB2312" w:hAnsi="仿宋_GB2312" w:cs="仿宋_GB2312" w:eastAsia="仿宋_GB2312"/>
        </w:rPr>
        <w:t>2、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3、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1、法定代表人授权书/法定代表人身份证明书：法定代表人参与投标时需提供法定代表人身份证明书；被授权人参与投标时需提供法定代表人授权委托书；</w:t>
      </w:r>
    </w:p>
    <w:p>
      <w:pPr>
        <w:pStyle w:val="null3"/>
      </w:pPr>
      <w:r>
        <w:rPr>
          <w:rFonts w:ascii="仿宋_GB2312" w:hAnsi="仿宋_GB2312" w:cs="仿宋_GB2312" w:eastAsia="仿宋_GB2312"/>
        </w:rPr>
        <w:t>2、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3、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大荔县防汛物资储备中心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陕西省大荔县西城南社区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白晓东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13335350395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采购包1：164,000.00元</w:t>
            </w:r>
          </w:p>
          <w:p>
            <w:pPr>
              <w:pStyle w:val="null3"/>
            </w:pPr>
            <w:r>
              <w:rPr>
                <w:rFonts w:ascii="仿宋_GB2312" w:hAnsi="仿宋_GB2312" w:cs="仿宋_GB2312" w:eastAsia="仿宋_GB2312"/>
              </w:rPr>
              <w:t>采购包2：208,800.00元</w:t>
            </w:r>
          </w:p>
          <w:p>
            <w:pPr>
              <w:pStyle w:val="null3"/>
            </w:pPr>
            <w:r>
              <w:rPr>
                <w:rFonts w:ascii="仿宋_GB2312" w:hAnsi="仿宋_GB2312" w:cs="仿宋_GB2312" w:eastAsia="仿宋_GB2312"/>
              </w:rPr>
              <w:t>采购包3：390,000.00元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大荔县防汛物资储备中心</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大荔县防汛物资储备中心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大荔县防汛物资储备中心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(2)如采用投标人所不拥有的知识产权，则在投标报价中必须包括合法使用该知识产权的相关费用。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1.验收主体：在供应商履约结束后，由采购人组织验收，验收工作小组由3人以上组成，按照职责分工对照政府采购合同中验收有关事项和标准核对每项验收事项，并按照验收方案应及时组织验收。 2.验收方法：严格依据招标文件、投标文件及采购合同，对装备的品牌、规格型号、数量、技术参数、外观质量进行逐项清点与实测； 3.验收程序： 组织履约：采购人按照政府采购合同组织履约验收； 组建验收工作小组：采购人负责组织履约验收，邀请相关部门参加验收，并确定验收结果； 组织验收：供应商应当严格按合同约定的内容全部完成，并对相关资料进行认真整理，做好验收准备； 出具验收报告：采购人根据验收工作小组验收合格的意见，核对无误后签字确认，并出具验收报告。 4.验收内容：包含采购清单全部内容。 5.验收阶段：供应商按合同约定完成供货并具备正常使用条件后，由采购人组织履约验收时间。 6.验收标准：各项具体工作的质量标准和作业规范，按国家标准、行业标准、有关技术规范要求及招标文件、投标文件规定的内容执行。乙方提供的产品符合国家标准、行业标准以及有关技术规范要求。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1.验收主体：在供应商履约结束后，由采购人组织验收，验收工作小组由3人以上组成，按照职责分工对照政府采购合同中验收有关事项和标准核对每项验收事项，并按照验收方案应及时组织验收。 2.验收方法：严格依据招标文件、投标文件及采购合同，对装备的品牌、规格型号、数量、技术参数、外观质量进行逐项清点与实测； 3.验收程序： 组织履约：采购人按照政府采购合同组织履约验收； 组建验收工作小组：采购人负责组织履约验收，邀请相关部门参加验收，并确定验收结果； 组织验收：供应商应当严格按合同约定的内容全部完成，并对相关资料进行认真整理，做好验收准备； 出具验收报告：采购人根据验收工作小组验收合格的意见，核对无误后签字确认，并出具验收报告。 4.验收内容：包含采购清单全部内容。 5.验收阶段：供应商按合同约定完成供货并具备正常使用条件后，由采购人组织履约验收时间。 6.验收标准：各项具体工作的质量标准和作业规范，按国家标准、行业标准、有关技术规范要求及招标文件、投标文件规定的内容执行。乙方提供的产品符合国家标准、行业标准以及有关技术规范要求。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1.验收主体：在供应商履约结束后，由采购人组织验收，验收工作小组由3人以上组成，按照职责分工对照政府采购合同中验收有关事项和标准核对每项验收事项，并按照验收方案应及时组织验收。 2.验收方法：严格依据招标文件、投标文件及采购合同，对装备的品牌、规格型号、数量、技术参数、外观质量进行逐项清点与实测； 3.验收程序： 组织履约：采购人按照政府采购合同组织履约验收； 组建验收工作小组：采购人负责组织履约验收，邀请相关部门参加验收，并确定验收结果； 组织验收：供应商应当严格按合同约定的内容全部完成，并对相关资料进行认真整理，做好验收准备； 出具验收报告：采购人根据验收工作小组验收合格的意见，核对无误后签字确认，并出具验收报告。 4.验收内容：包含采购清单全部内容。 5.验收阶段：供应商按合同约定完成供货并具备正常使用条件后，由采购人组织履约验收时间。 6.验收标准：各项具体工作的质量标准和作业规范，按国家标准、行业标准、有关技术规范要求及招标文件、投标文件规定的内容执行。乙方提供的产品符合国家标准、行业标准以及有关技术规范要求。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联系电话：19991640961</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采购一批抽排水设备，补充应急防汛排涝装备缺口，确保汛期洪涝灾害发生时能迅速实施高效排涝抢险，最大程度减少灾害损失，保障群众通行安全、保护农田及农业设施，防范次生灾害。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164,000.00</w:t>
      </w:r>
    </w:p>
    <w:p>
      <w:pPr>
        <w:pStyle w:val="null3"/>
      </w:pPr>
      <w:r>
        <w:rPr>
          <w:rFonts w:ascii="仿宋_GB2312" w:hAnsi="仿宋_GB2312" w:cs="仿宋_GB2312" w:eastAsia="仿宋_GB2312"/>
        </w:rPr>
        <w:t>采购包最高限价（元）: 164,000.00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6寸柴油机水泵机组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208,800.00</w:t>
      </w:r>
    </w:p>
    <w:p>
      <w:pPr>
        <w:pStyle w:val="null3"/>
      </w:pPr>
      <w:r>
        <w:rPr>
          <w:rFonts w:ascii="仿宋_GB2312" w:hAnsi="仿宋_GB2312" w:cs="仿宋_GB2312" w:eastAsia="仿宋_GB2312"/>
        </w:rPr>
        <w:t>采购包最高限价（元）: 208,800.00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YG-110柴油机水泵机组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208,800.00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防汛排涝皮卡车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标的名称：6寸柴油机水泵机组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6寸柴油机水泵机组：34台</w:t>
            </w:r>
          </w:p>
          <w:p>
            <w:pPr>
              <w:pStyle w:val="null3"/>
            </w:pPr>
            <w:r>
              <w:rPr>
                <w:rFonts w:ascii="仿宋_GB2312" w:hAnsi="仿宋_GB2312" w:cs="仿宋_GB2312" w:eastAsia="仿宋_GB2312"/>
              </w:rPr>
              <w:t>1.▲机组型式 ：风冷四冲程柴油机自吸泵 ；</w:t>
            </w:r>
          </w:p>
          <w:p>
            <w:pPr>
              <w:pStyle w:val="null3"/>
            </w:pPr>
            <w:r>
              <w:rPr>
                <w:rFonts w:ascii="仿宋_GB2312" w:hAnsi="仿宋_GB2312" w:cs="仿宋_GB2312" w:eastAsia="仿宋_GB2312"/>
              </w:rPr>
              <w:t>2.▲启动方式 ：电启动 /手拉 （双启动模式；</w:t>
            </w:r>
          </w:p>
          <w:p>
            <w:pPr>
              <w:pStyle w:val="null3"/>
            </w:pPr>
            <w:r>
              <w:rPr>
                <w:rFonts w:ascii="仿宋_GB2312" w:hAnsi="仿宋_GB2312" w:cs="仿宋_GB2312" w:eastAsia="仿宋_GB2312"/>
              </w:rPr>
              <w:t xml:space="preserve">3.▲额定流量 ：≥150m³/h ；  </w:t>
            </w:r>
          </w:p>
          <w:p>
            <w:pPr>
              <w:pStyle w:val="null3"/>
            </w:pPr>
            <w:r>
              <w:rPr>
                <w:rFonts w:ascii="仿宋_GB2312" w:hAnsi="仿宋_GB2312" w:cs="仿宋_GB2312" w:eastAsia="仿宋_GB2312"/>
              </w:rPr>
              <w:t xml:space="preserve">4.▲额定扬程：≥15m；   </w:t>
            </w:r>
          </w:p>
          <w:p>
            <w:pPr>
              <w:pStyle w:val="null3"/>
            </w:pPr>
            <w:r>
              <w:rPr>
                <w:rFonts w:ascii="仿宋_GB2312" w:hAnsi="仿宋_GB2312" w:cs="仿宋_GB2312" w:eastAsia="仿宋_GB2312"/>
              </w:rPr>
              <w:t>5.额定转速：≥3600(r/min)；</w:t>
            </w:r>
          </w:p>
          <w:p>
            <w:pPr>
              <w:pStyle w:val="null3"/>
            </w:pPr>
            <w:r>
              <w:rPr>
                <w:rFonts w:ascii="仿宋_GB2312" w:hAnsi="仿宋_GB2312" w:cs="仿宋_GB2312" w:eastAsia="仿宋_GB2312"/>
              </w:rPr>
              <w:t xml:space="preserve">6.▲自吸吸程：≥6m；4m高度自吸时间≤180s；   </w:t>
            </w:r>
          </w:p>
          <w:p>
            <w:pPr>
              <w:pStyle w:val="null3"/>
            </w:pPr>
            <w:r>
              <w:rPr>
                <w:rFonts w:ascii="仿宋_GB2312" w:hAnsi="仿宋_GB2312" w:cs="仿宋_GB2312" w:eastAsia="仿宋_GB2312"/>
              </w:rPr>
              <w:t xml:space="preserve">7.▲额定功率：≥8kW ； </w:t>
            </w:r>
          </w:p>
          <w:p>
            <w:pPr>
              <w:pStyle w:val="null3"/>
            </w:pPr>
            <w:r>
              <w:rPr>
                <w:rFonts w:ascii="仿宋_GB2312" w:hAnsi="仿宋_GB2312" w:cs="仿宋_GB2312" w:eastAsia="仿宋_GB2312"/>
              </w:rPr>
              <w:t>8.油箱容量（L）：≥12.5；</w:t>
            </w:r>
          </w:p>
          <w:p>
            <w:pPr>
              <w:pStyle w:val="null3"/>
            </w:pPr>
            <w:r>
              <w:rPr>
                <w:rFonts w:ascii="仿宋_GB2312" w:hAnsi="仿宋_GB2312" w:cs="仿宋_GB2312" w:eastAsia="仿宋_GB2312"/>
              </w:rPr>
              <w:t>9.口径：进水口径6寸(150mm)，出水口径6寸(150mm)；</w:t>
            </w:r>
          </w:p>
          <w:p>
            <w:pPr>
              <w:pStyle w:val="null3"/>
            </w:pPr>
            <w:r>
              <w:rPr>
                <w:rFonts w:ascii="仿宋_GB2312" w:hAnsi="仿宋_GB2312" w:cs="仿宋_GB2312" w:eastAsia="仿宋_GB2312"/>
              </w:rPr>
              <w:t>10.排量(L)：≥0.499；</w:t>
            </w:r>
          </w:p>
          <w:p>
            <w:pPr>
              <w:pStyle w:val="null3"/>
            </w:pPr>
            <w:r>
              <w:rPr>
                <w:rFonts w:ascii="仿宋_GB2312" w:hAnsi="仿宋_GB2312" w:cs="仿宋_GB2312" w:eastAsia="仿宋_GB2312"/>
              </w:rPr>
              <w:t>11.燃油消耗率（g）kWh：≤282；</w:t>
            </w:r>
          </w:p>
          <w:p>
            <w:pPr>
              <w:pStyle w:val="null3"/>
            </w:pPr>
            <w:r>
              <w:rPr>
                <w:rFonts w:ascii="仿宋_GB2312" w:hAnsi="仿宋_GB2312" w:cs="仿宋_GB2312" w:eastAsia="仿宋_GB2312"/>
              </w:rPr>
              <w:t>12.整体机重：≤160㎏；</w:t>
            </w:r>
          </w:p>
          <w:p>
            <w:pPr>
              <w:pStyle w:val="null3"/>
            </w:pPr>
            <w:r>
              <w:rPr>
                <w:rFonts w:ascii="仿宋_GB2312" w:hAnsi="仿宋_GB2312" w:cs="仿宋_GB2312" w:eastAsia="仿宋_GB2312"/>
              </w:rPr>
              <w:t>13.发动机缸径×行程：≥92mm×75mm；</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标的名称：YG-110柴油机水泵机组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一、移动照明发电泵站（由YG-110柴油机水泵机组、1000立方永磁水泵、平板拖车组成），1套</w:t>
            </w:r>
          </w:p>
          <w:p>
            <w:pPr>
              <w:pStyle w:val="null3"/>
            </w:pPr>
            <w:r>
              <w:rPr>
                <w:rFonts w:ascii="仿宋_GB2312" w:hAnsi="仿宋_GB2312" w:cs="仿宋_GB2312" w:eastAsia="仿宋_GB2312"/>
              </w:rPr>
              <w:t>1.柴油发电机组 机组功率≥110kw 柴油机转速 ≥1500r/min；</w:t>
            </w:r>
          </w:p>
          <w:p>
            <w:pPr>
              <w:pStyle w:val="null3"/>
            </w:pPr>
            <w:r>
              <w:rPr>
                <w:rFonts w:ascii="仿宋_GB2312" w:hAnsi="仿宋_GB2312" w:cs="仿宋_GB2312" w:eastAsia="仿宋_GB2312"/>
              </w:rPr>
              <w:t>2.控制系统 变频柜 四保护数显屏，一键电启动；</w:t>
            </w:r>
          </w:p>
          <w:p>
            <w:pPr>
              <w:pStyle w:val="null3"/>
            </w:pPr>
            <w:r>
              <w:rPr>
                <w:rFonts w:ascii="仿宋_GB2312" w:hAnsi="仿宋_GB2312" w:cs="仿宋_GB2312" w:eastAsia="仿宋_GB2312"/>
              </w:rPr>
              <w:t>3.发电机类型 全铜有刷；</w:t>
            </w:r>
          </w:p>
          <w:p>
            <w:pPr>
              <w:pStyle w:val="null3"/>
            </w:pPr>
            <w:r>
              <w:rPr>
                <w:rFonts w:ascii="仿宋_GB2312" w:hAnsi="仿宋_GB2312" w:cs="仿宋_GB2312" w:eastAsia="仿宋_GB2312"/>
              </w:rPr>
              <w:t>4.水泵 水泵类型 永磁同步电机轴流泵；不锈钢；</w:t>
            </w:r>
          </w:p>
          <w:p>
            <w:pPr>
              <w:pStyle w:val="null3"/>
            </w:pPr>
            <w:r>
              <w:rPr>
                <w:rFonts w:ascii="仿宋_GB2312" w:hAnsi="仿宋_GB2312" w:cs="仿宋_GB2312" w:eastAsia="仿宋_GB2312"/>
              </w:rPr>
              <w:t>5.▲水泵功率≥45千瓦；</w:t>
            </w:r>
          </w:p>
          <w:p>
            <w:pPr>
              <w:pStyle w:val="null3"/>
            </w:pPr>
            <w:r>
              <w:rPr>
                <w:rFonts w:ascii="仿宋_GB2312" w:hAnsi="仿宋_GB2312" w:cs="仿宋_GB2312" w:eastAsia="仿宋_GB2312"/>
              </w:rPr>
              <w:t>6.▲水泵流量≥1000m³/ 水泵扬程≥h 10米；</w:t>
            </w:r>
          </w:p>
          <w:p>
            <w:pPr>
              <w:pStyle w:val="null3"/>
            </w:pPr>
            <w:r>
              <w:rPr>
                <w:rFonts w:ascii="仿宋_GB2312" w:hAnsi="仿宋_GB2312" w:cs="仿宋_GB2312" w:eastAsia="仿宋_GB2312"/>
              </w:rPr>
              <w:t>7.▲水泵自带电缆长度 20米 水泵电缆加长 电缆接头 IP67 防水航空插头；</w:t>
            </w:r>
          </w:p>
          <w:p>
            <w:pPr>
              <w:pStyle w:val="null3"/>
            </w:pPr>
            <w:r>
              <w:rPr>
                <w:rFonts w:ascii="仿宋_GB2312" w:hAnsi="仿宋_GB2312" w:cs="仿宋_GB2312" w:eastAsia="仿宋_GB2312"/>
              </w:rPr>
              <w:t>8.▲标配 浮体二个、尼龙绳 20 米*2；</w:t>
            </w:r>
          </w:p>
          <w:p>
            <w:pPr>
              <w:pStyle w:val="null3"/>
            </w:pPr>
            <w:r>
              <w:rPr>
                <w:rFonts w:ascii="仿宋_GB2312" w:hAnsi="仿宋_GB2312" w:cs="仿宋_GB2312" w:eastAsia="仿宋_GB2312"/>
              </w:rPr>
              <w:t>9.拖车底盘 四轮双轴、板簧悬挂转盘转向、汽车真空轮胎；</w:t>
            </w:r>
          </w:p>
          <w:p>
            <w:pPr>
              <w:pStyle w:val="null3"/>
            </w:pPr>
            <w:r>
              <w:rPr>
                <w:rFonts w:ascii="仿宋_GB2312" w:hAnsi="仿宋_GB2312" w:cs="仿宋_GB2312" w:eastAsia="仿宋_GB2312"/>
              </w:rPr>
              <w:t>10.拖车尺寸（含防雨罩） ≥2600*1560*2100；</w:t>
            </w:r>
          </w:p>
          <w:p>
            <w:pPr>
              <w:pStyle w:val="null3"/>
            </w:pPr>
            <w:r>
              <w:rPr>
                <w:rFonts w:ascii="仿宋_GB2312" w:hAnsi="仿宋_GB2312" w:cs="仿宋_GB2312" w:eastAsia="仿宋_GB2312"/>
              </w:rPr>
              <w:t>11.照明装置 标配前后双闪，箱内两侧 LED 照明 柴油箱容量≥ 60L ；</w:t>
            </w:r>
          </w:p>
          <w:p>
            <w:pPr>
              <w:pStyle w:val="null3"/>
            </w:pPr>
            <w:r>
              <w:rPr>
                <w:rFonts w:ascii="仿宋_GB2312" w:hAnsi="仿宋_GB2312" w:cs="仿宋_GB2312" w:eastAsia="仿宋_GB2312"/>
              </w:rPr>
              <w:t>12.标配 救生圈救援绳一套，220V 插座、USB 接口多；</w:t>
            </w:r>
          </w:p>
          <w:p>
            <w:pPr>
              <w:pStyle w:val="null3"/>
            </w:pPr>
            <w:r>
              <w:rPr>
                <w:rFonts w:ascii="仿宋_GB2312" w:hAnsi="仿宋_GB2312" w:cs="仿宋_GB2312" w:eastAsia="仿宋_GB2312"/>
              </w:rPr>
              <w:t>二、拖车，1台（核心产品）</w:t>
            </w:r>
            <w:r>
              <w:br/>
            </w:r>
            <w:r>
              <w:rPr>
                <w:rFonts w:ascii="仿宋_GB2312" w:hAnsi="仿宋_GB2312" w:cs="仿宋_GB2312" w:eastAsia="仿宋_GB2312"/>
              </w:rPr>
              <w:t xml:space="preserve"> 1.车身颜色:(可定制)</w:t>
            </w:r>
            <w:r>
              <w:br/>
            </w:r>
            <w:r>
              <w:rPr>
                <w:rFonts w:ascii="仿宋_GB2312" w:hAnsi="仿宋_GB2312" w:cs="仿宋_GB2312" w:eastAsia="仿宋_GB2312"/>
              </w:rPr>
              <w:t xml:space="preserve"> 2.外廓尺寸:≥5900*2500*780 内部尺寸:≥4700*2000 轮胎数:4</w:t>
            </w:r>
            <w:r>
              <w:br/>
            </w:r>
            <w:r>
              <w:rPr>
                <w:rFonts w:ascii="仿宋_GB2312" w:hAnsi="仿宋_GB2312" w:cs="仿宋_GB2312" w:eastAsia="仿宋_GB2312"/>
              </w:rPr>
              <w:t xml:space="preserve"> 3.轮胎规格:215/75R15LT6PR</w:t>
            </w:r>
            <w:r>
              <w:br/>
            </w:r>
            <w:r>
              <w:rPr>
                <w:rFonts w:ascii="仿宋_GB2312" w:hAnsi="仿宋_GB2312" w:cs="仿宋_GB2312" w:eastAsia="仿宋_GB2312"/>
              </w:rPr>
              <w:t xml:space="preserve"> 4.(可选配14寸普通轮胎)</w:t>
            </w:r>
            <w:r>
              <w:br/>
            </w:r>
            <w:r>
              <w:rPr>
                <w:rFonts w:ascii="仿宋_GB2312" w:hAnsi="仿宋_GB2312" w:cs="仿宋_GB2312" w:eastAsia="仿宋_GB2312"/>
              </w:rPr>
              <w:t xml:space="preserve"> 5.▲轴距:3390轴数:2</w:t>
            </w:r>
            <w:r>
              <w:br/>
            </w:r>
            <w:r>
              <w:rPr>
                <w:rFonts w:ascii="仿宋_GB2312" w:hAnsi="仿宋_GB2312" w:cs="仿宋_GB2312" w:eastAsia="仿宋_GB2312"/>
              </w:rPr>
              <w:t xml:space="preserve"> 6.▲总质量:≥2400kg、整备质量:≥885kg</w:t>
            </w:r>
            <w:r>
              <w:br/>
            </w:r>
            <w:r>
              <w:rPr>
                <w:rFonts w:ascii="仿宋_GB2312" w:hAnsi="仿宋_GB2312" w:cs="仿宋_GB2312" w:eastAsia="仿宋_GB2312"/>
              </w:rPr>
              <w:t xml:space="preserve"> 7.额定载质量:≥1600kg</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标的名称：防汛排涝皮卡车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防汛排涝皮卡车：1辆</w:t>
            </w:r>
          </w:p>
          <w:p>
            <w:pPr>
              <w:pStyle w:val="null3"/>
            </w:pPr>
            <w:r>
              <w:rPr>
                <w:rFonts w:ascii="仿宋_GB2312" w:hAnsi="仿宋_GB2312" w:cs="仿宋_GB2312" w:eastAsia="仿宋_GB2312"/>
              </w:rPr>
              <w:t>一、整车</w:t>
            </w:r>
          </w:p>
          <w:p>
            <w:pPr>
              <w:pStyle w:val="null3"/>
            </w:pPr>
            <w:r>
              <w:rPr>
                <w:rFonts w:ascii="仿宋_GB2312" w:hAnsi="仿宋_GB2312" w:cs="仿宋_GB2312" w:eastAsia="仿宋_GB2312"/>
              </w:rPr>
              <w:t>1.▲发动机功率（Kw）≥105（满足国六排放标准）；</w:t>
            </w:r>
          </w:p>
          <w:p>
            <w:pPr>
              <w:pStyle w:val="null3"/>
            </w:pPr>
            <w:r>
              <w:rPr>
                <w:rFonts w:ascii="仿宋_GB2312" w:hAnsi="仿宋_GB2312" w:cs="仿宋_GB2312" w:eastAsia="仿宋_GB2312"/>
              </w:rPr>
              <w:t>2.排量（ml）≥2999；</w:t>
            </w:r>
          </w:p>
          <w:p>
            <w:pPr>
              <w:pStyle w:val="null3"/>
            </w:pPr>
            <w:r>
              <w:rPr>
                <w:rFonts w:ascii="仿宋_GB2312" w:hAnsi="仿宋_GB2312" w:cs="仿宋_GB2312" w:eastAsia="仿宋_GB2312"/>
              </w:rPr>
              <w:t>3.▲总质量(kg)≥3295；</w:t>
            </w:r>
          </w:p>
          <w:p>
            <w:pPr>
              <w:pStyle w:val="null3"/>
            </w:pPr>
            <w:r>
              <w:rPr>
                <w:rFonts w:ascii="仿宋_GB2312" w:hAnsi="仿宋_GB2312" w:cs="仿宋_GB2312" w:eastAsia="仿宋_GB2312"/>
              </w:rPr>
              <w:t>4.▲整备质量(kg)≤2970；</w:t>
            </w:r>
          </w:p>
          <w:p>
            <w:pPr>
              <w:pStyle w:val="null3"/>
            </w:pPr>
            <w:r>
              <w:rPr>
                <w:rFonts w:ascii="仿宋_GB2312" w:hAnsi="仿宋_GB2312" w:cs="仿宋_GB2312" w:eastAsia="仿宋_GB2312"/>
              </w:rPr>
              <w:t>5.轴距（mm）≥3406；</w:t>
            </w:r>
          </w:p>
          <w:p>
            <w:pPr>
              <w:pStyle w:val="null3"/>
            </w:pPr>
            <w:r>
              <w:rPr>
                <w:rFonts w:ascii="仿宋_GB2312" w:hAnsi="仿宋_GB2312" w:cs="仿宋_GB2312" w:eastAsia="仿宋_GB2312"/>
              </w:rPr>
              <w:t>6.▲整车尺寸（mm）5600×1850×2050≤整车尺寸≤5680×1890×2150；</w:t>
            </w:r>
          </w:p>
          <w:p>
            <w:pPr>
              <w:pStyle w:val="null3"/>
            </w:pPr>
            <w:r>
              <w:rPr>
                <w:rFonts w:ascii="仿宋_GB2312" w:hAnsi="仿宋_GB2312" w:cs="仿宋_GB2312" w:eastAsia="仿宋_GB2312"/>
              </w:rPr>
              <w:t>7.驾驶室准乘人数2+3人；</w:t>
            </w:r>
          </w:p>
          <w:p>
            <w:pPr>
              <w:pStyle w:val="null3"/>
            </w:pPr>
            <w:r>
              <w:rPr>
                <w:rFonts w:ascii="仿宋_GB2312" w:hAnsi="仿宋_GB2312" w:cs="仿宋_GB2312" w:eastAsia="仿宋_GB2312"/>
              </w:rPr>
              <w:t>8.最高车速(km/h)≥140   ；</w:t>
            </w:r>
          </w:p>
          <w:p>
            <w:pPr>
              <w:pStyle w:val="null3"/>
            </w:pPr>
            <w:r>
              <w:rPr>
                <w:rFonts w:ascii="仿宋_GB2312" w:hAnsi="仿宋_GB2312" w:cs="仿宋_GB2312" w:eastAsia="仿宋_GB2312"/>
              </w:rPr>
              <w:t>9.倒车影像系统：显示器及摄像头，可视倒车影像,显示屏≥7寸 ；</w:t>
            </w:r>
          </w:p>
          <w:p>
            <w:pPr>
              <w:pStyle w:val="null3"/>
            </w:pPr>
            <w:r>
              <w:rPr>
                <w:rFonts w:ascii="仿宋_GB2312" w:hAnsi="仿宋_GB2312" w:cs="仿宋_GB2312" w:eastAsia="仿宋_GB2312"/>
              </w:rPr>
              <w:t>二、发电机组</w:t>
            </w:r>
          </w:p>
          <w:p>
            <w:pPr>
              <w:pStyle w:val="null3"/>
            </w:pPr>
            <w:r>
              <w:rPr>
                <w:rFonts w:ascii="仿宋_GB2312" w:hAnsi="仿宋_GB2312" w:cs="仿宋_GB2312" w:eastAsia="仿宋_GB2312"/>
              </w:rPr>
              <w:t>10.类型：优质发电机组；</w:t>
            </w:r>
          </w:p>
          <w:p>
            <w:pPr>
              <w:pStyle w:val="null3"/>
            </w:pPr>
            <w:r>
              <w:rPr>
                <w:rFonts w:ascii="仿宋_GB2312" w:hAnsi="仿宋_GB2312" w:cs="仿宋_GB2312" w:eastAsia="仿宋_GB2312"/>
              </w:rPr>
              <w:t>11.额定功率：≥30KW 配置底座油箱（可在机组运行期间能安全进行不间断加油，满载运行8小时）；</w:t>
            </w:r>
          </w:p>
          <w:p>
            <w:pPr>
              <w:pStyle w:val="null3"/>
            </w:pPr>
            <w:r>
              <w:rPr>
                <w:rFonts w:ascii="仿宋_GB2312" w:hAnsi="仿宋_GB2312" w:cs="仿宋_GB2312" w:eastAsia="仿宋_GB2312"/>
              </w:rPr>
              <w:t>三、控制系统</w:t>
            </w:r>
          </w:p>
          <w:p>
            <w:pPr>
              <w:pStyle w:val="null3"/>
            </w:pPr>
            <w:r>
              <w:rPr>
                <w:rFonts w:ascii="仿宋_GB2312" w:hAnsi="仿宋_GB2312" w:cs="仿宋_GB2312" w:eastAsia="仿宋_GB2312"/>
              </w:rPr>
              <w:t>12.控制系统为智能型PLC控制，各使用功能均采用一键式启动。全中文液晶显示水温、油温、油压、运行小时、转速、蓄电池电压、三相电流、三相电压、频率；</w:t>
            </w:r>
          </w:p>
          <w:p>
            <w:pPr>
              <w:pStyle w:val="null3"/>
            </w:pPr>
            <w:r>
              <w:rPr>
                <w:rFonts w:ascii="仿宋_GB2312" w:hAnsi="仿宋_GB2312" w:cs="仿宋_GB2312" w:eastAsia="仿宋_GB2312"/>
              </w:rPr>
              <w:t>四、接地装置</w:t>
            </w:r>
          </w:p>
          <w:p>
            <w:pPr>
              <w:pStyle w:val="null3"/>
            </w:pPr>
            <w:r>
              <w:rPr>
                <w:rFonts w:ascii="仿宋_GB2312" w:hAnsi="仿宋_GB2312" w:cs="仿宋_GB2312" w:eastAsia="仿宋_GB2312"/>
              </w:rPr>
              <w:t>13.配置与车箱内连接的接地桩头；</w:t>
            </w:r>
          </w:p>
          <w:p>
            <w:pPr>
              <w:pStyle w:val="null3"/>
            </w:pPr>
            <w:r>
              <w:rPr>
                <w:rFonts w:ascii="仿宋_GB2312" w:hAnsi="仿宋_GB2312" w:cs="仿宋_GB2312" w:eastAsia="仿宋_GB2312"/>
              </w:rPr>
              <w:t>五、便携式潜水泵</w:t>
            </w:r>
          </w:p>
          <w:p>
            <w:pPr>
              <w:pStyle w:val="null3"/>
            </w:pPr>
            <w:r>
              <w:rPr>
                <w:rFonts w:ascii="仿宋_GB2312" w:hAnsi="仿宋_GB2312" w:cs="仿宋_GB2312" w:eastAsia="仿宋_GB2312"/>
              </w:rPr>
              <w:t>（一）单台潜水电泵排水量要求：</w:t>
            </w:r>
          </w:p>
          <w:p>
            <w:pPr>
              <w:pStyle w:val="null3"/>
            </w:pPr>
            <w:r>
              <w:rPr>
                <w:rFonts w:ascii="仿宋_GB2312" w:hAnsi="仿宋_GB2312" w:cs="仿宋_GB2312" w:eastAsia="仿宋_GB2312"/>
              </w:rPr>
              <w:t>14.流量要求：≥500立方米/小时，扬程要求≥10米，同时满足450立方米/小时，扬程11米，功率≥20kw；</w:t>
            </w:r>
          </w:p>
          <w:p>
            <w:pPr>
              <w:pStyle w:val="null3"/>
            </w:pPr>
            <w:r>
              <w:rPr>
                <w:rFonts w:ascii="仿宋_GB2312" w:hAnsi="仿宋_GB2312" w:cs="仿宋_GB2312" w:eastAsia="仿宋_GB2312"/>
              </w:rPr>
              <w:t>（二）排水系统</w:t>
            </w:r>
          </w:p>
          <w:p>
            <w:pPr>
              <w:pStyle w:val="null3"/>
            </w:pPr>
            <w:r>
              <w:rPr>
                <w:rFonts w:ascii="仿宋_GB2312" w:hAnsi="仿宋_GB2312" w:cs="仿宋_GB2312" w:eastAsia="仿宋_GB2312"/>
              </w:rPr>
              <w:t>15.▲水泵额定功率≥20KW,重量≤28kg，转速≥3300，绝缘等级≥F级，防护等级≥IP68，出水口径≤DN200；</w:t>
            </w:r>
          </w:p>
          <w:p>
            <w:pPr>
              <w:pStyle w:val="null3"/>
            </w:pPr>
            <w:r>
              <w:rPr>
                <w:rFonts w:ascii="仿宋_GB2312" w:hAnsi="仿宋_GB2312" w:cs="仿宋_GB2312" w:eastAsia="仿宋_GB2312"/>
              </w:rPr>
              <w:t>16.外形尺寸：长≤250mm，宽≤250mm，高≤460mm；</w:t>
            </w:r>
          </w:p>
          <w:p>
            <w:pPr>
              <w:pStyle w:val="null3"/>
            </w:pPr>
            <w:r>
              <w:rPr>
                <w:rFonts w:ascii="仿宋_GB2312" w:hAnsi="仿宋_GB2312" w:cs="仿宋_GB2312" w:eastAsia="仿宋_GB2312"/>
              </w:rPr>
              <w:t>17.水泵机身采用采用高强度铝合金或不锈钢材质；</w:t>
            </w:r>
          </w:p>
          <w:p>
            <w:pPr>
              <w:pStyle w:val="null3"/>
            </w:pPr>
            <w:r>
              <w:rPr>
                <w:rFonts w:ascii="仿宋_GB2312" w:hAnsi="仿宋_GB2312" w:cs="仿宋_GB2312" w:eastAsia="仿宋_GB2312"/>
              </w:rPr>
              <w:t>18.电压和接线方式：电压380V；接线方式：三相四线；</w:t>
            </w:r>
          </w:p>
          <w:p>
            <w:pPr>
              <w:pStyle w:val="null3"/>
            </w:pPr>
            <w:r>
              <w:rPr>
                <w:rFonts w:ascii="仿宋_GB2312" w:hAnsi="仿宋_GB2312" w:cs="仿宋_GB2312" w:eastAsia="仿宋_GB2312"/>
              </w:rPr>
              <w:t>19.电缆：单泵自带潜水级电缆20米，采用防水快速接头，接头防护等级≥IP67；</w:t>
            </w:r>
          </w:p>
          <w:p>
            <w:pPr>
              <w:pStyle w:val="null3"/>
            </w:pPr>
            <w:r>
              <w:rPr>
                <w:rFonts w:ascii="仿宋_GB2312" w:hAnsi="仿宋_GB2312" w:cs="仿宋_GB2312" w:eastAsia="仿宋_GB2312"/>
              </w:rPr>
              <w:t>（三）控制系统</w:t>
            </w:r>
          </w:p>
          <w:p>
            <w:pPr>
              <w:pStyle w:val="null3"/>
            </w:pPr>
            <w:r>
              <w:rPr>
                <w:rFonts w:ascii="仿宋_GB2312" w:hAnsi="仿宋_GB2312" w:cs="仿宋_GB2312" w:eastAsia="仿宋_GB2312"/>
              </w:rPr>
              <w:t>20.控制系统内置于控制柜内，柜体具有双层柜门防护控制系统，控制柜为拉杆式箱体，后面配有拉杆，底部配有静音轮，两侧配有提手，便于搬运，控制系统有可视化操作界面，控制仪表在黑暗或日光下能清晰读取运行参数；实时监测运行参数，带有漏电、电流过载、缺相、过压、欠压、过频、欠频、电机过热等显示功能，并具有相应的安全保护措施；</w:t>
            </w:r>
          </w:p>
          <w:p>
            <w:pPr>
              <w:pStyle w:val="null3"/>
            </w:pPr>
            <w:r>
              <w:rPr>
                <w:rFonts w:ascii="仿宋_GB2312" w:hAnsi="仿宋_GB2312" w:cs="仿宋_GB2312" w:eastAsia="仿宋_GB2312"/>
              </w:rPr>
              <w:t>21.控制柜采用不锈钢材质能够户外防雨防护等级:≥IP55，控制柜具备用自动切断电源作防护 ，可自动切断电源作防护；</w:t>
            </w:r>
          </w:p>
          <w:p>
            <w:pPr>
              <w:pStyle w:val="null3"/>
            </w:pPr>
            <w:r>
              <w:rPr>
                <w:rFonts w:ascii="仿宋_GB2312" w:hAnsi="仿宋_GB2312" w:cs="仿宋_GB2312" w:eastAsia="仿宋_GB2312"/>
              </w:rPr>
              <w:t>22.控制柜尺寸要求长≦500mm×宽≦450mm高≦750mm，控制柜重量≤25kg；</w:t>
            </w:r>
          </w:p>
          <w:p>
            <w:pPr>
              <w:pStyle w:val="null3"/>
            </w:pPr>
            <w:r>
              <w:rPr>
                <w:rFonts w:ascii="仿宋_GB2312" w:hAnsi="仿宋_GB2312" w:cs="仿宋_GB2312" w:eastAsia="仿宋_GB2312"/>
              </w:rPr>
              <w:t>（四）排水管</w:t>
            </w:r>
          </w:p>
          <w:p>
            <w:pPr>
              <w:pStyle w:val="null3"/>
            </w:pPr>
            <w:r>
              <w:rPr>
                <w:rFonts w:ascii="仿宋_GB2312" w:hAnsi="仿宋_GB2312" w:cs="仿宋_GB2312" w:eastAsia="仿宋_GB2312"/>
              </w:rPr>
              <w:t>23.潜水泵配置一卷出水软管（25m/卷），软管为快速接头连接，操作方便，安全可靠。水管材质为聚氨酯帆布水带，耐磨，耐压，快速接头为不锈钢卡箍式接头；</w:t>
            </w:r>
          </w:p>
          <w:p>
            <w:pPr>
              <w:pStyle w:val="null3"/>
            </w:pPr>
            <w:r>
              <w:rPr>
                <w:rFonts w:ascii="仿宋_GB2312" w:hAnsi="仿宋_GB2312" w:cs="仿宋_GB2312" w:eastAsia="仿宋_GB2312"/>
              </w:rPr>
              <w:t>六、警示灯</w:t>
            </w:r>
          </w:p>
          <w:p>
            <w:pPr>
              <w:pStyle w:val="null3"/>
            </w:pPr>
            <w:r>
              <w:rPr>
                <w:rFonts w:ascii="仿宋_GB2312" w:hAnsi="仿宋_GB2312" w:cs="仿宋_GB2312" w:eastAsia="仿宋_GB2312"/>
              </w:rPr>
              <w:t>24.长排警示灯：驾驶室顶部安装长排工程警示灯，带喊话器；</w:t>
            </w:r>
          </w:p>
          <w:p>
            <w:pPr>
              <w:pStyle w:val="null3"/>
            </w:pPr>
            <w:r>
              <w:rPr>
                <w:rFonts w:ascii="仿宋_GB2312" w:hAnsi="仿宋_GB2312" w:cs="仿宋_GB2312" w:eastAsia="仿宋_GB2312"/>
              </w:rPr>
              <w:t>25.圆柱警示灯：车辆尾部顶部安装两只圆柱警示灯；</w:t>
            </w:r>
          </w:p>
          <w:p>
            <w:pPr>
              <w:pStyle w:val="null3"/>
            </w:pPr>
            <w:r>
              <w:rPr>
                <w:rFonts w:ascii="仿宋_GB2312" w:hAnsi="仿宋_GB2312" w:cs="仿宋_GB2312" w:eastAsia="仿宋_GB2312"/>
              </w:rPr>
              <w:t>26.爆闪灯：车厢两侧安装爆闪灯；</w:t>
            </w:r>
          </w:p>
          <w:p>
            <w:pPr>
              <w:pStyle w:val="null3"/>
            </w:pPr>
            <w:r>
              <w:rPr>
                <w:rFonts w:ascii="仿宋_GB2312" w:hAnsi="仿宋_GB2312" w:cs="仿宋_GB2312" w:eastAsia="仿宋_GB2312"/>
              </w:rPr>
              <w:t>27.高位刹车灯：车辆尾部上方设有高位刹车灯；</w:t>
            </w:r>
          </w:p>
          <w:p>
            <w:pPr>
              <w:pStyle w:val="null3"/>
            </w:pPr>
            <w:r>
              <w:rPr>
                <w:rFonts w:ascii="仿宋_GB2312" w:hAnsi="仿宋_GB2312" w:cs="仿宋_GB2312" w:eastAsia="仿宋_GB2312"/>
              </w:rPr>
              <w:t>七、厢体</w:t>
            </w:r>
          </w:p>
          <w:p>
            <w:pPr>
              <w:pStyle w:val="null3"/>
            </w:pPr>
            <w:r>
              <w:rPr>
                <w:rFonts w:ascii="仿宋_GB2312" w:hAnsi="仿宋_GB2312" w:cs="仿宋_GB2312" w:eastAsia="仿宋_GB2312"/>
              </w:rPr>
              <w:t>28.车厢门、内衬隔声及装饰材料 厢体外部钢材为优质冷轧钢板，内衬优质冷轧钢板折弯骨架，工艺先进，强度牢固。厢体为全密封结构，具备运输、防雨、防腐、防火、防锈要求。车厢两侧设百叶窗，后部设开门；</w:t>
            </w:r>
          </w:p>
          <w:p>
            <w:pPr>
              <w:pStyle w:val="null3"/>
            </w:pPr>
            <w:r>
              <w:rPr>
                <w:rFonts w:ascii="仿宋_GB2312" w:hAnsi="仿宋_GB2312" w:cs="仿宋_GB2312" w:eastAsia="仿宋_GB2312"/>
              </w:rPr>
              <w:t>八、照明</w:t>
            </w:r>
          </w:p>
          <w:p>
            <w:pPr>
              <w:pStyle w:val="null3"/>
            </w:pPr>
            <w:r>
              <w:rPr>
                <w:rFonts w:ascii="仿宋_GB2312" w:hAnsi="仿宋_GB2312" w:cs="仿宋_GB2312" w:eastAsia="仿宋_GB2312"/>
              </w:rPr>
              <w:t>29.直交流双路照明电源，车厢内照明灯在启动发电机组时采用发电机组供电，发电机组停机时采用车辆直流电瓶电源供电，可实现便捷切换；</w:t>
            </w:r>
          </w:p>
          <w:p>
            <w:pPr>
              <w:pStyle w:val="null3"/>
            </w:pPr>
            <w:r>
              <w:rPr>
                <w:rFonts w:ascii="仿宋_GB2312" w:hAnsi="仿宋_GB2312" w:cs="仿宋_GB2312" w:eastAsia="仿宋_GB2312"/>
              </w:rPr>
              <w:t>九、消防</w:t>
            </w:r>
          </w:p>
          <w:p>
            <w:pPr>
              <w:pStyle w:val="null3"/>
            </w:pPr>
            <w:r>
              <w:rPr>
                <w:rFonts w:ascii="仿宋_GB2312" w:hAnsi="仿宋_GB2312" w:cs="仿宋_GB2312" w:eastAsia="仿宋_GB2312"/>
              </w:rPr>
              <w:t>30.配两只手提式干粉灭火器2只，摆放于车上易拿取处；必须是具有合法上牌手续的车辆；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合同签订后10日历天内完成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合同签订后10日历天内完成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合同签订后10日历天内完成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大荔县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进度款，供货完成并验收合格后，达到付款条件起30个工作日内，支付合同总金额的100.0%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进度款，供货完成并验收合格后，达到付款条件起30个工作日内，支付合同总金额的100.0%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进度款，供货完成并验收合格后，达到付款条件起30个工作日内，支付合同总金额的100.0%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各项具体工作的质量标准和作业规范，按国家标准、行业标准、有关技术规范要求及招标文件、投标文件规定的内容执行。乙方提供的产品符合国家标准、行业标准以及有关技术规范要求。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各项具体工作的质量标准和作业规范，按国家标准、行业标准、有关技术规范要求及招标文件、投标文件规定的内容执行。乙方提供的产品符合国家标准、行业标准以及有关技术规范要求。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各项具体工作的质量标准和作业规范，按国家标准、行业标准、有关技术规范要求及招标文件、投标文件规定的内容执行。乙方提供的产品符合国家标准、行业标准以及有关技术规范要求。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三年或6万公里；随车器材一年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（一）未按合同要求提供产品不能满足技术要求，甲方会同监督机构、采购代理机构有权终止合同并对乙方的违约行为进行追究，同时按政府采购供应商管理办法进行相应的处罚。 （二）甲方应按照合同约定的时间和比例向乙方支付货款。甲方逾期付款的，应按照逾期未支付货款金额的同期银行贷款利率向乙方支付违约金。 （三）乙方交付的标的物不符合约定的，甲方可以解除合同，并要求乙方按照合同的20%支付违约金。由此给甲方造成损失的，乙方还应当赔偿损失。 （四）乙方逾期交货的，每逾期一日按合同价款的3‰ 向甲方支付违约金。逾期达 5 日，甲方有权解除合同，乙方应按合同价款的 20 %向甲方支付违约金，并赔偿由此给甲方造成的相关经济损失。 （五）乙方未在约定的期限内完成安装调试并经甲方验收合格的，每逾期一日按照合同总价款的 3 ‰向甲方支付违约金。逾期达 5日，甲方有权解除合同，并要求乙方按照合同总价款的 20 %支付违约金。由此给甲方造成损失的，乙方还应当赔偿损失。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（一）未按合同要求提供产品不能满足技术要求，甲方会同监督机构、采购代理机构有权终止合同并对乙方的违约行为进行追究，同时按政府采购供应商管理办法进行相应的处罚。 （二）甲方应按照合同约定的时间和比例向乙方支付货款。甲方逾期付款的，应按照逾期未支付货款金额的同期银行贷款利率向乙方支付违约金。 （三）乙方交付的标的物不符合约定的，甲方可以解除合同，并要求乙方按照合同的20%支付违约金。由此给甲方造成损失的，乙方还应当赔偿损失。 （四）乙方逾期交货的，每逾期一日按合同价款的3‰ 向甲方支付违约金。逾期达 5 日，甲方有权解除合同，乙方应按合同价款的 20 %向甲方支付违约金，并赔偿由此给甲方造成的相关经济损失。 （五）乙方未在约定的期限内完成安装调试并经甲方验收合格的，每逾期一日按照合同总价款的 3 ‰向甲方支付违约金。逾期达 5日，甲方有权解除合同，并要求乙方按照合同总价款的 20 %支付违约金。由此给甲方造成损失的，乙方还应当赔偿损失。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（一）未按合同要求提供产品不能满足技术要求，甲方会同监督机构、采购代理机构有权终止合同并对乙方的违约行为进行追究，同时按政府采购供应商管理办法进行相应的处罚。 （二）甲方应按照合同约定的时间和比例向乙方支付货款。甲方逾期付款的，应按照逾期未支付货款金额的同期银行贷款利率向乙方支付违约金。 （三）乙方交付的标的物不符合约定的，甲方可以解除合同，并要求乙方按照合同的20%支付违约金。由此给甲方造成损失的，乙方还应当赔偿损失。 （四）乙方逾期交货的，每逾期一日按合同价款的3‰ 向甲方支付违约金。逾期达 5 日，甲方有权解除合同，乙方应按合同价款的 20 %向甲方支付违约金，并赔偿由此给甲方造成的相关经济损失。 （五）乙方未在约定的期限内完成安装调试并经甲方验收合格的，每逾期一日按照合同总价款的 3 ‰向甲方支付违约金。逾期达 5日，甲方有权解除合同，并要求乙方按照合同总价款的 20 %支付违约金。由此给甲方造成损失的，乙方还应当赔偿损失。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中标人在中标结果公告发布后3个工作日内提供叁套纸质投标文件（经编标工具生成的文件直接打印并加盖公章）， 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投标人为具有独立承担民事责任能力的企业法人、事业法人、其他组织或者自然人。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税收缴纳证明：提供投标文件递交截止时间前一年内任意一个月的缴费凭据；依法免税的应提供相关文件证明；社会保障资金缴纳证明：提供投标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参加政府采购活动前三年内在经营活动中无重大违法记录的书面声明。（格式自拟）</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投标人为具有独立承担民事责任能力的企业法人、事业法人、其他组织或者自然人；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税收缴纳证明：提供投标文件递交截止时间前一年内任意一个月的缴费凭据；依法免税的应提供相关文件证明；社会保障资金缴纳证明：提供投标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参加政府采购活动前三年内在经营活动中无重大违法记录的书面声明。（格式自拟）</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投标人为具有独立承担民事责任能力的企业法人、事业法人、其他组织或者自然人。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税收缴纳证明：提供投标文件递交截止时间前一年内任意一个月的缴费凭据；依法免税的应提供相关文件证明；社会保障资金缴纳证明：提供投标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参加政府采购活动前三年内在经营活动中无重大违法记录的书面声明。（格式自拟）</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产品分项报价表.docx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投标文件按照招标文件要求进行签章</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产品技术参数表 产品分项报价表.docx 投标函 政府采购供应商拒绝政府采购领域商业贿赂承诺书.pdf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招标文件规定的其他情形。</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产品技术参数表 产品分项报价表.docx 投标函 政府采购供应商拒绝政府采购领域商业贿赂承诺书.pdf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投标文件按照招标文件要求进行签章</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产品技术参数表 产品分项报价表.docx 投标函 政府采购供应商拒绝政府采购领域商业贿赂承诺书.pdf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招标文件规定的其他情形。</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产品技术参数表 产品分项报价表.docx 投标函 政府采购供应商拒绝政府采购领域商业贿赂承诺书.pdf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投标文件按照招标文件要求进行签章</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产品技术参数表 产品分项报价表.docx 投标函 政府采购供应商拒绝政府采购领域商业贿赂承诺书.pdf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招标文件规定的其他情形。</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产品技术参数表 产品分项报价表.docx 投标函 政府采购供应商拒绝政府采购领域商业贿赂承诺书.pdf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所提供的证明材料，配置和功能、技术指标和性能综合评分，“▲”项参数满分18分，每负偏离一项扣3分，扣完为止；非“▲”号项参数满分7分，每负偏离一项扣1分，扣完为止。注：投标人应根据技术要求提供佐证材料（不局限于检测报告、产品彩页、官网截图、说明书等）以证明参数的技术响应性，投标人自负因佐证材料不全而造成技术参数响应负偏离的后果。</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包含不限于： ①供货产品信息；②生产能力；③运输方式；④供货组织架构与人员安排； 以上内容无缺项，专门针对本项目编制，符合本项目实际情况，内容全面详细，且条理清晰、准确、措施合理化能够保障项目顺利实施的得12分。每小项缺项或者内容非针对于本项目的扣3分，每小项有一处缺陷的扣1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 ①质量保证承诺；②质量保障措施；③产品来源渠道合法证明材料等 以上内容无缺项，专门针对本项目编制，符合本项目实际情况，内容全面详细，且条理清晰、准确、措施合理化能够保障项目顺利实施的得3分。每小项缺项或者内容非针对于本项目的扣1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包含但不限于：①对紧急或突发业务的应急保障措施；②应急响应时间及出现问题应急人员安排。 以上内容无缺项，专门针对本项目编制，符合本项目实际情况，内容全面详细，且条理清晰、准确、措施合理化能够保障项目顺利实施的得2分。每小项缺项或者内容非针对于本项目的扣1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包含但不限于：①售后服务内容；②售后服务人员安排；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项目实施人员配备情况：①项目管理机构人员配备4人及以上得5分； ②项目管理机构人员配备2-3人得3分。 注：须提供与本项目履约相关的岗位人员资格证明材料。缺项或未按要求提供有效证明材料的，本项计0分。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提供的产品为节能产品政府采购清单中优先采购的节能产品截图和认证证书)产品的计1分;为环境标志产品政府采购清单中的产品的计1分;同时为节能产品政府采购清单中优先采购的节能产品和环境标志产品政府采购清单中的产品的得2分。此项满分2分(提供清单内产品截图和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提供投标人或生产厂商近三年内（2023年7月至今）的类似项目业绩，每提供一个业绩得2分，本项最高得10分。 注：（合同复印件加盖投标人公章，以合同时间签订为准）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①供货期：满足基础交付时限的前提下，每提前1天加1分，最高不超过3分； ②故障修复时效性：承诺接到报修后2小时内到达现场处理得3分；接到报修后4小时内到达现场处理得1分； ③质保期：满足基础质保时限的前提下，每延长1年加1分，最高不超过2分；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所提供的证明材料，配置和功能、技术指标和性能综合评分，“▲”项参数满分12分，每负偏离一项扣2分，扣完为止；非“▲”号项参数满分13分，每负偏离一项扣1分，扣完为止。注：投标人应根据技术要求提供佐证材料（不局限于检测报告、产品彩页、官网截图、说明书等）以证明参数的技术响应性，投标人自负因佐证材料不全而造成技术参数响应负偏离的后果。</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包含不限于： ①供货产品信息；②生产能力；③运输方式；④供货组织架构与人员安排； 以上内容无缺项，专门针对本项目编制，符合本项目实际情况，内容全面详细，且条理清晰、准确、措施合理化能够保障项目顺利实施的得12分。每小项缺项或者内容非针对于本项目的扣3分，每小项有一处缺陷的扣1分，扣完为止。 缺陷是指： ①内容不完整、缺少关键点； ②针对性不强、内容无紧扣项目实际情况； 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 ①质量保证承诺；②质量保障措施；③产品来源渠道合法证明材料等 以上内容无缺项，专门针对本项目编制，符合本项目实际情况，内容全面详细，且条理清晰、准确、措施合理化能够保障项目顺利实施的得3分。每小项缺项或者内容非针对于本项目的扣1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包含但不限于：①对紧急或突发业务的应急保障措施；②应急响应时间及出现问题应急人员安排。 以上内容无缺项，专门针对本项目编制，符合本项目实际情况，内容全面详细，且条理清晰、准确、措施合理化能够保障项目顺利实施的得2分。每小项缺项或者内容非针对于本项目的扣1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包含但不限于：①售后服务内容；②售后服务人员安排；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项目实施人员配备情况：①项目管理机构人员配备4人及以上得5分； ②项目管理机构人员配备2-3人得3分。 注：须提供与本项目履约相关的岗位人员资格证明材料。缺项或未按要求提供有效证明材料的，本项计0分。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提供的产品为节能产品政府采购清单中优先采购的节能产品截图和认证证书)产品的计1分;为环境标志产品政府采购清单中的产品的计1分;同时为节能产品政府采购清单中优先采购的节能产品和环境标志产品政府采购清单中的产品的得2分。此项满分2分(提供清单内产品截图和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提供投标人或生产厂商近三年内（2023年7月至今）的类似项目业绩，每提供一个业绩得2分，本项最高得10分。 注：（合同复印件加盖投标人公章，以合同时间签订为准）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①供货期：满足基础交付时限的前提下，每提前1天加1分，最高不超过3分； ②故障修复时效性：承诺接到报修后2小时内到达现场处理得3分；接到报修后4小时内到达现场处理得1分； ③质保期：满足基础质保时限的前提下，每延长1年加1分，最高不超过2分；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所提供的证明材料，配置和功能、技术指标和性能综合评分，“▲”项参数满分10分，每负偏离一项扣2分，扣完为止；非“▲”号项参数满分15分，每负偏离一项扣0.6分，扣完为止。注：投标人应根据技术要求提供佐证材料（不局限于检测报告、产品彩页、官网截图、说明书等）以证明参数的技术响应性，投标人自负因佐证材料不全而造成技术参数响应负偏离的后果。</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包含不限于： ①供货产品信息；②生产能力；③运输方式；④供货组织架构与人员安排； 以上内容无缺项，专门针对本项目编制，符合本项目实际情况，内容全面详细，且条理清晰、准确、措施合理化能够保障项目顺利实施的得12分。每小项缺项或者内容非针对于本项目的扣3分，每小项有一处缺陷的扣1分，扣完为止。 缺陷是指： ①内容不完整、缺少关键点； ②针对性不强、内容无紧扣项目实际情况； 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 ①质量保证承诺；②质量保障措施；③产品来源渠道合法证明材料等 以上内容无缺项，专门针对本项目编制，符合本项目实际情况，内容全面详细，且条理清晰、准确、措施合理化能够保障项目顺利实施的得3分。每小项缺项或者内容非针对于本项目的扣1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包含但不限于：①对紧急或突发业务的应急保障措施；②应急响应时间及出现问题应急人员安排。 以上内容无缺项，专门针对本项目编制，符合本项目实际情况，内容全面详细，且条理清晰、准确、措施合理化能够保障项目顺利实施的得2分。每小项缺项或者内容非针对于本项目的扣1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包含但不限于：①售后服务内容；②售后服务人员安排；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项目实施人员配备情况：①项目管理机构人员配备4人及以上得5分； ②项目管理机构人员配备2-3人得3分。 注：须提供与本项目履约相关的岗位人员资格证明材料。缺项或未按要求提供有效证明材料的，本项计0分。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提供的产品为节能产品政府采购清单中优先采购的节能产品截图和认证证书)产品的计1分;为环境标志产品政府采购清单中的产品的计1分;同时为节能产品政府采购清单中优先采购的节能产品和环境标志产品政府采购清单中的产品的得2分。此项满分2分(提供清单内产品截图和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提供投标人或生产厂商近三年内（2023年7月至今）的类似项目业绩，每提供一个业绩得2分，本项最高得10分。 注：（合同复印件加盖投标人公章，以合同时间签订为准）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①供货期：满足基础交付时限的前提下，每提前1天加1分，最高不超过3分； ②故障修复时效性：承诺接到报修后2小时内到达现场处理得3分；接到报修后4小时内到达现场处理得1分； ③质保期：满足基础质保时限的前提下，每延长1年或1万公里加1分，最高不超过2分；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详见附件：政府采购供应商拒绝政府采购领域商业贿赂承诺书.pdf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详见附件：政府采购供应商拒绝政府采购领域商业贿赂承诺书.pdf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