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32EF0">
      <w:pPr>
        <w:widowControl/>
        <w:tabs>
          <w:tab w:val="left" w:pos="3960"/>
          <w:tab w:val="left" w:pos="8460"/>
        </w:tabs>
        <w:spacing w:line="360" w:lineRule="auto"/>
        <w:rPr>
          <w:rFonts w:hint="eastAsia" w:ascii="宋体" w:hAnsi="宋体" w:eastAsia="宋体" w:cs="宋体"/>
          <w:b/>
          <w:color w:val="000000"/>
          <w:sz w:val="32"/>
          <w:szCs w:val="32"/>
          <w:lang w:val="en-US" w:eastAsia="zh-CN"/>
        </w:rPr>
      </w:pPr>
      <w:bookmarkStart w:id="386" w:name="_GoBack"/>
      <w:bookmarkEnd w:id="386"/>
      <w:r>
        <w:rPr>
          <w:rFonts w:hint="eastAsia" w:ascii="宋体" w:hAnsi="宋体" w:eastAsia="宋体" w:cs="宋体"/>
          <w:b/>
          <w:color w:val="000000"/>
          <w:sz w:val="32"/>
          <w:szCs w:val="32"/>
        </w:rPr>
        <w:t>项目编号：</w:t>
      </w:r>
      <w:r>
        <w:rPr>
          <w:rFonts w:hint="eastAsia" w:ascii="宋体" w:hAnsi="宋体" w:eastAsia="宋体" w:cs="宋体"/>
          <w:b/>
          <w:color w:val="000000"/>
          <w:sz w:val="32"/>
          <w:szCs w:val="32"/>
          <w:lang w:eastAsia="zh-CN"/>
        </w:rPr>
        <w:t>SXCY2026-06</w:t>
      </w:r>
    </w:p>
    <w:p w14:paraId="5A7BE5A1">
      <w:pPr>
        <w:pStyle w:val="17"/>
        <w:spacing w:line="360" w:lineRule="auto"/>
        <w:rPr>
          <w:rFonts w:hint="eastAsia" w:ascii="宋体" w:hAnsi="宋体" w:cs="宋体"/>
          <w:sz w:val="28"/>
          <w:szCs w:val="28"/>
        </w:rPr>
      </w:pPr>
    </w:p>
    <w:p w14:paraId="057539AD">
      <w:pPr>
        <w:pStyle w:val="17"/>
        <w:jc w:val="both"/>
        <w:rPr>
          <w:rFonts w:hint="eastAsia" w:ascii="宋体" w:hAnsi="宋体" w:cs="宋体"/>
          <w:b/>
          <w:color w:val="000000"/>
          <w:sz w:val="48"/>
          <w:szCs w:val="48"/>
          <w:lang w:eastAsia="zh-CN"/>
        </w:rPr>
      </w:pPr>
    </w:p>
    <w:p w14:paraId="0DF07B47">
      <w:pPr>
        <w:pStyle w:val="33"/>
        <w:rPr>
          <w:rFonts w:hint="eastAsia"/>
          <w:lang w:eastAsia="zh-CN"/>
        </w:rPr>
      </w:pPr>
    </w:p>
    <w:p w14:paraId="0BEBFEB5">
      <w:pPr>
        <w:pStyle w:val="33"/>
        <w:rPr>
          <w:rFonts w:hint="eastAsia"/>
          <w:lang w:eastAsia="zh-CN"/>
        </w:rPr>
      </w:pPr>
    </w:p>
    <w:p w14:paraId="3677599B">
      <w:pPr>
        <w:pStyle w:val="17"/>
        <w:rPr>
          <w:rFonts w:hint="eastAsia"/>
          <w:lang w:eastAsia="zh-CN"/>
        </w:rPr>
      </w:pPr>
    </w:p>
    <w:p w14:paraId="684A9B3B">
      <w:pPr>
        <w:spacing w:line="360" w:lineRule="auto"/>
        <w:jc w:val="center"/>
        <w:rPr>
          <w:rFonts w:hint="eastAsia" w:ascii="宋体" w:hAnsi="宋体" w:eastAsia="宋体" w:cs="宋体"/>
          <w:b/>
          <w:color w:val="000000"/>
          <w:sz w:val="40"/>
          <w:szCs w:val="40"/>
          <w:lang w:eastAsia="zh-CN"/>
        </w:rPr>
      </w:pPr>
      <w:r>
        <w:rPr>
          <w:rFonts w:hint="eastAsia" w:ascii="宋体" w:hAnsi="宋体" w:eastAsia="宋体" w:cs="宋体"/>
          <w:b/>
          <w:color w:val="000000"/>
          <w:sz w:val="40"/>
          <w:szCs w:val="40"/>
          <w:lang w:eastAsia="zh-CN"/>
        </w:rPr>
        <w:t>宜川县城市公益性公墓及殡仪馆提升改造项目农用地专用和土地征收组卷报批服务</w:t>
      </w:r>
    </w:p>
    <w:p w14:paraId="6C0B9447">
      <w:pPr>
        <w:rPr>
          <w:rFonts w:hint="eastAsia"/>
        </w:rPr>
      </w:pPr>
    </w:p>
    <w:p w14:paraId="5DCAA8C3">
      <w:pPr>
        <w:rPr>
          <w:rFonts w:hint="eastAsia" w:ascii="宋体" w:hAnsi="宋体" w:cs="宋体"/>
          <w:b/>
          <w:color w:val="000000"/>
          <w:sz w:val="48"/>
          <w:szCs w:val="48"/>
        </w:rPr>
      </w:pPr>
    </w:p>
    <w:p w14:paraId="682804E0">
      <w:pPr>
        <w:pStyle w:val="17"/>
        <w:rPr>
          <w:rFonts w:hint="eastAsia" w:ascii="宋体" w:hAnsi="宋体" w:cs="宋体"/>
          <w:b/>
          <w:color w:val="000000"/>
          <w:sz w:val="48"/>
          <w:szCs w:val="48"/>
        </w:rPr>
      </w:pPr>
    </w:p>
    <w:p w14:paraId="0AE38E54">
      <w:pPr>
        <w:pStyle w:val="33"/>
        <w:rPr>
          <w:rFonts w:hint="eastAsia"/>
        </w:rPr>
      </w:pPr>
    </w:p>
    <w:p w14:paraId="47F4B3B2">
      <w:pPr>
        <w:pStyle w:val="17"/>
        <w:rPr>
          <w:rFonts w:hint="eastAsia"/>
        </w:rPr>
      </w:pPr>
    </w:p>
    <w:p w14:paraId="5E8EB0B4">
      <w:pPr>
        <w:rPr>
          <w:sz w:val="32"/>
          <w:szCs w:val="36"/>
        </w:rPr>
      </w:pPr>
    </w:p>
    <w:p w14:paraId="2871BF00">
      <w:pPr>
        <w:spacing w:line="360" w:lineRule="auto"/>
        <w:jc w:val="center"/>
        <w:rPr>
          <w:rFonts w:ascii="宋体" w:hAnsi="宋体" w:cs="宋体"/>
          <w:b/>
          <w:color w:val="000000"/>
          <w:sz w:val="48"/>
          <w:szCs w:val="48"/>
        </w:rPr>
      </w:pPr>
      <w:r>
        <w:rPr>
          <w:rFonts w:ascii="宋体" w:hAnsi="宋体" w:cs="宋体"/>
          <w:b/>
          <w:color w:val="000000"/>
          <w:sz w:val="48"/>
          <w:szCs w:val="48"/>
        </w:rPr>
        <w:t>竞争性磋商文件</w:t>
      </w:r>
    </w:p>
    <w:p w14:paraId="6A80567C">
      <w:pPr>
        <w:pStyle w:val="17"/>
        <w:rPr>
          <w:rFonts w:hint="eastAsia" w:ascii="宋体" w:hAnsi="宋体" w:cs="宋体"/>
          <w:sz w:val="28"/>
          <w:szCs w:val="28"/>
        </w:rPr>
      </w:pPr>
    </w:p>
    <w:p w14:paraId="5E856E50">
      <w:pPr>
        <w:spacing w:line="360" w:lineRule="auto"/>
        <w:jc w:val="center"/>
        <w:rPr>
          <w:rFonts w:ascii="宋体" w:hAnsi="宋体" w:cs="宋体"/>
          <w:b/>
          <w:color w:val="000000"/>
          <w:sz w:val="28"/>
          <w:szCs w:val="28"/>
        </w:rPr>
      </w:pPr>
    </w:p>
    <w:p w14:paraId="4D4B075E">
      <w:pPr>
        <w:spacing w:line="360" w:lineRule="auto"/>
        <w:jc w:val="both"/>
        <w:rPr>
          <w:rFonts w:ascii="宋体" w:hAnsi="宋体" w:cs="宋体"/>
          <w:color w:val="000000"/>
          <w:sz w:val="28"/>
          <w:szCs w:val="28"/>
        </w:rPr>
      </w:pPr>
      <w:bookmarkStart w:id="0" w:name="_Toc363463325"/>
    </w:p>
    <w:p w14:paraId="7F6764E9">
      <w:pPr>
        <w:pStyle w:val="17"/>
        <w:rPr>
          <w:rFonts w:ascii="宋体" w:hAnsi="宋体" w:cs="宋体"/>
          <w:color w:val="000000"/>
          <w:sz w:val="28"/>
          <w:szCs w:val="28"/>
        </w:rPr>
      </w:pPr>
    </w:p>
    <w:p w14:paraId="6935A705">
      <w:pPr>
        <w:rPr>
          <w:rFonts w:ascii="宋体" w:hAnsi="宋体" w:cs="宋体"/>
          <w:color w:val="000000"/>
          <w:sz w:val="28"/>
          <w:szCs w:val="28"/>
        </w:rPr>
      </w:pPr>
    </w:p>
    <w:p w14:paraId="066EE1D3">
      <w:pPr>
        <w:rPr>
          <w:rFonts w:ascii="宋体" w:hAnsi="宋体" w:cs="宋体"/>
          <w:color w:val="000000"/>
          <w:sz w:val="28"/>
          <w:szCs w:val="28"/>
        </w:rPr>
      </w:pPr>
    </w:p>
    <w:bookmarkEnd w:id="0"/>
    <w:p w14:paraId="2876C0F1">
      <w:pPr>
        <w:rPr>
          <w:rFonts w:ascii="宋体" w:hAnsi="宋体" w:cs="宋体"/>
          <w:sz w:val="28"/>
          <w:szCs w:val="28"/>
        </w:rPr>
      </w:pPr>
    </w:p>
    <w:p w14:paraId="02842B41">
      <w:pPr>
        <w:spacing w:line="360" w:lineRule="auto"/>
        <w:ind w:firstLine="1119" w:firstLineChars="398"/>
        <w:jc w:val="left"/>
        <w:rPr>
          <w:rFonts w:ascii="宋体" w:hAnsi="宋体" w:cs="宋体"/>
          <w:b/>
          <w:color w:val="000000"/>
          <w:sz w:val="28"/>
          <w:szCs w:val="28"/>
        </w:rPr>
      </w:pPr>
    </w:p>
    <w:p w14:paraId="1FAF35A5">
      <w:pPr>
        <w:spacing w:line="360" w:lineRule="auto"/>
        <w:ind w:firstLine="1921" w:firstLineChars="598"/>
        <w:jc w:val="left"/>
        <w:rPr>
          <w:rFonts w:hint="eastAsia" w:ascii="宋体" w:hAnsi="宋体" w:eastAsia="宋体" w:cs="宋体"/>
          <w:b/>
          <w:color w:val="000000"/>
          <w:sz w:val="32"/>
          <w:szCs w:val="32"/>
          <w:lang w:eastAsia="zh-CN"/>
        </w:rPr>
      </w:pPr>
      <w:r>
        <w:rPr>
          <w:rFonts w:ascii="宋体" w:hAnsi="宋体" w:cs="宋体"/>
          <w:b/>
          <w:color w:val="000000"/>
          <w:sz w:val="32"/>
          <w:szCs w:val="32"/>
        </w:rPr>
        <w:t>采   购   人：</w:t>
      </w:r>
      <w:r>
        <w:rPr>
          <w:rFonts w:hint="eastAsia" w:ascii="宋体" w:hAnsi="宋体" w:cs="宋体"/>
          <w:b/>
          <w:color w:val="000000"/>
          <w:sz w:val="32"/>
          <w:szCs w:val="32"/>
          <w:lang w:eastAsia="zh-CN"/>
        </w:rPr>
        <w:t>宜川县民政局</w:t>
      </w:r>
    </w:p>
    <w:p w14:paraId="0165E15C">
      <w:pPr>
        <w:pStyle w:val="17"/>
        <w:rPr>
          <w:rFonts w:ascii="宋体" w:hAnsi="宋体" w:cs="宋体"/>
          <w:sz w:val="32"/>
          <w:szCs w:val="32"/>
        </w:rPr>
      </w:pPr>
      <w:r>
        <w:rPr>
          <w:rFonts w:hint="eastAsia" w:ascii="宋体" w:hAnsi="宋体" w:cs="宋体"/>
          <w:sz w:val="32"/>
          <w:szCs w:val="32"/>
        </w:rPr>
        <w:t xml:space="preserve"> </w:t>
      </w:r>
    </w:p>
    <w:p w14:paraId="0FDEB884">
      <w:pPr>
        <w:spacing w:line="360" w:lineRule="auto"/>
        <w:ind w:firstLine="1921" w:firstLineChars="598"/>
        <w:jc w:val="left"/>
        <w:rPr>
          <w:rFonts w:hint="eastAsia" w:ascii="宋体" w:hAnsi="宋体" w:eastAsia="宋体" w:cs="宋体"/>
          <w:b/>
          <w:color w:val="000000"/>
          <w:sz w:val="32"/>
          <w:szCs w:val="32"/>
          <w:lang w:eastAsia="zh-CN"/>
        </w:rPr>
      </w:pPr>
      <w:r>
        <w:rPr>
          <w:rFonts w:ascii="宋体" w:hAnsi="宋体" w:cs="宋体"/>
          <w:b/>
          <w:color w:val="000000"/>
          <w:sz w:val="32"/>
          <w:szCs w:val="32"/>
        </w:rPr>
        <w:t>采购代理机构：</w:t>
      </w:r>
      <w:r>
        <w:rPr>
          <w:rFonts w:hint="eastAsia" w:ascii="宋体" w:hAnsi="宋体" w:cs="宋体"/>
          <w:b/>
          <w:color w:val="000000"/>
          <w:sz w:val="32"/>
          <w:szCs w:val="32"/>
          <w:lang w:eastAsia="zh-CN"/>
        </w:rPr>
        <w:t>陕西宸永项目管理有限公司</w:t>
      </w:r>
    </w:p>
    <w:p w14:paraId="642D6621">
      <w:pPr>
        <w:pStyle w:val="17"/>
        <w:rPr>
          <w:rFonts w:hint="eastAsia" w:ascii="宋体" w:hAnsi="宋体" w:cs="宋体"/>
          <w:sz w:val="32"/>
          <w:szCs w:val="32"/>
        </w:rPr>
      </w:pPr>
    </w:p>
    <w:p w14:paraId="5E37A26F">
      <w:pPr>
        <w:spacing w:line="360" w:lineRule="auto"/>
        <w:ind w:firstLine="1928" w:firstLineChars="600"/>
        <w:jc w:val="left"/>
        <w:rPr>
          <w:rFonts w:ascii="宋体" w:hAnsi="宋体" w:cs="宋体"/>
          <w:b/>
          <w:color w:val="000000"/>
          <w:sz w:val="32"/>
          <w:szCs w:val="32"/>
        </w:rPr>
      </w:pPr>
      <w:r>
        <w:rPr>
          <w:rFonts w:ascii="宋体" w:hAnsi="宋体" w:cs="宋体"/>
          <w:b/>
          <w:color w:val="000000"/>
          <w:sz w:val="32"/>
          <w:szCs w:val="32"/>
        </w:rPr>
        <w:t>日        期：二〇二</w:t>
      </w:r>
      <w:r>
        <w:rPr>
          <w:rFonts w:hint="eastAsia" w:ascii="宋体" w:hAnsi="宋体" w:cs="宋体"/>
          <w:b/>
          <w:color w:val="000000"/>
          <w:sz w:val="32"/>
          <w:szCs w:val="32"/>
          <w:lang w:val="en-US" w:eastAsia="zh-CN"/>
        </w:rPr>
        <w:t>六</w:t>
      </w:r>
      <w:r>
        <w:rPr>
          <w:rFonts w:ascii="宋体" w:hAnsi="宋体" w:cs="宋体"/>
          <w:b/>
          <w:color w:val="000000"/>
          <w:sz w:val="32"/>
          <w:szCs w:val="32"/>
        </w:rPr>
        <w:t>年</w:t>
      </w:r>
      <w:r>
        <w:rPr>
          <w:rFonts w:hint="eastAsia" w:ascii="宋体" w:hAnsi="宋体" w:cs="宋体"/>
          <w:b/>
          <w:color w:val="000000"/>
          <w:sz w:val="32"/>
          <w:szCs w:val="32"/>
          <w:lang w:val="en-US" w:eastAsia="zh-CN"/>
        </w:rPr>
        <w:t>七</w:t>
      </w:r>
      <w:r>
        <w:rPr>
          <w:rFonts w:ascii="宋体" w:hAnsi="宋体" w:cs="宋体"/>
          <w:b/>
          <w:color w:val="000000"/>
          <w:sz w:val="32"/>
          <w:szCs w:val="32"/>
        </w:rPr>
        <w:t>月</w:t>
      </w:r>
    </w:p>
    <w:p w14:paraId="1B33712E">
      <w:pPr>
        <w:spacing w:line="360" w:lineRule="auto"/>
        <w:jc w:val="center"/>
        <w:rPr>
          <w:rFonts w:ascii="宋体" w:hAnsi="宋体" w:cs="宋体"/>
          <w:b/>
          <w:color w:val="000000"/>
          <w:sz w:val="28"/>
          <w:szCs w:val="28"/>
        </w:rPr>
        <w:sectPr>
          <w:headerReference r:id="rId4" w:type="first"/>
          <w:headerReference r:id="rId3"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cols w:space="720" w:num="1"/>
          <w:titlePg/>
          <w:docGrid w:linePitch="312" w:charSpace="0"/>
        </w:sectPr>
      </w:pPr>
      <w:bookmarkStart w:id="1" w:name="_Toc438073527"/>
    </w:p>
    <w:p w14:paraId="4DCE6F9D">
      <w:pPr>
        <w:spacing w:line="480" w:lineRule="auto"/>
        <w:jc w:val="center"/>
        <w:rPr>
          <w:rFonts w:ascii="宋体" w:hAnsi="宋体" w:cs="宋体"/>
          <w:b/>
          <w:color w:val="000000"/>
          <w:sz w:val="28"/>
          <w:szCs w:val="28"/>
        </w:rPr>
      </w:pPr>
      <w:r>
        <w:rPr>
          <w:rFonts w:ascii="宋体" w:hAnsi="宋体" w:cs="宋体"/>
          <w:b/>
          <w:color w:val="000000"/>
          <w:sz w:val="28"/>
          <w:szCs w:val="28"/>
        </w:rPr>
        <w:t>目    录</w:t>
      </w:r>
    </w:p>
    <w:p w14:paraId="431CCE87">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TOC \o "1-3" \h \z \u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_Toc4279 </w:instrText>
      </w:r>
      <w:r>
        <w:rPr>
          <w:rFonts w:hint="eastAsia" w:ascii="宋体" w:hAnsi="宋体" w:eastAsia="宋体" w:cs="宋体"/>
          <w:sz w:val="28"/>
          <w:szCs w:val="28"/>
        </w:rPr>
        <w:fldChar w:fldCharType="separate"/>
      </w:r>
      <w:r>
        <w:rPr>
          <w:rFonts w:hint="eastAsia" w:ascii="宋体" w:hAnsi="宋体" w:eastAsia="宋体" w:cs="宋体"/>
          <w:sz w:val="28"/>
          <w:szCs w:val="28"/>
        </w:rPr>
        <w:t>第一章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_Toc4279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14:paraId="78410A78">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_Toc2562 </w:instrText>
      </w:r>
      <w:r>
        <w:rPr>
          <w:rFonts w:hint="eastAsia" w:ascii="宋体" w:hAnsi="宋体" w:eastAsia="宋体" w:cs="宋体"/>
          <w:sz w:val="28"/>
          <w:szCs w:val="28"/>
        </w:rPr>
        <w:fldChar w:fldCharType="separate"/>
      </w:r>
      <w:r>
        <w:rPr>
          <w:rFonts w:hint="eastAsia" w:ascii="宋体" w:hAnsi="宋体" w:eastAsia="宋体" w:cs="宋体"/>
          <w:sz w:val="28"/>
          <w:szCs w:val="28"/>
        </w:rPr>
        <w:t>第二章 供应商须知</w:t>
      </w:r>
      <w:r>
        <w:rPr>
          <w:rFonts w:hint="eastAsia" w:ascii="宋体" w:hAnsi="宋体" w:eastAsia="宋体" w:cs="宋体"/>
          <w:sz w:val="28"/>
          <w:szCs w:val="28"/>
        </w:rPr>
        <w:tab/>
      </w:r>
      <w:r>
        <w:rPr>
          <w:rFonts w:hint="eastAsia" w:ascii="宋体" w:hAnsi="宋体" w:eastAsia="宋体" w:cs="宋体"/>
          <w:sz w:val="28"/>
          <w:szCs w:val="28"/>
          <w:lang w:val="en-US" w:eastAsia="zh-CN"/>
        </w:rPr>
        <w:t>6</w:t>
      </w:r>
      <w:r>
        <w:rPr>
          <w:rFonts w:hint="eastAsia" w:ascii="宋体" w:hAnsi="宋体" w:eastAsia="宋体" w:cs="宋体"/>
          <w:color w:val="000000"/>
          <w:sz w:val="28"/>
          <w:szCs w:val="28"/>
        </w:rPr>
        <w:fldChar w:fldCharType="end"/>
      </w:r>
    </w:p>
    <w:p w14:paraId="7744B3DB">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_Toc20951 </w:instrText>
      </w:r>
      <w:r>
        <w:rPr>
          <w:rFonts w:hint="eastAsia" w:ascii="宋体" w:hAnsi="宋体" w:eastAsia="宋体" w:cs="宋体"/>
          <w:sz w:val="28"/>
          <w:szCs w:val="28"/>
        </w:rPr>
        <w:fldChar w:fldCharType="separate"/>
      </w:r>
      <w:r>
        <w:rPr>
          <w:rFonts w:hint="eastAsia" w:ascii="宋体" w:hAnsi="宋体" w:eastAsia="宋体" w:cs="宋体"/>
          <w:sz w:val="28"/>
          <w:szCs w:val="28"/>
        </w:rPr>
        <w:t>第三章 评标办法</w:t>
      </w:r>
      <w:r>
        <w:rPr>
          <w:rFonts w:hint="eastAsia" w:ascii="宋体" w:hAnsi="宋体" w:eastAsia="宋体" w:cs="宋体"/>
          <w:sz w:val="28"/>
          <w:szCs w:val="28"/>
        </w:rPr>
        <w:tab/>
      </w:r>
      <w:r>
        <w:rPr>
          <w:rFonts w:hint="eastAsia" w:ascii="宋体" w:hAnsi="宋体" w:eastAsia="宋体" w:cs="宋体"/>
          <w:sz w:val="28"/>
          <w:szCs w:val="28"/>
          <w:lang w:val="en-US" w:eastAsia="zh-CN"/>
        </w:rPr>
        <w:t>4</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lang w:val="en-US" w:eastAsia="zh-CN"/>
        </w:rPr>
        <w:t>8</w:t>
      </w:r>
    </w:p>
    <w:p w14:paraId="24365706">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_Toc3747 </w:instrText>
      </w:r>
      <w:r>
        <w:rPr>
          <w:rFonts w:hint="eastAsia" w:ascii="宋体" w:hAnsi="宋体" w:eastAsia="宋体" w:cs="宋体"/>
          <w:sz w:val="28"/>
          <w:szCs w:val="28"/>
        </w:rPr>
        <w:fldChar w:fldCharType="separate"/>
      </w:r>
      <w:r>
        <w:rPr>
          <w:rFonts w:hint="eastAsia" w:ascii="宋体" w:hAnsi="宋体" w:eastAsia="宋体" w:cs="宋体"/>
          <w:sz w:val="28"/>
          <w:szCs w:val="28"/>
        </w:rPr>
        <w:t>第四章 合同（拟签订</w:t>
      </w:r>
      <w:r>
        <w:rPr>
          <w:rFonts w:hint="eastAsia" w:ascii="宋体" w:hAnsi="宋体" w:eastAsia="宋体" w:cs="宋体"/>
          <w:sz w:val="28"/>
          <w:szCs w:val="28"/>
          <w:lang w:val="en-US" w:eastAsia="zh-CN"/>
        </w:rPr>
        <w:t>合同</w:t>
      </w:r>
      <w:r>
        <w:rPr>
          <w:rFonts w:hint="eastAsia" w:ascii="宋体" w:hAnsi="宋体" w:eastAsia="宋体" w:cs="宋体"/>
          <w:sz w:val="28"/>
          <w:szCs w:val="28"/>
        </w:rPr>
        <w:t>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_Toc3747 \h </w:instrText>
      </w:r>
      <w:r>
        <w:rPr>
          <w:rFonts w:hint="eastAsia" w:ascii="宋体" w:hAnsi="宋体" w:eastAsia="宋体" w:cs="宋体"/>
          <w:sz w:val="28"/>
          <w:szCs w:val="28"/>
        </w:rPr>
        <w:fldChar w:fldCharType="separate"/>
      </w:r>
      <w:r>
        <w:rPr>
          <w:rFonts w:hint="eastAsia" w:ascii="宋体" w:hAnsi="宋体" w:eastAsia="宋体" w:cs="宋体"/>
          <w:sz w:val="28"/>
          <w:szCs w:val="28"/>
        </w:rPr>
        <w:t>68</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14:paraId="18E103EC">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_Toc16046 </w:instrText>
      </w:r>
      <w:r>
        <w:rPr>
          <w:rFonts w:hint="eastAsia" w:ascii="宋体" w:hAnsi="宋体" w:eastAsia="宋体" w:cs="宋体"/>
          <w:sz w:val="28"/>
          <w:szCs w:val="28"/>
        </w:rPr>
        <w:fldChar w:fldCharType="separate"/>
      </w:r>
      <w:r>
        <w:rPr>
          <w:rFonts w:hint="eastAsia" w:ascii="宋体" w:hAnsi="宋体" w:eastAsia="宋体" w:cs="宋体"/>
          <w:sz w:val="28"/>
          <w:szCs w:val="28"/>
        </w:rPr>
        <w:t>第五章 采购内容和技术要求</w:t>
      </w:r>
      <w:r>
        <w:rPr>
          <w:rFonts w:hint="eastAsia" w:ascii="宋体" w:hAnsi="宋体" w:eastAsia="宋体" w:cs="宋体"/>
          <w:sz w:val="28"/>
          <w:szCs w:val="28"/>
        </w:rPr>
        <w:tab/>
      </w:r>
      <w:r>
        <w:rPr>
          <w:rFonts w:hint="eastAsia" w:ascii="宋体" w:hAnsi="宋体" w:eastAsia="宋体" w:cs="宋体"/>
          <w:sz w:val="28"/>
          <w:szCs w:val="28"/>
          <w:lang w:val="en-US" w:eastAsia="zh-CN"/>
        </w:rPr>
        <w:t>7</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lang w:val="en-US" w:eastAsia="zh-CN"/>
        </w:rPr>
        <w:t>3</w:t>
      </w:r>
    </w:p>
    <w:p w14:paraId="11AAF455">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_Toc27433 </w:instrText>
      </w:r>
      <w:r>
        <w:rPr>
          <w:rFonts w:hint="eastAsia" w:ascii="宋体" w:hAnsi="宋体" w:eastAsia="宋体" w:cs="宋体"/>
          <w:sz w:val="28"/>
          <w:szCs w:val="28"/>
        </w:rPr>
        <w:fldChar w:fldCharType="separate"/>
      </w:r>
      <w:r>
        <w:rPr>
          <w:rFonts w:hint="eastAsia" w:ascii="宋体" w:hAnsi="宋体" w:eastAsia="宋体" w:cs="宋体"/>
          <w:sz w:val="28"/>
          <w:szCs w:val="28"/>
        </w:rPr>
        <w:t>第六章 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_Toc27433 \h </w:instrText>
      </w:r>
      <w:r>
        <w:rPr>
          <w:rFonts w:hint="eastAsia" w:ascii="宋体" w:hAnsi="宋体" w:eastAsia="宋体" w:cs="宋体"/>
          <w:sz w:val="28"/>
          <w:szCs w:val="28"/>
        </w:rPr>
        <w:fldChar w:fldCharType="separate"/>
      </w:r>
      <w:r>
        <w:rPr>
          <w:rFonts w:hint="eastAsia" w:ascii="宋体" w:hAnsi="宋体" w:eastAsia="宋体" w:cs="宋体"/>
          <w:sz w:val="28"/>
          <w:szCs w:val="28"/>
        </w:rPr>
        <w:t>77</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14:paraId="3ADF6813">
      <w:pPr>
        <w:pStyle w:val="32"/>
        <w:keepNext w:val="0"/>
        <w:keepLines w:val="0"/>
        <w:pageBreakBefore w:val="0"/>
        <w:widowControl w:val="0"/>
        <w:tabs>
          <w:tab w:val="right" w:leader="dot" w:pos="9016"/>
        </w:tabs>
        <w:kinsoku/>
        <w:wordWrap/>
        <w:overflowPunct/>
        <w:topLinePunct w:val="0"/>
        <w:autoSpaceDE/>
        <w:autoSpaceDN/>
        <w:bidi w:val="0"/>
        <w:adjustRightInd/>
        <w:snapToGrid/>
        <w:spacing w:line="800" w:lineRule="exact"/>
        <w:ind w:left="0"/>
        <w:jc w:val="both"/>
        <w:textAlignment w:val="auto"/>
        <w:rPr>
          <w:rFonts w:ascii="宋体" w:hAnsi="宋体" w:cs="宋体"/>
          <w:color w:val="000000"/>
          <w:sz w:val="28"/>
          <w:szCs w:val="28"/>
        </w:rPr>
        <w:sectPr>
          <w:footerReference r:id="rId6" w:type="first"/>
          <w:footerReference r:id="rId5"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start="1"/>
          <w:cols w:space="720" w:num="1"/>
          <w:titlePg/>
          <w:docGrid w:linePitch="312" w:charSpace="0"/>
        </w:sectPr>
      </w:pPr>
      <w:r>
        <w:rPr>
          <w:rFonts w:hint="eastAsia" w:ascii="宋体" w:hAnsi="宋体" w:eastAsia="宋体" w:cs="宋体"/>
          <w:color w:val="000000"/>
          <w:sz w:val="28"/>
          <w:szCs w:val="28"/>
        </w:rPr>
        <w:fldChar w:fldCharType="end"/>
      </w:r>
    </w:p>
    <w:p w14:paraId="388016CA">
      <w:pPr>
        <w:pStyle w:val="2"/>
        <w:numPr>
          <w:ilvl w:val="0"/>
          <w:numId w:val="2"/>
        </w:numPr>
        <w:jc w:val="center"/>
        <w:rPr>
          <w:rFonts w:ascii="宋体" w:hAnsi="宋体" w:cs="宋体"/>
          <w:color w:val="000000"/>
          <w:sz w:val="32"/>
          <w:szCs w:val="32"/>
        </w:rPr>
      </w:pPr>
      <w:bookmarkStart w:id="2" w:name="_Toc4279"/>
      <w:r>
        <w:rPr>
          <w:rFonts w:ascii="宋体" w:hAnsi="宋体" w:cs="宋体"/>
          <w:color w:val="000000"/>
          <w:sz w:val="32"/>
          <w:szCs w:val="32"/>
        </w:rPr>
        <w:t>竞争性磋商公告</w:t>
      </w:r>
      <w:bookmarkEnd w:id="1"/>
      <w:bookmarkEnd w:id="2"/>
    </w:p>
    <w:p w14:paraId="576F1832">
      <w:pPr>
        <w:spacing w:line="360" w:lineRule="auto"/>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项目概况</w:t>
      </w:r>
    </w:p>
    <w:p w14:paraId="7B95A4F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lang w:eastAsia="zh-CN"/>
        </w:rPr>
        <w:t>宜川县城市公益性公墓及殡仪馆提升改造项目农用地专用和土地征收组卷报批服务</w:t>
      </w:r>
      <w:r>
        <w:rPr>
          <w:rFonts w:hint="eastAsia" w:ascii="宋体" w:hAnsi="宋体" w:eastAsia="宋体" w:cs="宋体"/>
          <w:color w:val="000000"/>
          <w:spacing w:val="0"/>
          <w:sz w:val="28"/>
          <w:szCs w:val="28"/>
        </w:rPr>
        <w:t>的潜在供应商应在</w:t>
      </w:r>
      <w:r>
        <w:rPr>
          <w:rFonts w:hint="eastAsia" w:ascii="宋体" w:hAnsi="宋体" w:eastAsia="宋体" w:cs="宋体"/>
          <w:color w:val="000000"/>
          <w:spacing w:val="0"/>
          <w:sz w:val="28"/>
          <w:szCs w:val="28"/>
          <w:lang w:val="en-US" w:eastAsia="zh-CN"/>
        </w:rPr>
        <w:t>全国公共资源交易平台（陕西省·延安市）获取采购文件，</w:t>
      </w:r>
      <w:r>
        <w:rPr>
          <w:rFonts w:hint="eastAsia" w:ascii="宋体" w:hAnsi="宋体" w:eastAsia="宋体" w:cs="宋体"/>
          <w:color w:val="000000"/>
          <w:spacing w:val="0"/>
          <w:sz w:val="28"/>
          <w:szCs w:val="28"/>
        </w:rPr>
        <w:t>并</w:t>
      </w:r>
      <w:r>
        <w:rPr>
          <w:rFonts w:hint="eastAsia" w:ascii="宋体" w:hAnsi="宋体" w:eastAsia="宋体" w:cs="宋体"/>
          <w:color w:val="000000"/>
          <w:spacing w:val="0"/>
          <w:sz w:val="28"/>
          <w:szCs w:val="28"/>
          <w:shd w:val="clear" w:color="auto" w:fill="auto"/>
        </w:rPr>
        <w:t>于</w:t>
      </w:r>
      <w:r>
        <w:rPr>
          <w:rFonts w:hint="eastAsia" w:ascii="宋体" w:hAnsi="宋体" w:eastAsia="宋体" w:cs="宋体"/>
          <w:color w:val="000000"/>
          <w:spacing w:val="0"/>
          <w:sz w:val="28"/>
          <w:szCs w:val="28"/>
          <w:shd w:val="clear" w:color="auto" w:fill="auto"/>
          <w:lang w:val="en-US" w:eastAsia="zh-CN"/>
        </w:rPr>
        <w:t>2026</w:t>
      </w:r>
      <w:r>
        <w:rPr>
          <w:rFonts w:hint="eastAsia" w:ascii="宋体" w:hAnsi="宋体" w:eastAsia="宋体" w:cs="宋体"/>
          <w:color w:val="000000"/>
          <w:spacing w:val="0"/>
          <w:sz w:val="28"/>
          <w:szCs w:val="28"/>
          <w:shd w:val="clear" w:color="auto" w:fill="auto"/>
        </w:rPr>
        <w:t>年</w:t>
      </w:r>
      <w:r>
        <w:rPr>
          <w:rFonts w:hint="eastAsia" w:ascii="宋体" w:hAnsi="宋体" w:eastAsia="宋体" w:cs="宋体"/>
          <w:color w:val="000000"/>
          <w:spacing w:val="0"/>
          <w:sz w:val="28"/>
          <w:szCs w:val="28"/>
          <w:shd w:val="clear" w:color="auto" w:fill="auto"/>
          <w:lang w:val="en-US" w:eastAsia="zh-CN"/>
        </w:rPr>
        <w:t>8</w:t>
      </w:r>
      <w:r>
        <w:rPr>
          <w:rFonts w:hint="eastAsia" w:ascii="宋体" w:hAnsi="宋体" w:eastAsia="宋体" w:cs="宋体"/>
          <w:color w:val="000000"/>
          <w:spacing w:val="0"/>
          <w:sz w:val="28"/>
          <w:szCs w:val="28"/>
          <w:shd w:val="clear" w:color="auto" w:fill="auto"/>
        </w:rPr>
        <w:t>月</w:t>
      </w:r>
      <w:r>
        <w:rPr>
          <w:rFonts w:hint="eastAsia" w:ascii="宋体" w:hAnsi="宋体" w:eastAsia="宋体" w:cs="宋体"/>
          <w:color w:val="000000"/>
          <w:spacing w:val="0"/>
          <w:sz w:val="28"/>
          <w:szCs w:val="28"/>
          <w:shd w:val="clear" w:color="auto" w:fill="auto"/>
          <w:lang w:val="en-US" w:eastAsia="zh-CN"/>
        </w:rPr>
        <w:t>4</w:t>
      </w:r>
      <w:r>
        <w:rPr>
          <w:rFonts w:hint="eastAsia" w:ascii="宋体" w:hAnsi="宋体" w:eastAsia="宋体" w:cs="宋体"/>
          <w:color w:val="000000"/>
          <w:spacing w:val="0"/>
          <w:sz w:val="28"/>
          <w:szCs w:val="28"/>
          <w:shd w:val="clear" w:color="auto" w:fill="auto"/>
        </w:rPr>
        <w:t>日</w:t>
      </w:r>
      <w:r>
        <w:rPr>
          <w:rFonts w:hint="eastAsia" w:ascii="宋体" w:hAnsi="宋体" w:eastAsia="宋体" w:cs="宋体"/>
          <w:color w:val="000000"/>
          <w:spacing w:val="0"/>
          <w:sz w:val="28"/>
          <w:szCs w:val="28"/>
          <w:shd w:val="clear" w:color="auto" w:fill="auto"/>
          <w:lang w:val="en-US" w:eastAsia="zh-CN"/>
        </w:rPr>
        <w:t>15</w:t>
      </w:r>
      <w:r>
        <w:rPr>
          <w:rFonts w:hint="eastAsia" w:ascii="宋体" w:hAnsi="宋体" w:eastAsia="宋体" w:cs="宋体"/>
          <w:color w:val="000000"/>
          <w:spacing w:val="0"/>
          <w:sz w:val="28"/>
          <w:szCs w:val="28"/>
          <w:shd w:val="clear" w:color="auto" w:fill="auto"/>
        </w:rPr>
        <w:t>时</w:t>
      </w:r>
      <w:r>
        <w:rPr>
          <w:rFonts w:hint="eastAsia" w:ascii="宋体" w:hAnsi="宋体" w:eastAsia="宋体" w:cs="宋体"/>
          <w:color w:val="000000"/>
          <w:spacing w:val="0"/>
          <w:sz w:val="28"/>
          <w:szCs w:val="28"/>
          <w:shd w:val="clear" w:color="auto" w:fill="auto"/>
          <w:lang w:val="en-US" w:eastAsia="zh-CN"/>
        </w:rPr>
        <w:t>30</w:t>
      </w:r>
      <w:r>
        <w:rPr>
          <w:rFonts w:hint="eastAsia" w:ascii="宋体" w:hAnsi="宋体" w:eastAsia="宋体" w:cs="宋体"/>
          <w:color w:val="000000"/>
          <w:spacing w:val="0"/>
          <w:sz w:val="28"/>
          <w:szCs w:val="28"/>
          <w:shd w:val="clear" w:color="auto" w:fill="auto"/>
        </w:rPr>
        <w:t>分（</w:t>
      </w:r>
      <w:r>
        <w:rPr>
          <w:rFonts w:hint="eastAsia" w:ascii="宋体" w:hAnsi="宋体" w:eastAsia="宋体" w:cs="宋体"/>
          <w:color w:val="000000"/>
          <w:spacing w:val="0"/>
          <w:sz w:val="28"/>
          <w:szCs w:val="28"/>
        </w:rPr>
        <w:t>北京时间）前提交响应文件。</w:t>
      </w:r>
    </w:p>
    <w:p w14:paraId="0115027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一、项目基本情况</w:t>
      </w:r>
    </w:p>
    <w:p w14:paraId="4B19559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项目编号：</w:t>
      </w:r>
      <w:r>
        <w:rPr>
          <w:rFonts w:hint="eastAsia" w:ascii="宋体" w:hAnsi="宋体" w:eastAsia="宋体" w:cs="宋体"/>
          <w:color w:val="000000"/>
          <w:sz w:val="28"/>
          <w:szCs w:val="28"/>
          <w:lang w:eastAsia="zh-CN"/>
        </w:rPr>
        <w:t>SXCY2026-06</w:t>
      </w:r>
    </w:p>
    <w:p w14:paraId="0B9BEBFD">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项目名称：</w:t>
      </w:r>
      <w:r>
        <w:rPr>
          <w:rFonts w:hint="eastAsia" w:ascii="宋体" w:hAnsi="宋体" w:eastAsia="宋体" w:cs="宋体"/>
          <w:color w:val="000000"/>
          <w:sz w:val="28"/>
          <w:szCs w:val="28"/>
          <w:lang w:eastAsia="zh-CN"/>
        </w:rPr>
        <w:t>宜川县城市公益性公墓及殡仪馆提升改造项目农用地专用和土地征收组卷报批服务</w:t>
      </w:r>
    </w:p>
    <w:p w14:paraId="1B4C242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采购方式：竞争性磋商</w:t>
      </w:r>
    </w:p>
    <w:p w14:paraId="5BCEF8A9">
      <w:pPr>
        <w:spacing w:line="360" w:lineRule="auto"/>
        <w:ind w:firstLine="560" w:firstLineChars="200"/>
        <w:rPr>
          <w:rFonts w:hint="default" w:eastAsia="宋体"/>
          <w:lang w:val="en-US" w:eastAsia="zh-CN"/>
        </w:rPr>
      </w:pPr>
      <w:r>
        <w:rPr>
          <w:rFonts w:hint="eastAsia" w:ascii="宋体" w:hAnsi="宋体" w:eastAsia="宋体" w:cs="宋体"/>
          <w:color w:val="000000"/>
          <w:sz w:val="28"/>
          <w:szCs w:val="28"/>
        </w:rPr>
        <w:t>预算金额：</w:t>
      </w:r>
      <w:r>
        <w:rPr>
          <w:rFonts w:hint="eastAsia" w:ascii="宋体" w:hAnsi="宋体" w:eastAsia="宋体" w:cs="宋体"/>
          <w:color w:val="000000"/>
          <w:sz w:val="28"/>
          <w:szCs w:val="28"/>
          <w:lang w:val="en-US" w:eastAsia="zh-CN"/>
        </w:rPr>
        <w:t>1893100.00元</w:t>
      </w:r>
    </w:p>
    <w:p w14:paraId="2D08D64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采购需求：</w:t>
      </w:r>
    </w:p>
    <w:p w14:paraId="19591E33">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eastAsia="宋体" w:cs="宋体"/>
          <w:color w:val="000000"/>
          <w:sz w:val="28"/>
          <w:szCs w:val="28"/>
          <w:lang w:eastAsia="zh-CN"/>
        </w:rPr>
        <w:t>宜川县城市公益性公墓及殡仪馆提升改造项目农用地专用和土地征收组卷报批服务</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w:t>
      </w:r>
    </w:p>
    <w:p w14:paraId="1DE49EF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合同包预算金额：</w:t>
      </w:r>
      <w:r>
        <w:rPr>
          <w:rFonts w:hint="eastAsia" w:ascii="宋体" w:hAnsi="宋体" w:eastAsia="宋体" w:cs="宋体"/>
          <w:color w:val="000000"/>
          <w:sz w:val="28"/>
          <w:szCs w:val="28"/>
          <w:lang w:val="en-US" w:eastAsia="zh-CN"/>
        </w:rPr>
        <w:t>1893100.00</w:t>
      </w:r>
      <w:r>
        <w:rPr>
          <w:rFonts w:hint="eastAsia" w:ascii="宋体" w:hAnsi="宋体" w:eastAsia="宋体" w:cs="宋体"/>
          <w:color w:val="000000"/>
          <w:sz w:val="28"/>
          <w:szCs w:val="28"/>
        </w:rPr>
        <w:t>元</w:t>
      </w:r>
    </w:p>
    <w:p w14:paraId="57014D6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合同包最高限价：</w:t>
      </w:r>
      <w:r>
        <w:rPr>
          <w:rFonts w:hint="eastAsia" w:ascii="宋体" w:hAnsi="宋体" w:eastAsia="宋体" w:cs="宋体"/>
          <w:color w:val="000000"/>
          <w:sz w:val="28"/>
          <w:szCs w:val="28"/>
          <w:lang w:val="en-US" w:eastAsia="zh-CN"/>
        </w:rPr>
        <w:t>1893100.00</w:t>
      </w:r>
      <w:r>
        <w:rPr>
          <w:rFonts w:hint="eastAsia" w:ascii="宋体" w:hAnsi="宋体" w:eastAsia="宋体" w:cs="宋体"/>
          <w:color w:val="000000"/>
          <w:sz w:val="28"/>
          <w:szCs w:val="28"/>
          <w:lang w:eastAsia="zh-CN"/>
        </w:rPr>
        <w:t>元</w:t>
      </w:r>
    </w:p>
    <w:tbl>
      <w:tblPr>
        <w:tblStyle w:val="38"/>
        <w:tblW w:w="8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859"/>
        <w:gridCol w:w="1827"/>
        <w:gridCol w:w="2105"/>
        <w:gridCol w:w="1324"/>
        <w:gridCol w:w="1441"/>
        <w:gridCol w:w="1440"/>
      </w:tblGrid>
      <w:tr w14:paraId="18CE7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46" w:hRule="atLeast"/>
          <w:tblHeader/>
          <w:jc w:val="center"/>
        </w:trPr>
        <w:tc>
          <w:tcPr>
            <w:tcW w:w="8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DBB1C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品目号</w:t>
            </w:r>
          </w:p>
        </w:tc>
        <w:tc>
          <w:tcPr>
            <w:tcW w:w="18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D57D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品目名称</w:t>
            </w:r>
          </w:p>
        </w:tc>
        <w:tc>
          <w:tcPr>
            <w:tcW w:w="21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4E3388">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采购标的</w:t>
            </w:r>
          </w:p>
        </w:tc>
        <w:tc>
          <w:tcPr>
            <w:tcW w:w="13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3A8EE3">
            <w:pPr>
              <w:spacing w:line="360" w:lineRule="auto"/>
              <w:ind w:firstLine="240" w:firstLineChars="10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数量</w:t>
            </w:r>
          </w:p>
          <w:p w14:paraId="737CE6A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（单位）</w:t>
            </w:r>
          </w:p>
        </w:tc>
        <w:tc>
          <w:tcPr>
            <w:tcW w:w="14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E3FB7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919C8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品目预算(元)</w:t>
            </w:r>
          </w:p>
        </w:tc>
      </w:tr>
      <w:tr w14:paraId="043C4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2" w:hRule="atLeast"/>
          <w:jc w:val="center"/>
        </w:trPr>
        <w:tc>
          <w:tcPr>
            <w:tcW w:w="8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355B2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p>
        </w:tc>
        <w:tc>
          <w:tcPr>
            <w:tcW w:w="18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CEB4CA">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工程设计前咨询服务</w:t>
            </w:r>
          </w:p>
        </w:tc>
        <w:tc>
          <w:tcPr>
            <w:tcW w:w="21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773F71">
            <w:pPr>
              <w:spacing w:line="24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组卷报批服务</w:t>
            </w:r>
          </w:p>
        </w:tc>
        <w:tc>
          <w:tcPr>
            <w:tcW w:w="13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BB0C7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1(项)</w:t>
            </w:r>
          </w:p>
        </w:tc>
        <w:tc>
          <w:tcPr>
            <w:tcW w:w="14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7841F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66E319">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1893100.00</w:t>
            </w:r>
          </w:p>
        </w:tc>
      </w:tr>
    </w:tbl>
    <w:p w14:paraId="26076C9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本合同包不接受联合体投标</w:t>
      </w:r>
    </w:p>
    <w:p w14:paraId="7241BF4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合同履行期限：</w:t>
      </w:r>
      <w:r>
        <w:rPr>
          <w:rFonts w:hint="eastAsia" w:ascii="宋体" w:hAnsi="宋体" w:eastAsia="宋体" w:cs="宋体"/>
          <w:color w:val="auto"/>
          <w:sz w:val="28"/>
          <w:szCs w:val="28"/>
          <w:lang w:val="en-US" w:eastAsia="zh-CN"/>
        </w:rPr>
        <w:t>合同签订之日起12个月。</w:t>
      </w:r>
    </w:p>
    <w:p w14:paraId="44A34F01">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二、申请人的资格要求</w:t>
      </w:r>
    </w:p>
    <w:p w14:paraId="596028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1.满足《中华人民共和国政府采购法》第二十二条规定</w:t>
      </w:r>
      <w:r>
        <w:rPr>
          <w:rFonts w:hint="eastAsia" w:ascii="宋体" w:hAnsi="宋体" w:eastAsia="宋体" w:cs="宋体"/>
          <w:color w:val="000000"/>
          <w:sz w:val="28"/>
          <w:szCs w:val="28"/>
          <w:highlight w:val="none"/>
          <w:lang w:eastAsia="zh-CN"/>
        </w:rPr>
        <w:t>；</w:t>
      </w:r>
    </w:p>
    <w:p w14:paraId="65BD48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2.落实政府采购政策需满足的资格要求：</w:t>
      </w:r>
    </w:p>
    <w:p w14:paraId="6B869EF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eastAsia="宋体" w:cs="宋体"/>
          <w:color w:val="000000"/>
          <w:sz w:val="28"/>
          <w:szCs w:val="28"/>
          <w:lang w:eastAsia="zh-CN"/>
        </w:rPr>
        <w:t>宜川县城市公益性公墓及殡仪馆提升改造项目农用地专用和土地征收组卷报批服务</w:t>
      </w:r>
      <w:r>
        <w:rPr>
          <w:rFonts w:hint="eastAsia" w:ascii="宋体" w:hAnsi="宋体" w:eastAsia="宋体" w:cs="宋体"/>
          <w:color w:val="000000"/>
          <w:sz w:val="28"/>
          <w:szCs w:val="28"/>
        </w:rPr>
        <w:t>)落实政府采购政策需满足的资格要求如下</w:t>
      </w:r>
      <w:r>
        <w:rPr>
          <w:rFonts w:hint="eastAsia" w:ascii="宋体" w:hAnsi="宋体" w:eastAsia="宋体" w:cs="宋体"/>
          <w:color w:val="000000"/>
          <w:sz w:val="28"/>
          <w:szCs w:val="28"/>
          <w:lang w:eastAsia="zh-CN"/>
        </w:rPr>
        <w:t>：</w:t>
      </w:r>
    </w:p>
    <w:p w14:paraId="077314A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依据《中华人民共和国政府采购法》和《中华人民共和国政府采购法实施条例》的有关规定，落实政府采购政策</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 </w:t>
      </w:r>
    </w:p>
    <w:p w14:paraId="41FC3E3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2.1</w:t>
      </w:r>
      <w:r>
        <w:rPr>
          <w:rFonts w:hint="eastAsia" w:ascii="宋体" w:hAnsi="宋体" w:eastAsia="宋体" w:cs="宋体"/>
          <w:color w:val="000000"/>
          <w:sz w:val="28"/>
          <w:szCs w:val="28"/>
          <w:lang w:eastAsia="zh-CN"/>
        </w:rPr>
        <w:t xml:space="preserve">《政府采购促进中小企业发展管理办法》的通知（财库〔2020〕46号）； </w:t>
      </w:r>
    </w:p>
    <w:p w14:paraId="67759A5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2.2</w:t>
      </w:r>
      <w:r>
        <w:rPr>
          <w:rFonts w:hint="eastAsia" w:ascii="宋体" w:hAnsi="宋体" w:eastAsia="宋体" w:cs="宋体"/>
          <w:color w:val="000000"/>
          <w:sz w:val="28"/>
          <w:szCs w:val="28"/>
          <w:lang w:eastAsia="zh-CN"/>
        </w:rPr>
        <w:t xml:space="preserve">财政部司法部关于政府采购支持监狱企业发展有关问题的通知--财库〔2014〕68号； </w:t>
      </w:r>
    </w:p>
    <w:p w14:paraId="24549DB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2.3</w:t>
      </w:r>
      <w:r>
        <w:rPr>
          <w:rFonts w:hint="eastAsia" w:ascii="宋体" w:hAnsi="宋体" w:eastAsia="宋体" w:cs="宋体"/>
          <w:color w:val="000000"/>
          <w:sz w:val="28"/>
          <w:szCs w:val="28"/>
          <w:lang w:eastAsia="zh-CN"/>
        </w:rPr>
        <w:t xml:space="preserve">《国务院办公厅关于建立政府强制采购节能产品制度的通知》--国办发〔2007〕51号。 </w:t>
      </w:r>
    </w:p>
    <w:p w14:paraId="1FA0B03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2.4《关于印发环境标志产品政府采购品目清单的通知》（财库〔2019〕18号）； </w:t>
      </w:r>
    </w:p>
    <w:p w14:paraId="25FF76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2.5《关于印发节能产品政府采购品目清单的通知》（财库〔2019〕19号）； </w:t>
      </w:r>
    </w:p>
    <w:p w14:paraId="1BB9640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2.6</w:t>
      </w:r>
      <w:r>
        <w:rPr>
          <w:rFonts w:hint="eastAsia" w:ascii="宋体" w:hAnsi="宋体" w:eastAsia="宋体" w:cs="宋体"/>
          <w:color w:val="000000"/>
          <w:sz w:val="28"/>
          <w:szCs w:val="28"/>
          <w:lang w:eastAsia="zh-CN"/>
        </w:rPr>
        <w:t xml:space="preserve">《关于促进残疾人就业政府采购政策的通知》财库〔2017〕141号；  </w:t>
      </w:r>
    </w:p>
    <w:p w14:paraId="408E7BB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2.7</w:t>
      </w:r>
      <w:r>
        <w:rPr>
          <w:rFonts w:hint="eastAsia" w:ascii="宋体" w:hAnsi="宋体" w:eastAsia="宋体" w:cs="宋体"/>
          <w:color w:val="000000"/>
          <w:sz w:val="28"/>
          <w:szCs w:val="28"/>
          <w:lang w:eastAsia="zh-CN"/>
        </w:rPr>
        <w:t>陕西省财政厅关于印发《陕西省中小企业政府采购信用融资办法》（陕财办采〔2018〕23号）；</w:t>
      </w:r>
    </w:p>
    <w:p w14:paraId="34071D1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2.8其他需要落实的政府采购政策（如有最新颁布的政府采购政策，按最新的文件执行）。</w:t>
      </w:r>
    </w:p>
    <w:p w14:paraId="5781E55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3.本项目的特定资格要求：</w:t>
      </w:r>
    </w:p>
    <w:p w14:paraId="59FC50A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eastAsia="宋体" w:cs="宋体"/>
          <w:color w:val="000000"/>
          <w:sz w:val="28"/>
          <w:szCs w:val="28"/>
          <w:lang w:eastAsia="zh-CN"/>
        </w:rPr>
        <w:t>宜川县城市公益性公墓及殡仪馆提升改造项目农用地专用和土地征收组卷报批服务</w:t>
      </w:r>
      <w:r>
        <w:rPr>
          <w:rFonts w:hint="eastAsia" w:ascii="宋体" w:hAnsi="宋体" w:eastAsia="宋体" w:cs="宋体"/>
          <w:color w:val="000000"/>
          <w:sz w:val="28"/>
          <w:szCs w:val="28"/>
        </w:rPr>
        <w:t>)特定资格要求如下: </w:t>
      </w:r>
    </w:p>
    <w:p w14:paraId="69E3476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3.1具有独立承担民事责任能力的法人、其他组织或自然人，并出具合法有效的营业执照或事业单位法人证书等国家规定的相关证明，自然人参与的提供其身份证明； </w:t>
      </w:r>
    </w:p>
    <w:p w14:paraId="3670A04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3.2法定代表人授权委托书及被授权人身份证（法定代表人直接参加时，只须出示法定代表人身份证)； </w:t>
      </w:r>
    </w:p>
    <w:p w14:paraId="00329F1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3.3提供参加政府采购活动前3年内经营活动中没有重大违法记录声明； </w:t>
      </w:r>
    </w:p>
    <w:p w14:paraId="57CE62B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3.4税收缴纳证明：自2026年1月1日以来已缴纳的至少一个月的纳税证明或完税证明，纳税证明或完税证明上应有代收机构或税务机关的公章。依法免税的供应商应提供相关文件证明； </w:t>
      </w:r>
    </w:p>
    <w:p w14:paraId="6FBFC45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3.5社会保障资金缴纳证明：自2026年1月1日以来已缴存的至少一个月的社会保障资金缴存单据或社保机构开具的社会保险参保缴费情况证明，依法不需要缴纳社会保障资金的供应商应提供相关文件证明； </w:t>
      </w:r>
    </w:p>
    <w:p w14:paraId="7F6D282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41EF796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3.7投标人须同时具备土地规划乙级(含乙级)以上资质和测绘乙级(含乙级)以上资质；</w:t>
      </w:r>
    </w:p>
    <w:p w14:paraId="397CEE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3.8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7835997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pacing w:val="0"/>
          <w:sz w:val="28"/>
          <w:szCs w:val="28"/>
          <w:lang w:val="en-US" w:eastAsia="zh-CN"/>
        </w:rPr>
      </w:pPr>
      <w:r>
        <w:rPr>
          <w:rFonts w:hint="eastAsia" w:ascii="宋体" w:hAnsi="宋体" w:eastAsia="宋体" w:cs="宋体"/>
          <w:color w:val="000000"/>
          <w:spacing w:val="0"/>
          <w:sz w:val="28"/>
          <w:szCs w:val="28"/>
          <w:lang w:val="en-US" w:eastAsia="zh-CN"/>
        </w:rPr>
        <w:t>3.9提供磋商保证金的银行转账或电汇凭证并确保响应文件递交截止时间前到达采购文件指定账户；</w:t>
      </w:r>
    </w:p>
    <w:p w14:paraId="0F6E216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pacing w:val="0"/>
          <w:sz w:val="28"/>
          <w:szCs w:val="28"/>
          <w:lang w:val="en-US" w:eastAsia="zh-CN"/>
        </w:rPr>
      </w:pPr>
      <w:r>
        <w:rPr>
          <w:rFonts w:hint="eastAsia" w:ascii="宋体" w:hAnsi="宋体" w:eastAsia="宋体" w:cs="宋体"/>
          <w:color w:val="000000"/>
          <w:spacing w:val="0"/>
          <w:sz w:val="28"/>
          <w:szCs w:val="28"/>
          <w:lang w:val="en-US" w:eastAsia="zh-CN"/>
        </w:rPr>
        <w:t>3.10本项目专门面向中小企业采购（提供中小企业声明函）；</w:t>
      </w:r>
    </w:p>
    <w:p w14:paraId="6C8B72E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11</w:t>
      </w:r>
      <w:r>
        <w:rPr>
          <w:rFonts w:hint="eastAsia" w:ascii="宋体" w:hAnsi="宋体" w:eastAsia="宋体" w:cs="宋体"/>
          <w:color w:val="000000"/>
          <w:sz w:val="28"/>
          <w:szCs w:val="28"/>
        </w:rPr>
        <w:t>本项目不接受联合体磋商。</w:t>
      </w:r>
    </w:p>
    <w:p w14:paraId="3DE52D24">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三、获取采购文件</w:t>
      </w:r>
    </w:p>
    <w:p w14:paraId="5F17525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时间：</w:t>
      </w:r>
      <w:r>
        <w:rPr>
          <w:rFonts w:hint="eastAsia" w:ascii="宋体" w:hAnsi="宋体" w:eastAsia="宋体" w:cs="宋体"/>
          <w:b w:val="0"/>
          <w:bCs w:val="0"/>
          <w:color w:val="000000"/>
          <w:sz w:val="28"/>
          <w:szCs w:val="28"/>
          <w:lang w:val="en-US" w:eastAsia="zh-CN"/>
        </w:rPr>
        <w:t>2026年7月20日8时00分至2026年7月24日18时00分（北京时间）。</w:t>
      </w:r>
    </w:p>
    <w:p w14:paraId="72064F1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途径</w:t>
      </w:r>
      <w:r>
        <w:rPr>
          <w:rFonts w:hint="eastAsia" w:ascii="宋体" w:hAnsi="宋体" w:eastAsia="宋体" w:cs="宋体"/>
          <w:b w:val="0"/>
          <w:bCs w:val="0"/>
          <w:color w:val="000000"/>
          <w:sz w:val="28"/>
          <w:szCs w:val="28"/>
        </w:rPr>
        <w:t>：</w:t>
      </w:r>
      <w:r>
        <w:rPr>
          <w:rFonts w:hint="eastAsia" w:ascii="宋体" w:hAnsi="宋体" w:eastAsia="宋体" w:cs="宋体"/>
          <w:b w:val="0"/>
          <w:bCs w:val="0"/>
          <w:color w:val="000000"/>
          <w:sz w:val="28"/>
          <w:szCs w:val="28"/>
          <w:lang w:val="en-US" w:eastAsia="zh-CN"/>
        </w:rPr>
        <w:t>全国公共资源交易平台（陕西省·延安市）</w:t>
      </w:r>
    </w:p>
    <w:p w14:paraId="237D359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方式：</w:t>
      </w:r>
      <w:r>
        <w:rPr>
          <w:rFonts w:hint="eastAsia" w:ascii="宋体" w:hAnsi="宋体" w:eastAsia="宋体" w:cs="宋体"/>
          <w:b w:val="0"/>
          <w:bCs w:val="0"/>
          <w:color w:val="000000"/>
          <w:sz w:val="28"/>
          <w:szCs w:val="28"/>
          <w:lang w:eastAsia="zh-CN"/>
        </w:rPr>
        <w:t>在线</w:t>
      </w:r>
      <w:r>
        <w:rPr>
          <w:rFonts w:hint="eastAsia" w:ascii="宋体" w:hAnsi="宋体" w:eastAsia="宋体" w:cs="宋体"/>
          <w:b w:val="0"/>
          <w:bCs w:val="0"/>
          <w:color w:val="000000"/>
          <w:sz w:val="28"/>
          <w:szCs w:val="28"/>
        </w:rPr>
        <w:t>获取</w:t>
      </w:r>
    </w:p>
    <w:p w14:paraId="780C2ED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售价：</w:t>
      </w:r>
      <w:r>
        <w:rPr>
          <w:rFonts w:hint="eastAsia" w:ascii="宋体" w:hAnsi="宋体" w:eastAsia="宋体" w:cs="宋体"/>
          <w:b w:val="0"/>
          <w:bCs w:val="0"/>
          <w:color w:val="000000"/>
          <w:sz w:val="28"/>
          <w:szCs w:val="28"/>
          <w:lang w:val="en-US" w:eastAsia="zh-CN"/>
        </w:rPr>
        <w:t>0元</w:t>
      </w:r>
    </w:p>
    <w:p w14:paraId="303DF8C7">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四、响应文件提交</w:t>
      </w:r>
    </w:p>
    <w:p w14:paraId="035071A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截止时间：202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年</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月</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日</w:t>
      </w:r>
      <w:r>
        <w:rPr>
          <w:rFonts w:hint="eastAsia" w:ascii="宋体" w:hAnsi="宋体" w:eastAsia="宋体" w:cs="宋体"/>
          <w:color w:val="000000"/>
          <w:sz w:val="28"/>
          <w:szCs w:val="28"/>
          <w:lang w:val="en-US" w:eastAsia="zh-CN"/>
        </w:rPr>
        <w:t>15</w:t>
      </w:r>
      <w:r>
        <w:rPr>
          <w:rFonts w:hint="eastAsia" w:ascii="宋体" w:hAnsi="宋体" w:eastAsia="宋体" w:cs="宋体"/>
          <w:color w:val="000000"/>
          <w:sz w:val="28"/>
          <w:szCs w:val="28"/>
        </w:rPr>
        <w:t>时</w:t>
      </w:r>
      <w:r>
        <w:rPr>
          <w:rFonts w:hint="eastAsia" w:ascii="宋体" w:hAnsi="宋体" w:eastAsia="宋体" w:cs="宋体"/>
          <w:color w:val="000000"/>
          <w:sz w:val="28"/>
          <w:szCs w:val="28"/>
          <w:lang w:val="en-US" w:eastAsia="zh-CN"/>
        </w:rPr>
        <w:t>30</w:t>
      </w:r>
      <w:r>
        <w:rPr>
          <w:rFonts w:hint="eastAsia" w:ascii="宋体" w:hAnsi="宋体" w:eastAsia="宋体" w:cs="宋体"/>
          <w:color w:val="000000"/>
          <w:sz w:val="28"/>
          <w:szCs w:val="28"/>
        </w:rPr>
        <w:t>分</w:t>
      </w:r>
      <w:r>
        <w:rPr>
          <w:rFonts w:hint="eastAsia" w:ascii="宋体" w:hAnsi="宋体" w:eastAsia="宋体" w:cs="宋体"/>
          <w:color w:val="000000"/>
          <w:sz w:val="28"/>
          <w:szCs w:val="28"/>
          <w:lang w:val="en-US" w:eastAsia="zh-CN"/>
        </w:rPr>
        <w:t>00</w:t>
      </w:r>
      <w:r>
        <w:rPr>
          <w:rFonts w:hint="eastAsia" w:ascii="宋体" w:hAnsi="宋体" w:eastAsia="宋体" w:cs="宋体"/>
          <w:color w:val="000000"/>
          <w:sz w:val="28"/>
          <w:szCs w:val="28"/>
        </w:rPr>
        <w:t>秒（北京时间）</w:t>
      </w:r>
    </w:p>
    <w:p w14:paraId="0FBE8D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地点：延安市公共资源交易中心</w:t>
      </w:r>
      <w:r>
        <w:rPr>
          <w:rFonts w:hint="eastAsia" w:ascii="宋体" w:hAnsi="宋体" w:eastAsia="宋体" w:cs="宋体"/>
          <w:color w:val="000000"/>
          <w:sz w:val="28"/>
          <w:szCs w:val="28"/>
          <w:lang w:val="en-US" w:eastAsia="zh-CN"/>
        </w:rPr>
        <w:t>开标7室</w:t>
      </w:r>
    </w:p>
    <w:p w14:paraId="41E7C9BF">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五、开启</w:t>
      </w:r>
    </w:p>
    <w:p w14:paraId="55591D1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时间：202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年</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月</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日</w:t>
      </w:r>
      <w:r>
        <w:rPr>
          <w:rFonts w:hint="eastAsia" w:ascii="宋体" w:hAnsi="宋体" w:eastAsia="宋体" w:cs="宋体"/>
          <w:color w:val="000000"/>
          <w:sz w:val="28"/>
          <w:szCs w:val="28"/>
          <w:lang w:val="en-US" w:eastAsia="zh-CN"/>
        </w:rPr>
        <w:t>15</w:t>
      </w:r>
      <w:r>
        <w:rPr>
          <w:rFonts w:hint="eastAsia" w:ascii="宋体" w:hAnsi="宋体" w:eastAsia="宋体" w:cs="宋体"/>
          <w:color w:val="000000"/>
          <w:sz w:val="28"/>
          <w:szCs w:val="28"/>
        </w:rPr>
        <w:t>时</w:t>
      </w:r>
      <w:r>
        <w:rPr>
          <w:rFonts w:hint="eastAsia" w:ascii="宋体" w:hAnsi="宋体" w:eastAsia="宋体" w:cs="宋体"/>
          <w:color w:val="000000"/>
          <w:sz w:val="28"/>
          <w:szCs w:val="28"/>
          <w:lang w:val="en-US" w:eastAsia="zh-CN"/>
        </w:rPr>
        <w:t>30</w:t>
      </w:r>
      <w:r>
        <w:rPr>
          <w:rFonts w:hint="eastAsia" w:ascii="宋体" w:hAnsi="宋体" w:eastAsia="宋体" w:cs="宋体"/>
          <w:color w:val="000000"/>
          <w:sz w:val="28"/>
          <w:szCs w:val="28"/>
        </w:rPr>
        <w:t>分</w:t>
      </w:r>
      <w:r>
        <w:rPr>
          <w:rFonts w:hint="eastAsia" w:ascii="宋体" w:hAnsi="宋体" w:eastAsia="宋体" w:cs="宋体"/>
          <w:color w:val="000000"/>
          <w:sz w:val="28"/>
          <w:szCs w:val="28"/>
          <w:lang w:val="en-US" w:eastAsia="zh-CN"/>
        </w:rPr>
        <w:t>00</w:t>
      </w:r>
      <w:r>
        <w:rPr>
          <w:rFonts w:hint="eastAsia" w:ascii="宋体" w:hAnsi="宋体" w:eastAsia="宋体" w:cs="宋体"/>
          <w:color w:val="000000"/>
          <w:sz w:val="28"/>
          <w:szCs w:val="28"/>
        </w:rPr>
        <w:t>秒（北京时间）</w:t>
      </w:r>
    </w:p>
    <w:p w14:paraId="2BEE38C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地点：延安市公共资源交易中心</w:t>
      </w:r>
      <w:r>
        <w:rPr>
          <w:rFonts w:hint="eastAsia" w:ascii="宋体" w:hAnsi="宋体" w:eastAsia="宋体" w:cs="宋体"/>
          <w:color w:val="000000"/>
          <w:sz w:val="28"/>
          <w:szCs w:val="28"/>
          <w:lang w:val="en-US" w:eastAsia="zh-CN"/>
        </w:rPr>
        <w:t>开标7室</w:t>
      </w:r>
    </w:p>
    <w:p w14:paraId="358ACD22">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六、公告期限</w:t>
      </w:r>
    </w:p>
    <w:p w14:paraId="1AFC78F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自本公告发布之日起</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个工作日。</w:t>
      </w:r>
    </w:p>
    <w:p w14:paraId="13137976">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七、其他补充事宜</w:t>
      </w:r>
    </w:p>
    <w:p w14:paraId="6B705A2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（1）请投标人按照陕西省财政厅关于政府采购供应商注册登记有关事项的通知中的要求，通过陕西省政府采购网（http://www.ccgp-shaanxi.gov.cn/）注册登记加入陕西省政府采购供应商库。</w:t>
      </w:r>
    </w:p>
    <w:p w14:paraId="4B08E55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2）获取方式：投标人可登录全国公共资源交易平台（陕西省•延安市）（http：//ya.sxggzyjy.cn/）,选择“电子交易平台•〉政府采购交易系统•〉企业端”通过CA锁进行登录，登录后选择“交易乙方”身份进入投标人界面后，选择有意向的项目点击“我要投标”，参与投标活动。然后在 〖我的项目〗中点击“项目流程・〉招标文件领取”免费下载电子招标文件。</w:t>
      </w:r>
    </w:p>
    <w:p w14:paraId="5030C3D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（3）投标人初次使用交易平台，须先完成诚信入库登记、 数字认证证书（CA锁）认证及企业信息绑定。相关操作流程详见全国公共资源交易平台（陕西省・延安市）网站〖首页・〉服务指南・〉下载专区〗中的《延安市公共资源交易中心政府采购电子招投标全流程操作手册》。</w:t>
      </w:r>
    </w:p>
    <w:p w14:paraId="7ADA866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（4）供应商初次使用交易平台，需前往陕西省数字证书认证中心股份有限公司办理CA锁，办理流程可参照https://www.snca.com.cn/notice/show/533.html，现场办理地址：延安市新区为民服务中心南区东楼（7号楼）A2 楼，咨询电话：0911-2162266。</w:t>
      </w:r>
    </w:p>
    <w:p w14:paraId="660E02D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（5）本项目专门面向中小企业采购。</w:t>
      </w:r>
    </w:p>
    <w:p w14:paraId="513408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（6）本项目采用线上不见面形式。</w:t>
      </w:r>
    </w:p>
    <w:p w14:paraId="188B3D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val="0"/>
          <w:bCs w:val="0"/>
          <w:color w:val="000000"/>
          <w:sz w:val="28"/>
          <w:szCs w:val="28"/>
          <w:lang w:val="en-US" w:eastAsia="zh-CN"/>
        </w:rPr>
        <w:t>（7）发布公告的媒介：本次招标公告在《陕西省政府采购网》、《全国公共资源交易平台（陕西省·延安市）》上同时发布。</w:t>
      </w:r>
      <w:r>
        <w:rPr>
          <w:rFonts w:hint="eastAsia" w:ascii="宋体" w:hAnsi="宋体" w:eastAsia="宋体" w:cs="宋体"/>
          <w:b/>
          <w:bCs/>
          <w:color w:val="000000"/>
          <w:sz w:val="28"/>
          <w:szCs w:val="28"/>
          <w:lang w:val="en-US" w:eastAsia="zh-CN"/>
        </w:rPr>
        <w:t xml:space="preserve">  </w:t>
      </w:r>
    </w:p>
    <w:p w14:paraId="20EDE88D">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八、凡对本次采购提出询问，请按以下方式联系</w:t>
      </w:r>
    </w:p>
    <w:p w14:paraId="01EB686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1.采购人信息</w:t>
      </w:r>
    </w:p>
    <w:p w14:paraId="43EB3EA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名称：</w:t>
      </w:r>
      <w:r>
        <w:rPr>
          <w:rFonts w:hint="eastAsia" w:ascii="宋体" w:hAnsi="宋体" w:eastAsia="宋体" w:cs="宋体"/>
          <w:color w:val="000000"/>
          <w:sz w:val="28"/>
          <w:szCs w:val="28"/>
          <w:lang w:eastAsia="zh-CN"/>
        </w:rPr>
        <w:t>宜川县民政局</w:t>
      </w:r>
    </w:p>
    <w:p w14:paraId="0391F31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地址：陕西省延安市宜川县党湾街</w:t>
      </w:r>
    </w:p>
    <w:p w14:paraId="6C28EBD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联系方式：</w:t>
      </w:r>
      <w:r>
        <w:rPr>
          <w:rFonts w:hint="eastAsia" w:ascii="宋体" w:hAnsi="宋体" w:eastAsia="宋体" w:cs="宋体"/>
          <w:color w:val="auto"/>
          <w:sz w:val="28"/>
          <w:szCs w:val="28"/>
          <w:lang w:val="en-US" w:eastAsia="zh-CN"/>
        </w:rPr>
        <w:t>0911-8373960</w:t>
      </w:r>
    </w:p>
    <w:p w14:paraId="42FFFD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2.采购代理机构信息</w:t>
      </w:r>
    </w:p>
    <w:p w14:paraId="72E094D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名称：陕西宸永项目管理有限公司</w:t>
      </w:r>
    </w:p>
    <w:p w14:paraId="25EA508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地址：延安市新区盛世花园北区12号楼一单元802室</w:t>
      </w:r>
    </w:p>
    <w:p w14:paraId="3D70951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联系方式：0911-8688810</w:t>
      </w:r>
    </w:p>
    <w:p w14:paraId="0153E9A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3.项目联系方式</w:t>
      </w:r>
    </w:p>
    <w:p w14:paraId="63BC20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项目联系人：杨工</w:t>
      </w:r>
    </w:p>
    <w:p w14:paraId="22A0A85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电话：0911-8688810</w:t>
      </w:r>
    </w:p>
    <w:p w14:paraId="412D14D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lang w:val="en-US" w:eastAsia="zh-CN"/>
        </w:rPr>
        <w:sectPr>
          <w:footerReference r:id="rId8" w:type="first"/>
          <w:footerReference r:id="rId7"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start="1"/>
          <w:cols w:space="720" w:num="1"/>
          <w:titlePg/>
          <w:docGrid w:linePitch="312" w:charSpace="0"/>
        </w:sectPr>
      </w:pPr>
    </w:p>
    <w:p w14:paraId="2DB2366C">
      <w:pPr>
        <w:pStyle w:val="2"/>
        <w:jc w:val="center"/>
        <w:rPr>
          <w:rFonts w:ascii="宋体" w:hAnsi="宋体" w:cs="宋体"/>
          <w:b w:val="0"/>
          <w:color w:val="000000"/>
          <w:sz w:val="28"/>
          <w:szCs w:val="28"/>
        </w:rPr>
      </w:pPr>
      <w:bookmarkStart w:id="3" w:name="_Toc2562"/>
      <w:bookmarkStart w:id="4" w:name="_Toc421778363"/>
      <w:r>
        <w:rPr>
          <w:rFonts w:ascii="宋体" w:hAnsi="宋体" w:cs="宋体"/>
          <w:color w:val="000000"/>
          <w:sz w:val="28"/>
          <w:szCs w:val="28"/>
        </w:rPr>
        <w:t>第二章 供应商须知</w:t>
      </w:r>
      <w:bookmarkEnd w:id="3"/>
      <w:bookmarkEnd w:id="4"/>
    </w:p>
    <w:p w14:paraId="552CB0E2">
      <w:pPr>
        <w:spacing w:line="360" w:lineRule="auto"/>
        <w:jc w:val="center"/>
        <w:outlineLvl w:val="1"/>
        <w:rPr>
          <w:rFonts w:ascii="宋体" w:hAnsi="宋体" w:cs="宋体"/>
          <w:b/>
          <w:color w:val="000000"/>
          <w:sz w:val="28"/>
          <w:szCs w:val="28"/>
        </w:rPr>
      </w:pPr>
      <w:bookmarkStart w:id="5" w:name="_Toc14031"/>
      <w:bookmarkStart w:id="6" w:name="_Toc10955"/>
      <w:bookmarkStart w:id="7" w:name="_Toc421778364"/>
      <w:bookmarkStart w:id="8" w:name="_Toc500323094"/>
      <w:bookmarkStart w:id="9" w:name="_Toc9290"/>
      <w:bookmarkStart w:id="10" w:name="_Toc420591642"/>
      <w:bookmarkStart w:id="11" w:name="_Toc526842094"/>
      <w:r>
        <w:rPr>
          <w:rFonts w:ascii="宋体" w:hAnsi="宋体" w:cs="宋体"/>
          <w:b/>
          <w:color w:val="000000"/>
          <w:sz w:val="28"/>
          <w:szCs w:val="28"/>
        </w:rPr>
        <w:t>供应商须知前附表</w:t>
      </w:r>
      <w:bookmarkEnd w:id="5"/>
      <w:bookmarkEnd w:id="6"/>
      <w:bookmarkEnd w:id="7"/>
      <w:bookmarkEnd w:id="8"/>
      <w:bookmarkEnd w:id="9"/>
      <w:bookmarkEnd w:id="10"/>
      <w:bookmarkEnd w:id="11"/>
    </w:p>
    <w:tbl>
      <w:tblPr>
        <w:tblStyle w:val="38"/>
        <w:tblW w:w="10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914"/>
        <w:gridCol w:w="7371"/>
      </w:tblGrid>
      <w:tr w14:paraId="41722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6619210">
            <w:pPr>
              <w:spacing w:line="360" w:lineRule="auto"/>
              <w:jc w:val="center"/>
              <w:rPr>
                <w:rFonts w:ascii="宋体" w:hAnsi="宋体" w:cs="宋体"/>
                <w:b/>
                <w:color w:val="000000"/>
                <w:sz w:val="24"/>
                <w:szCs w:val="24"/>
              </w:rPr>
            </w:pPr>
            <w:r>
              <w:rPr>
                <w:rFonts w:ascii="宋体" w:hAnsi="宋体" w:cs="宋体"/>
                <w:b/>
                <w:color w:val="000000"/>
                <w:sz w:val="24"/>
                <w:szCs w:val="24"/>
              </w:rPr>
              <w:t>条款号</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CDC1E55">
            <w:pPr>
              <w:spacing w:line="360" w:lineRule="auto"/>
              <w:jc w:val="center"/>
              <w:rPr>
                <w:rFonts w:ascii="宋体" w:hAnsi="宋体" w:cs="宋体"/>
                <w:b/>
                <w:color w:val="000000"/>
                <w:sz w:val="24"/>
                <w:szCs w:val="24"/>
              </w:rPr>
            </w:pPr>
            <w:r>
              <w:rPr>
                <w:rFonts w:ascii="宋体" w:hAnsi="宋体" w:cs="宋体"/>
                <w:b/>
                <w:color w:val="000000"/>
                <w:sz w:val="24"/>
                <w:szCs w:val="24"/>
              </w:rPr>
              <w:t>条款名称</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0B1F4AC">
            <w:pPr>
              <w:spacing w:line="360" w:lineRule="auto"/>
              <w:jc w:val="center"/>
              <w:rPr>
                <w:rFonts w:ascii="宋体" w:hAnsi="宋体" w:cs="宋体"/>
                <w:b/>
                <w:color w:val="000000"/>
                <w:sz w:val="24"/>
                <w:szCs w:val="24"/>
              </w:rPr>
            </w:pPr>
            <w:r>
              <w:rPr>
                <w:rFonts w:ascii="宋体" w:hAnsi="宋体" w:cs="宋体"/>
                <w:b/>
                <w:color w:val="000000"/>
                <w:sz w:val="24"/>
                <w:szCs w:val="24"/>
              </w:rPr>
              <w:t>编列内容</w:t>
            </w:r>
          </w:p>
        </w:tc>
      </w:tr>
      <w:tr w14:paraId="34F0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42393DE">
            <w:pPr>
              <w:spacing w:line="360" w:lineRule="auto"/>
              <w:jc w:val="center"/>
              <w:rPr>
                <w:rFonts w:ascii="宋体" w:hAnsi="宋体" w:cs="宋体"/>
                <w:color w:val="000000"/>
                <w:sz w:val="24"/>
                <w:szCs w:val="24"/>
              </w:rPr>
            </w:pPr>
            <w:r>
              <w:rPr>
                <w:rFonts w:ascii="宋体" w:hAnsi="宋体" w:cs="宋体"/>
                <w:color w:val="000000"/>
                <w:sz w:val="24"/>
                <w:szCs w:val="24"/>
              </w:rPr>
              <w:t>1.1.2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A5A40FD">
            <w:pPr>
              <w:spacing w:line="360" w:lineRule="auto"/>
              <w:jc w:val="center"/>
              <w:rPr>
                <w:rFonts w:ascii="宋体" w:hAnsi="宋体" w:cs="宋体"/>
                <w:color w:val="auto"/>
                <w:sz w:val="24"/>
                <w:szCs w:val="24"/>
              </w:rPr>
            </w:pPr>
            <w:r>
              <w:rPr>
                <w:rFonts w:ascii="宋体" w:hAnsi="宋体" w:cs="宋体"/>
                <w:color w:val="auto"/>
                <w:sz w:val="24"/>
                <w:szCs w:val="24"/>
              </w:rPr>
              <w:t>采购人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CD96068">
            <w:pPr>
              <w:autoSpaceDE w:val="0"/>
              <w:autoSpaceDN w:val="0"/>
              <w:adjustRightInd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名  称：宜川县民政局</w:t>
            </w:r>
          </w:p>
          <w:p w14:paraId="260746E0">
            <w:pPr>
              <w:autoSpaceDE w:val="0"/>
              <w:autoSpaceDN w:val="0"/>
              <w:adjustRightInd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址：陕西省延安市宜川县党湾街</w:t>
            </w:r>
          </w:p>
          <w:p w14:paraId="08CC1104">
            <w:pPr>
              <w:autoSpaceDE w:val="0"/>
              <w:autoSpaceDN w:val="0"/>
              <w:adjustRightInd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联系人：</w:t>
            </w:r>
            <w:r>
              <w:rPr>
                <w:rFonts w:hint="eastAsia" w:ascii="宋体" w:hAnsi="宋体" w:eastAsia="宋体" w:cs="宋体"/>
                <w:color w:val="auto"/>
                <w:sz w:val="24"/>
                <w:szCs w:val="24"/>
                <w:lang w:val="en-US" w:eastAsia="zh-CN"/>
              </w:rPr>
              <w:t>王小斌</w:t>
            </w:r>
          </w:p>
          <w:p w14:paraId="2F2A01C6">
            <w:pPr>
              <w:autoSpaceDE w:val="0"/>
              <w:autoSpaceDN w:val="0"/>
              <w:adjustRightInd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联系方式：</w:t>
            </w:r>
            <w:r>
              <w:rPr>
                <w:rFonts w:hint="eastAsia" w:ascii="宋体" w:hAnsi="宋体" w:eastAsia="宋体" w:cs="宋体"/>
                <w:color w:val="auto"/>
                <w:sz w:val="24"/>
                <w:szCs w:val="24"/>
                <w:lang w:val="en-US" w:eastAsia="zh-CN"/>
              </w:rPr>
              <w:t>0911-8373960</w:t>
            </w:r>
          </w:p>
        </w:tc>
      </w:tr>
      <w:tr w14:paraId="169C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1054DBB">
            <w:pPr>
              <w:spacing w:line="360" w:lineRule="auto"/>
              <w:jc w:val="center"/>
              <w:rPr>
                <w:rFonts w:ascii="宋体" w:hAnsi="宋体" w:cs="宋体"/>
                <w:color w:val="000000"/>
                <w:sz w:val="24"/>
                <w:szCs w:val="24"/>
              </w:rPr>
            </w:pPr>
            <w:r>
              <w:rPr>
                <w:rFonts w:ascii="宋体" w:hAnsi="宋体" w:cs="宋体"/>
                <w:color w:val="000000"/>
                <w:sz w:val="24"/>
                <w:szCs w:val="24"/>
              </w:rPr>
              <w:t>1.1.3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DB0A2AE">
            <w:pPr>
              <w:spacing w:line="360" w:lineRule="auto"/>
              <w:jc w:val="center"/>
              <w:rPr>
                <w:rFonts w:ascii="宋体" w:hAnsi="宋体" w:cs="宋体"/>
                <w:color w:val="000000"/>
                <w:sz w:val="24"/>
                <w:szCs w:val="24"/>
              </w:rPr>
            </w:pPr>
            <w:r>
              <w:rPr>
                <w:rFonts w:ascii="宋体" w:hAnsi="宋体" w:cs="宋体"/>
                <w:color w:val="000000"/>
                <w:sz w:val="24"/>
                <w:szCs w:val="24"/>
              </w:rPr>
              <w:t>采购代理机构</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B15059B">
            <w:pPr>
              <w:autoSpaceDE w:val="0"/>
              <w:autoSpaceDN w:val="0"/>
              <w:adjustRightInd w:val="0"/>
              <w:spacing w:line="360" w:lineRule="auto"/>
              <w:rPr>
                <w:rFonts w:hint="eastAsia" w:ascii="宋体" w:hAnsi="宋体" w:eastAsia="宋体" w:cs="宋体"/>
                <w:color w:val="000000"/>
                <w:kern w:val="0"/>
                <w:sz w:val="24"/>
                <w:szCs w:val="24"/>
                <w:lang w:eastAsia="zh-CN"/>
              </w:rPr>
            </w:pPr>
            <w:r>
              <w:rPr>
                <w:rFonts w:ascii="宋体" w:hAnsi="宋体" w:cs="宋体"/>
                <w:color w:val="000000"/>
                <w:kern w:val="0"/>
                <w:sz w:val="24"/>
                <w:szCs w:val="24"/>
              </w:rPr>
              <w:t>名  称：</w:t>
            </w:r>
            <w:r>
              <w:rPr>
                <w:rFonts w:hint="eastAsia" w:ascii="宋体" w:hAnsi="宋体" w:cs="宋体"/>
                <w:color w:val="000000"/>
                <w:sz w:val="24"/>
                <w:szCs w:val="24"/>
                <w:lang w:eastAsia="zh-CN"/>
              </w:rPr>
              <w:t>陕西宸永项目管理有限公司</w:t>
            </w:r>
          </w:p>
          <w:p w14:paraId="197B4A74">
            <w:pPr>
              <w:tabs>
                <w:tab w:val="left" w:pos="3132"/>
              </w:tabs>
              <w:autoSpaceDE w:val="0"/>
              <w:autoSpaceDN w:val="0"/>
              <w:adjustRightInd w:val="0"/>
              <w:spacing w:line="360" w:lineRule="auto"/>
              <w:rPr>
                <w:rFonts w:hint="eastAsia" w:ascii="宋体" w:hAnsi="宋体" w:eastAsia="宋体" w:cs="宋体"/>
                <w:color w:val="000000"/>
                <w:sz w:val="24"/>
                <w:szCs w:val="24"/>
                <w:lang w:eastAsia="zh-CN"/>
              </w:rPr>
            </w:pPr>
            <w:r>
              <w:rPr>
                <w:rFonts w:ascii="宋体" w:hAnsi="宋体" w:cs="宋体"/>
                <w:color w:val="000000"/>
                <w:kern w:val="0"/>
                <w:sz w:val="24"/>
                <w:szCs w:val="24"/>
              </w:rPr>
              <w:t xml:space="preserve">地  </w:t>
            </w:r>
            <w:r>
              <w:rPr>
                <w:rFonts w:ascii="宋体" w:hAnsi="宋体" w:cs="宋体"/>
                <w:color w:val="000000"/>
                <w:sz w:val="24"/>
                <w:szCs w:val="24"/>
              </w:rPr>
              <w:t>址：</w:t>
            </w:r>
            <w:r>
              <w:rPr>
                <w:rFonts w:hint="eastAsia" w:ascii="宋体" w:hAnsi="宋体" w:cs="宋体"/>
                <w:color w:val="000000"/>
                <w:sz w:val="24"/>
                <w:szCs w:val="24"/>
                <w:lang w:eastAsia="zh-CN"/>
              </w:rPr>
              <w:t>延安市新区盛世花园北区12号楼1单元802室</w:t>
            </w:r>
          </w:p>
          <w:p w14:paraId="0810050B">
            <w:pPr>
              <w:tabs>
                <w:tab w:val="left" w:pos="3132"/>
              </w:tabs>
              <w:autoSpaceDE w:val="0"/>
              <w:autoSpaceDN w:val="0"/>
              <w:adjustRightInd w:val="0"/>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联系人：</w:t>
            </w:r>
            <w:r>
              <w:rPr>
                <w:rFonts w:hint="eastAsia" w:ascii="宋体" w:hAnsi="宋体" w:cs="宋体"/>
                <w:color w:val="000000"/>
                <w:sz w:val="24"/>
                <w:szCs w:val="24"/>
                <w:lang w:eastAsia="zh-CN"/>
              </w:rPr>
              <w:t>杨工</w:t>
            </w:r>
          </w:p>
          <w:p w14:paraId="7ADC9019">
            <w:pPr>
              <w:tabs>
                <w:tab w:val="left" w:pos="3132"/>
              </w:tabs>
              <w:autoSpaceDE w:val="0"/>
              <w:autoSpaceDN w:val="0"/>
              <w:adjustRightInd w:val="0"/>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联系电话：</w:t>
            </w:r>
            <w:r>
              <w:rPr>
                <w:rFonts w:hint="eastAsia" w:ascii="宋体" w:hAnsi="宋体" w:cs="宋体"/>
                <w:color w:val="000000"/>
                <w:sz w:val="24"/>
                <w:szCs w:val="24"/>
                <w:lang w:eastAsia="zh-CN"/>
              </w:rPr>
              <w:t>0911-8688810</w:t>
            </w:r>
          </w:p>
        </w:tc>
      </w:tr>
      <w:tr w14:paraId="5A67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FB24D66">
            <w:pPr>
              <w:spacing w:line="360" w:lineRule="auto"/>
              <w:jc w:val="center"/>
              <w:rPr>
                <w:rFonts w:ascii="宋体" w:hAnsi="宋体" w:cs="宋体"/>
                <w:color w:val="000000"/>
                <w:sz w:val="24"/>
                <w:szCs w:val="24"/>
              </w:rPr>
            </w:pPr>
            <w:r>
              <w:rPr>
                <w:rFonts w:ascii="宋体" w:hAnsi="宋体" w:cs="宋体"/>
                <w:color w:val="000000"/>
                <w:sz w:val="24"/>
                <w:szCs w:val="24"/>
              </w:rPr>
              <w:t>1.1.4</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6BFED0D">
            <w:pPr>
              <w:spacing w:line="360" w:lineRule="auto"/>
              <w:jc w:val="center"/>
              <w:rPr>
                <w:rFonts w:ascii="宋体" w:hAnsi="宋体" w:cs="宋体"/>
                <w:color w:val="000000"/>
                <w:sz w:val="24"/>
                <w:szCs w:val="24"/>
              </w:rPr>
            </w:pPr>
            <w:r>
              <w:rPr>
                <w:rFonts w:ascii="宋体" w:hAnsi="宋体" w:cs="宋体"/>
                <w:color w:val="000000"/>
                <w:sz w:val="24"/>
                <w:szCs w:val="24"/>
              </w:rPr>
              <w:t>项目名称</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A1E95BC">
            <w:pPr>
              <w:spacing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宜川县城市公益性公墓及殡仪馆提升改造项目农用地专用和土地征收组卷报批服务</w:t>
            </w:r>
          </w:p>
        </w:tc>
      </w:tr>
      <w:tr w14:paraId="4C43E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A62A4C0">
            <w:pPr>
              <w:spacing w:line="360" w:lineRule="auto"/>
              <w:jc w:val="center"/>
              <w:rPr>
                <w:rFonts w:ascii="宋体" w:hAnsi="宋体" w:cs="宋体"/>
                <w:color w:val="000000"/>
                <w:sz w:val="24"/>
                <w:szCs w:val="24"/>
              </w:rPr>
            </w:pPr>
            <w:r>
              <w:rPr>
                <w:rFonts w:ascii="宋体" w:hAnsi="宋体" w:cs="宋体"/>
                <w:color w:val="000000"/>
                <w:sz w:val="24"/>
                <w:szCs w:val="24"/>
              </w:rPr>
              <w:t>1.2.1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032C6A2">
            <w:pPr>
              <w:spacing w:line="360" w:lineRule="auto"/>
              <w:jc w:val="center"/>
              <w:rPr>
                <w:rFonts w:ascii="宋体" w:hAnsi="宋体" w:cs="宋体"/>
                <w:color w:val="auto"/>
                <w:sz w:val="24"/>
                <w:szCs w:val="24"/>
              </w:rPr>
            </w:pPr>
            <w:r>
              <w:rPr>
                <w:rFonts w:ascii="宋体" w:hAnsi="宋体" w:cs="宋体"/>
                <w:color w:val="auto"/>
                <w:sz w:val="24"/>
                <w:szCs w:val="24"/>
              </w:rPr>
              <w:t>资金来源</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2690B33E">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财政资金</w:t>
            </w:r>
          </w:p>
        </w:tc>
      </w:tr>
      <w:tr w14:paraId="746E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E85B1C5">
            <w:pPr>
              <w:spacing w:line="360" w:lineRule="auto"/>
              <w:jc w:val="center"/>
              <w:rPr>
                <w:rFonts w:ascii="宋体" w:hAnsi="宋体" w:cs="宋体"/>
                <w:color w:val="000000"/>
                <w:sz w:val="24"/>
                <w:szCs w:val="24"/>
              </w:rPr>
            </w:pPr>
            <w:r>
              <w:rPr>
                <w:rFonts w:ascii="宋体" w:hAnsi="宋体" w:cs="宋体"/>
                <w:color w:val="000000"/>
                <w:sz w:val="24"/>
                <w:szCs w:val="24"/>
              </w:rPr>
              <w:t>1.2.2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07AE40D">
            <w:pPr>
              <w:spacing w:line="360" w:lineRule="auto"/>
              <w:jc w:val="center"/>
              <w:rPr>
                <w:rFonts w:ascii="宋体" w:hAnsi="宋体" w:cs="宋体"/>
                <w:color w:val="000000"/>
                <w:sz w:val="24"/>
                <w:szCs w:val="24"/>
              </w:rPr>
            </w:pPr>
            <w:r>
              <w:rPr>
                <w:rFonts w:ascii="宋体" w:hAnsi="宋体" w:eastAsia="宋体" w:cs="宋体"/>
                <w:color w:val="000000"/>
                <w:sz w:val="24"/>
                <w:szCs w:val="24"/>
              </w:rPr>
              <w:t>出资比例</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FB53C2D">
            <w:pPr>
              <w:spacing w:line="360" w:lineRule="auto"/>
              <w:jc w:val="left"/>
              <w:rPr>
                <w:rFonts w:ascii="宋体" w:hAnsi="宋体" w:cs="宋体"/>
                <w:color w:val="000000"/>
                <w:sz w:val="24"/>
                <w:szCs w:val="24"/>
              </w:rPr>
            </w:pPr>
            <w:r>
              <w:rPr>
                <w:rFonts w:ascii="宋体" w:hAnsi="宋体" w:cs="宋体"/>
                <w:color w:val="000000"/>
                <w:sz w:val="24"/>
                <w:szCs w:val="24"/>
              </w:rPr>
              <w:t>100%</w:t>
            </w:r>
          </w:p>
        </w:tc>
      </w:tr>
      <w:tr w14:paraId="2B6A1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844E9F4">
            <w:pPr>
              <w:spacing w:line="360" w:lineRule="auto"/>
              <w:jc w:val="center"/>
              <w:rPr>
                <w:rFonts w:ascii="宋体" w:hAnsi="宋体" w:cs="宋体"/>
                <w:color w:val="000000"/>
                <w:sz w:val="24"/>
                <w:szCs w:val="24"/>
              </w:rPr>
            </w:pPr>
            <w:r>
              <w:rPr>
                <w:rFonts w:ascii="宋体" w:hAnsi="宋体" w:cs="宋体"/>
                <w:color w:val="000000"/>
                <w:sz w:val="24"/>
                <w:szCs w:val="24"/>
              </w:rPr>
              <w:t>1.3.1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F28BCB5">
            <w:pPr>
              <w:spacing w:line="360" w:lineRule="auto"/>
              <w:jc w:val="center"/>
              <w:rPr>
                <w:rFonts w:ascii="宋体" w:hAnsi="宋体" w:cs="宋体"/>
                <w:color w:val="auto"/>
                <w:sz w:val="24"/>
                <w:szCs w:val="24"/>
              </w:rPr>
            </w:pPr>
            <w:r>
              <w:rPr>
                <w:rFonts w:ascii="宋体" w:hAnsi="宋体" w:cs="宋体"/>
                <w:color w:val="auto"/>
                <w:sz w:val="24"/>
                <w:szCs w:val="24"/>
              </w:rPr>
              <w:t>磋商内容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3044D07">
            <w:pPr>
              <w:autoSpaceDE w:val="0"/>
              <w:autoSpaceDN w:val="0"/>
              <w:adjustRightInd w:val="0"/>
              <w:spacing w:line="360" w:lineRule="auto"/>
              <w:jc w:val="both"/>
              <w:rPr>
                <w:rFonts w:hint="eastAsia" w:ascii="宋体" w:hAnsi="宋体" w:eastAsia="宋体" w:cs="宋体"/>
                <w:color w:val="auto"/>
                <w:kern w:val="0"/>
                <w:sz w:val="24"/>
                <w:szCs w:val="24"/>
                <w:lang w:eastAsia="zh-CN"/>
              </w:rPr>
            </w:pPr>
            <w:r>
              <w:rPr>
                <w:rFonts w:hint="eastAsia" w:ascii="宋体" w:hAnsi="宋体" w:eastAsia="宋体" w:cs="宋体"/>
                <w:sz w:val="24"/>
                <w:szCs w:val="24"/>
                <w:lang w:eastAsia="zh-CN"/>
              </w:rPr>
              <w:t>宜川县城市公益性公墓及殡仪馆提升改造项目农用地专用和土地征收组卷报批服务</w:t>
            </w:r>
          </w:p>
        </w:tc>
      </w:tr>
      <w:tr w14:paraId="4BCAE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C16DB27">
            <w:pPr>
              <w:spacing w:line="360" w:lineRule="auto"/>
              <w:jc w:val="center"/>
              <w:rPr>
                <w:rFonts w:ascii="宋体" w:hAnsi="宋体" w:cs="宋体"/>
                <w:color w:val="000000"/>
                <w:sz w:val="24"/>
                <w:szCs w:val="24"/>
              </w:rPr>
            </w:pPr>
            <w:r>
              <w:rPr>
                <w:rFonts w:ascii="宋体" w:hAnsi="宋体" w:cs="宋体"/>
                <w:color w:val="000000"/>
                <w:sz w:val="24"/>
                <w:szCs w:val="24"/>
              </w:rPr>
              <w:t>1.3.2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6DA38763">
            <w:pPr>
              <w:autoSpaceDE w:val="0"/>
              <w:autoSpaceDN w:val="0"/>
              <w:adjustRightInd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服务期</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FA0475D">
            <w:pPr>
              <w:autoSpaceDE w:val="0"/>
              <w:autoSpaceDN w:val="0"/>
              <w:adjustRightInd w:val="0"/>
              <w:spacing w:line="360" w:lineRule="auto"/>
              <w:jc w:val="both"/>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合同签订之日起</w:t>
            </w:r>
            <w:r>
              <w:rPr>
                <w:rFonts w:hint="eastAsia" w:ascii="宋体" w:hAnsi="宋体" w:eastAsia="宋体" w:cs="宋体"/>
                <w:color w:val="000000"/>
                <w:sz w:val="24"/>
                <w:szCs w:val="24"/>
                <w:lang w:val="en-US" w:eastAsia="zh-CN"/>
              </w:rPr>
              <w:t>12个月</w:t>
            </w:r>
          </w:p>
        </w:tc>
      </w:tr>
      <w:tr w14:paraId="62D7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61C9D15">
            <w:pPr>
              <w:spacing w:line="360" w:lineRule="auto"/>
              <w:jc w:val="center"/>
              <w:rPr>
                <w:rFonts w:ascii="宋体" w:hAnsi="宋体" w:cs="宋体"/>
                <w:color w:val="000000"/>
                <w:sz w:val="24"/>
                <w:szCs w:val="24"/>
              </w:rPr>
            </w:pPr>
            <w:r>
              <w:rPr>
                <w:rFonts w:ascii="宋体" w:hAnsi="宋体" w:cs="宋体"/>
                <w:color w:val="000000"/>
                <w:sz w:val="24"/>
                <w:szCs w:val="24"/>
              </w:rPr>
              <w:t>1.4.1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D7816A9">
            <w:pPr>
              <w:spacing w:line="360" w:lineRule="auto"/>
              <w:jc w:val="center"/>
              <w:rPr>
                <w:rFonts w:ascii="宋体" w:hAnsi="宋体" w:cs="宋体"/>
                <w:color w:val="000000"/>
                <w:sz w:val="24"/>
                <w:szCs w:val="24"/>
              </w:rPr>
            </w:pPr>
            <w:r>
              <w:rPr>
                <w:rFonts w:ascii="宋体" w:hAnsi="宋体" w:cs="宋体"/>
                <w:color w:val="000000"/>
                <w:sz w:val="24"/>
                <w:szCs w:val="24"/>
              </w:rPr>
              <w:t>供应商资质条件、能力和信誉</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1D087BB8">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（1）基本资格条件：</w:t>
            </w:r>
          </w:p>
          <w:p w14:paraId="4CBE4813">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符合《中华人民共和国政府采购法》第二十二条的规定；</w:t>
            </w:r>
          </w:p>
          <w:p w14:paraId="7060CC2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lang w:val="en-US" w:eastAsia="zh-CN"/>
              </w:rPr>
              <w:t>（2）特定资格条件：</w:t>
            </w:r>
          </w:p>
          <w:p w14:paraId="73046F7A">
            <w:pPr>
              <w:spacing w:line="360" w:lineRule="auto"/>
              <w:ind w:firstLine="480" w:firstLineChars="200"/>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lang w:eastAsia="zh-CN"/>
              </w:rPr>
              <w:t>具有独立承担民事责任能力的法人、其他组织或自然人，并出具合法有效的营业执照或事业单位法人证书等国家规定的相关证明，自然人参与的提供其身份证明；</w:t>
            </w:r>
            <w:r>
              <w:rPr>
                <w:rFonts w:ascii="宋体" w:hAnsi="宋体" w:cs="宋体"/>
                <w:color w:val="000000"/>
                <w:sz w:val="24"/>
                <w:szCs w:val="24"/>
              </w:rPr>
              <w:t xml:space="preserve"> </w:t>
            </w:r>
          </w:p>
          <w:p w14:paraId="0743A2D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lang w:val="en-US" w:eastAsia="zh-CN"/>
              </w:rPr>
              <w:t>2</w:t>
            </w:r>
            <w:r>
              <w:rPr>
                <w:rFonts w:ascii="宋体" w:hAnsi="宋体" w:cs="宋体"/>
                <w:color w:val="000000"/>
                <w:sz w:val="24"/>
                <w:szCs w:val="24"/>
              </w:rPr>
              <w:t>.法定代表人授权委托书及被授权人身份证（法定代表人直接参加时，只须出示法定代表人身份证)；</w:t>
            </w:r>
          </w:p>
          <w:p w14:paraId="7E116EA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lang w:val="en-US" w:eastAsia="zh-CN"/>
              </w:rPr>
              <w:t>3</w:t>
            </w:r>
            <w:r>
              <w:rPr>
                <w:rFonts w:ascii="宋体" w:hAnsi="宋体" w:cs="宋体"/>
                <w:color w:val="000000"/>
                <w:sz w:val="24"/>
                <w:szCs w:val="24"/>
              </w:rPr>
              <w:t>.</w:t>
            </w:r>
            <w:r>
              <w:rPr>
                <w:rFonts w:hint="eastAsia" w:ascii="宋体" w:hAnsi="宋体" w:cs="宋体"/>
                <w:color w:val="000000"/>
                <w:sz w:val="24"/>
                <w:szCs w:val="24"/>
                <w:lang w:eastAsia="zh-CN"/>
              </w:rPr>
              <w:t>提供参加政府采购活动前3年内经营活动中</w:t>
            </w:r>
            <w:r>
              <w:rPr>
                <w:rFonts w:hint="eastAsia" w:ascii="宋体" w:hAnsi="宋体" w:cs="宋体"/>
                <w:color w:val="000000"/>
                <w:sz w:val="24"/>
                <w:szCs w:val="24"/>
                <w:lang w:val="en-US" w:eastAsia="zh-CN"/>
              </w:rPr>
              <w:t>没有</w:t>
            </w:r>
            <w:r>
              <w:rPr>
                <w:rFonts w:hint="eastAsia" w:ascii="宋体" w:hAnsi="宋体" w:cs="宋体"/>
                <w:color w:val="000000"/>
                <w:sz w:val="24"/>
                <w:szCs w:val="24"/>
                <w:lang w:eastAsia="zh-CN"/>
              </w:rPr>
              <w:t>重大违法记录声明</w:t>
            </w:r>
            <w:r>
              <w:rPr>
                <w:rFonts w:ascii="宋体" w:hAnsi="宋体" w:cs="宋体"/>
                <w:color w:val="000000"/>
                <w:sz w:val="24"/>
                <w:szCs w:val="24"/>
              </w:rPr>
              <w:t>；</w:t>
            </w:r>
          </w:p>
          <w:p w14:paraId="5C0B868F">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4.税收缴纳证明：自2026年1月1日以来已缴纳的至少一个月的纳税证明或完税证明，纳税证明或完税证明上应有代收机构或税务机关的公章。依法免税的供应商应提供相关文件证明；</w:t>
            </w:r>
          </w:p>
          <w:p w14:paraId="6CB8555A">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5.社会保障资金缴纳证明：自2026年1月1日以来已缴存的至少一个月的社会保障资金缴存单据或社保机构开具的社会保险参保缴费情况证明，依法不需要缴纳社会保障资金的供应商应提供相关文件证明；</w:t>
            </w:r>
          </w:p>
          <w:p w14:paraId="49A202E7">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6</w:t>
            </w:r>
            <w:r>
              <w:rPr>
                <w:rFonts w:ascii="宋体" w:hAnsi="宋体" w:cs="宋体"/>
                <w:color w:val="000000"/>
                <w:sz w:val="24"/>
                <w:szCs w:val="24"/>
              </w:rPr>
              <w:t>.</w:t>
            </w:r>
            <w:r>
              <w:rPr>
                <w:rFonts w:hint="eastAsia" w:ascii="宋体" w:hAnsi="宋体" w:cs="宋体"/>
                <w:color w:val="000000"/>
                <w:sz w:val="24"/>
                <w:szCs w:val="24"/>
                <w:lang w:val="en-US" w:eastAsia="zh-CN"/>
              </w:rPr>
              <w:t>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3A5E2EB1">
            <w:pPr>
              <w:spacing w:line="360" w:lineRule="auto"/>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7.投标人须同时具备土地规划乙级(含乙级)以上资质和测绘乙级(含乙级)以上资质；</w:t>
            </w:r>
          </w:p>
          <w:p w14:paraId="123D3445">
            <w:pPr>
              <w:spacing w:line="360" w:lineRule="auto"/>
              <w:ind w:firstLine="480" w:firstLineChars="200"/>
              <w:rPr>
                <w:rFonts w:hint="eastAsia" w:ascii="宋体" w:hAnsi="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8.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45171C91">
            <w:pPr>
              <w:spacing w:line="360" w:lineRule="auto"/>
              <w:ind w:firstLine="480" w:firstLineChars="200"/>
              <w:rPr>
                <w:rFonts w:hint="eastAsia" w:ascii="宋体" w:hAnsi="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9.提供磋商保证金的银行转账或电汇凭证并确保响应文件递交截止时间前到达采购文件指定账户；</w:t>
            </w:r>
          </w:p>
          <w:p w14:paraId="685884A4">
            <w:pPr>
              <w:spacing w:line="360" w:lineRule="auto"/>
              <w:ind w:firstLine="480" w:firstLineChars="200"/>
              <w:rPr>
                <w:rFonts w:hint="eastAsia" w:ascii="宋体" w:hAnsi="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10.本项目专门面向中小企业采购（提供中小企业声明函）； </w:t>
            </w:r>
          </w:p>
          <w:p w14:paraId="0B100FCD">
            <w:pPr>
              <w:spacing w:line="360" w:lineRule="auto"/>
              <w:ind w:firstLine="480" w:firstLineChars="200"/>
              <w:rPr>
                <w:rFonts w:ascii="宋体" w:hAnsi="宋体" w:cs="宋体"/>
                <w:color w:val="000000"/>
                <w:sz w:val="24"/>
                <w:szCs w:val="24"/>
              </w:rPr>
            </w:pPr>
            <w:r>
              <w:rPr>
                <w:rFonts w:hint="eastAsia" w:ascii="宋体" w:hAnsi="宋体" w:eastAsia="宋体" w:cs="宋体"/>
                <w:color w:val="000000"/>
                <w:kern w:val="2"/>
                <w:sz w:val="24"/>
                <w:szCs w:val="24"/>
                <w:lang w:val="en-US" w:eastAsia="zh-CN" w:bidi="ar-SA"/>
              </w:rPr>
              <w:t>11.本项目不接受联合体磋商。</w:t>
            </w:r>
          </w:p>
        </w:tc>
      </w:tr>
      <w:tr w14:paraId="75831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ED97655">
            <w:pPr>
              <w:spacing w:line="360" w:lineRule="auto"/>
              <w:jc w:val="center"/>
              <w:rPr>
                <w:rFonts w:ascii="宋体" w:hAnsi="宋体" w:cs="宋体"/>
                <w:color w:val="000000"/>
                <w:sz w:val="24"/>
                <w:szCs w:val="24"/>
              </w:rPr>
            </w:pPr>
            <w:r>
              <w:rPr>
                <w:rFonts w:ascii="宋体" w:hAnsi="宋体" w:cs="宋体"/>
                <w:color w:val="000000"/>
                <w:sz w:val="24"/>
                <w:szCs w:val="24"/>
              </w:rPr>
              <w:t>1.4.2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6C674C1F">
            <w:pPr>
              <w:spacing w:line="360" w:lineRule="auto"/>
              <w:jc w:val="center"/>
              <w:rPr>
                <w:rFonts w:ascii="宋体" w:hAnsi="宋体" w:cs="宋体"/>
                <w:color w:val="000000"/>
                <w:sz w:val="24"/>
                <w:szCs w:val="24"/>
              </w:rPr>
            </w:pPr>
            <w:r>
              <w:rPr>
                <w:rFonts w:ascii="宋体" w:hAnsi="宋体" w:cs="宋体"/>
                <w:color w:val="000000"/>
                <w:sz w:val="24"/>
                <w:szCs w:val="24"/>
              </w:rPr>
              <w:t>是否接受</w:t>
            </w:r>
          </w:p>
          <w:p w14:paraId="24317DF1">
            <w:pPr>
              <w:spacing w:line="360" w:lineRule="auto"/>
              <w:jc w:val="center"/>
              <w:rPr>
                <w:rFonts w:ascii="宋体" w:hAnsi="宋体" w:cs="宋体"/>
                <w:color w:val="000000"/>
                <w:sz w:val="24"/>
                <w:szCs w:val="24"/>
              </w:rPr>
            </w:pPr>
            <w:r>
              <w:rPr>
                <w:rFonts w:ascii="宋体" w:hAnsi="宋体" w:cs="宋体"/>
                <w:color w:val="000000"/>
                <w:sz w:val="24"/>
                <w:szCs w:val="24"/>
              </w:rPr>
              <w:t>联合体磋商</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F50A4E5">
            <w:pPr>
              <w:autoSpaceDE w:val="0"/>
              <w:autoSpaceDN w:val="0"/>
              <w:adjustRightInd w:val="0"/>
              <w:spacing w:line="360" w:lineRule="auto"/>
              <w:rPr>
                <w:rFonts w:ascii="宋体" w:hAnsi="宋体" w:cs="宋体"/>
                <w:color w:val="000000"/>
                <w:sz w:val="24"/>
                <w:szCs w:val="24"/>
              </w:rPr>
            </w:pPr>
            <w:r>
              <w:rPr>
                <w:rFonts w:ascii="宋体" w:hAnsi="宋体" w:cs="宋体"/>
                <w:color w:val="000000"/>
                <w:kern w:val="0"/>
                <w:sz w:val="24"/>
                <w:szCs w:val="24"/>
              </w:rPr>
              <w:t>不接受</w:t>
            </w:r>
          </w:p>
        </w:tc>
      </w:tr>
      <w:tr w14:paraId="0782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B23FE90">
            <w:pPr>
              <w:spacing w:line="360" w:lineRule="auto"/>
              <w:jc w:val="center"/>
              <w:rPr>
                <w:rFonts w:ascii="宋体" w:hAnsi="宋体" w:cs="宋体"/>
                <w:color w:val="000000"/>
                <w:sz w:val="24"/>
                <w:szCs w:val="24"/>
              </w:rPr>
            </w:pPr>
            <w:r>
              <w:rPr>
                <w:rFonts w:ascii="宋体" w:hAnsi="宋体" w:cs="宋体"/>
                <w:color w:val="000000"/>
                <w:sz w:val="24"/>
                <w:szCs w:val="24"/>
              </w:rPr>
              <w:t>1.9.1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537ADD8">
            <w:pPr>
              <w:spacing w:line="360" w:lineRule="auto"/>
              <w:jc w:val="center"/>
              <w:rPr>
                <w:rFonts w:ascii="宋体" w:hAnsi="宋体" w:cs="宋体"/>
                <w:color w:val="000000"/>
                <w:sz w:val="24"/>
                <w:szCs w:val="24"/>
              </w:rPr>
            </w:pPr>
            <w:r>
              <w:rPr>
                <w:rFonts w:ascii="宋体" w:hAnsi="宋体" w:cs="宋体"/>
                <w:color w:val="000000"/>
                <w:sz w:val="24"/>
                <w:szCs w:val="24"/>
              </w:rPr>
              <w:t>磋商预备会</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848A3AB">
            <w:pPr>
              <w:spacing w:line="360" w:lineRule="auto"/>
              <w:rPr>
                <w:rFonts w:ascii="宋体" w:hAnsi="宋体" w:cs="宋体"/>
                <w:color w:val="000000"/>
                <w:sz w:val="24"/>
                <w:szCs w:val="24"/>
              </w:rPr>
            </w:pPr>
            <w:r>
              <w:rPr>
                <w:rFonts w:ascii="宋体" w:hAnsi="宋体" w:cs="宋体"/>
                <w:color w:val="000000"/>
                <w:sz w:val="24"/>
                <w:szCs w:val="24"/>
              </w:rPr>
              <w:t>不召开磋商预备会，相关事宜以招标答疑方式进行。</w:t>
            </w:r>
          </w:p>
          <w:p w14:paraId="130884E1">
            <w:pPr>
              <w:spacing w:line="360" w:lineRule="auto"/>
              <w:ind w:firstLine="480" w:firstLineChars="200"/>
              <w:rPr>
                <w:rFonts w:ascii="宋体" w:hAnsi="宋体" w:cs="宋体"/>
                <w:color w:val="000000"/>
                <w:sz w:val="24"/>
                <w:szCs w:val="24"/>
              </w:rPr>
            </w:pPr>
            <w:bookmarkStart w:id="12" w:name="_Toc343511299"/>
            <w:r>
              <w:rPr>
                <w:rFonts w:ascii="宋体" w:hAnsi="宋体" w:cs="宋体"/>
                <w:color w:val="000000"/>
                <w:sz w:val="24"/>
                <w:szCs w:val="24"/>
              </w:rPr>
              <w:t>供应商需以书面形式向采购代理机构提交需澄清或答疑的问题，采购人和代理机构负责做出统一解答和必要澄清后，以书面的《招标答疑纪要》发送各供应商。</w:t>
            </w:r>
            <w:bookmarkEnd w:id="12"/>
          </w:p>
        </w:tc>
      </w:tr>
      <w:tr w14:paraId="3E740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742FC61">
            <w:pPr>
              <w:spacing w:line="360" w:lineRule="auto"/>
              <w:jc w:val="center"/>
              <w:rPr>
                <w:rFonts w:ascii="宋体" w:hAnsi="宋体" w:cs="宋体"/>
                <w:color w:val="000000"/>
                <w:sz w:val="24"/>
                <w:szCs w:val="24"/>
              </w:rPr>
            </w:pPr>
            <w:r>
              <w:rPr>
                <w:rFonts w:ascii="宋体" w:hAnsi="宋体" w:cs="宋体"/>
                <w:color w:val="000000"/>
                <w:sz w:val="24"/>
                <w:szCs w:val="24"/>
              </w:rPr>
              <w:t>1.9.2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90A8F9F">
            <w:pPr>
              <w:spacing w:line="360" w:lineRule="auto"/>
              <w:jc w:val="center"/>
              <w:rPr>
                <w:rFonts w:ascii="宋体" w:hAnsi="宋体" w:cs="宋体"/>
                <w:color w:val="000000"/>
                <w:sz w:val="24"/>
                <w:szCs w:val="24"/>
              </w:rPr>
            </w:pPr>
            <w:r>
              <w:rPr>
                <w:rFonts w:ascii="宋体" w:hAnsi="宋体" w:cs="宋体"/>
                <w:color w:val="000000"/>
                <w:sz w:val="24"/>
                <w:szCs w:val="24"/>
              </w:rPr>
              <w:t>供应商提出问题的截止时间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973B9B1">
            <w:pPr>
              <w:spacing w:line="360" w:lineRule="auto"/>
              <w:ind w:firstLine="480" w:firstLineChars="200"/>
              <w:rPr>
                <w:rFonts w:ascii="宋体" w:hAnsi="宋体" w:cs="宋体"/>
                <w:color w:val="000000"/>
                <w:sz w:val="24"/>
                <w:szCs w:val="24"/>
              </w:rPr>
            </w:pPr>
            <w:r>
              <w:rPr>
                <w:rFonts w:ascii="宋体" w:hAnsi="宋体" w:cs="宋体"/>
                <w:color w:val="000000"/>
                <w:sz w:val="24"/>
                <w:szCs w:val="24"/>
              </w:rPr>
              <w:t>提交首次响应文件截止之日3个工作日前，以书面形式提交至采购代理机构，逾期不再接受。</w:t>
            </w:r>
          </w:p>
        </w:tc>
      </w:tr>
      <w:tr w14:paraId="1904D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6ED73E9">
            <w:pPr>
              <w:spacing w:line="360" w:lineRule="auto"/>
              <w:jc w:val="center"/>
              <w:rPr>
                <w:rFonts w:ascii="宋体" w:hAnsi="宋体" w:cs="宋体"/>
                <w:color w:val="000000"/>
                <w:sz w:val="24"/>
                <w:szCs w:val="24"/>
              </w:rPr>
            </w:pPr>
            <w:r>
              <w:rPr>
                <w:rFonts w:ascii="宋体" w:hAnsi="宋体" w:cs="宋体"/>
                <w:color w:val="000000"/>
                <w:sz w:val="24"/>
                <w:szCs w:val="24"/>
              </w:rPr>
              <w:t>1.10</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EB0D369">
            <w:pPr>
              <w:spacing w:line="360" w:lineRule="auto"/>
              <w:rPr>
                <w:rFonts w:ascii="宋体" w:hAnsi="宋体" w:cs="宋体"/>
                <w:color w:val="000000"/>
                <w:sz w:val="24"/>
                <w:szCs w:val="24"/>
              </w:rPr>
            </w:pPr>
            <w:r>
              <w:rPr>
                <w:rFonts w:ascii="宋体" w:hAnsi="宋体" w:cs="宋体"/>
                <w:color w:val="000000"/>
                <w:sz w:val="24"/>
                <w:szCs w:val="24"/>
              </w:rPr>
              <w:t>踏勘现场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27880BC">
            <w:pPr>
              <w:spacing w:line="360" w:lineRule="auto"/>
              <w:ind w:firstLine="480" w:firstLineChars="200"/>
              <w:rPr>
                <w:rFonts w:ascii="宋体" w:hAnsi="宋体" w:cs="宋体"/>
                <w:color w:val="000000"/>
                <w:sz w:val="24"/>
                <w:szCs w:val="24"/>
              </w:rPr>
            </w:pPr>
            <w:r>
              <w:rPr>
                <w:rFonts w:ascii="宋体" w:hAnsi="宋体" w:cs="宋体"/>
                <w:color w:val="000000"/>
                <w:sz w:val="24"/>
                <w:szCs w:val="24"/>
              </w:rPr>
              <w:t>踏勘现场：采购人不组织现场踏勘会，若磋商供应商认为有必要时，可自行组织踏勘，但因踏勘产生的一切费用及影响由磋商供应商自行承担。</w:t>
            </w:r>
          </w:p>
        </w:tc>
      </w:tr>
      <w:tr w14:paraId="604C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DA6F8F6">
            <w:pPr>
              <w:spacing w:line="360" w:lineRule="auto"/>
              <w:jc w:val="center"/>
              <w:rPr>
                <w:rFonts w:ascii="宋体" w:hAnsi="宋体" w:cs="宋体"/>
                <w:color w:val="000000"/>
                <w:sz w:val="24"/>
                <w:szCs w:val="24"/>
              </w:rPr>
            </w:pPr>
            <w:r>
              <w:rPr>
                <w:rFonts w:ascii="宋体" w:hAnsi="宋体" w:cs="宋体"/>
                <w:color w:val="000000"/>
                <w:sz w:val="24"/>
                <w:szCs w:val="24"/>
              </w:rPr>
              <w:t>2.2.1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BC87A18">
            <w:pPr>
              <w:spacing w:line="360" w:lineRule="auto"/>
              <w:jc w:val="center"/>
              <w:rPr>
                <w:rFonts w:ascii="宋体" w:hAnsi="宋体" w:cs="宋体"/>
                <w:color w:val="000000"/>
                <w:sz w:val="24"/>
                <w:szCs w:val="24"/>
              </w:rPr>
            </w:pPr>
            <w:r>
              <w:rPr>
                <w:rFonts w:ascii="宋体" w:hAnsi="宋体" w:cs="宋体"/>
                <w:color w:val="000000"/>
                <w:sz w:val="24"/>
                <w:szCs w:val="24"/>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0BA26478">
            <w:pPr>
              <w:spacing w:line="360" w:lineRule="auto"/>
              <w:rPr>
                <w:rFonts w:ascii="宋体" w:hAnsi="宋体" w:cs="宋体"/>
                <w:color w:val="000000"/>
                <w:sz w:val="24"/>
                <w:szCs w:val="24"/>
              </w:rPr>
            </w:pPr>
            <w:r>
              <w:rPr>
                <w:rFonts w:ascii="宋体" w:hAnsi="宋体" w:cs="宋体"/>
                <w:color w:val="000000"/>
                <w:sz w:val="24"/>
                <w:szCs w:val="24"/>
              </w:rPr>
              <w:t>提交首次响应文件截止之日3个工作日前</w:t>
            </w:r>
          </w:p>
        </w:tc>
      </w:tr>
      <w:tr w14:paraId="50E5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86A5BF7">
            <w:pPr>
              <w:spacing w:line="360" w:lineRule="auto"/>
              <w:jc w:val="center"/>
              <w:rPr>
                <w:rFonts w:ascii="宋体" w:hAnsi="宋体" w:cs="宋体"/>
                <w:color w:val="000000"/>
                <w:sz w:val="24"/>
                <w:szCs w:val="24"/>
              </w:rPr>
            </w:pPr>
            <w:r>
              <w:rPr>
                <w:rFonts w:ascii="宋体" w:hAnsi="宋体" w:cs="宋体"/>
                <w:color w:val="000000"/>
                <w:sz w:val="24"/>
                <w:szCs w:val="24"/>
              </w:rPr>
              <w:t>2.2.2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44C0669">
            <w:pPr>
              <w:spacing w:line="360" w:lineRule="auto"/>
              <w:jc w:val="center"/>
              <w:rPr>
                <w:rFonts w:ascii="宋体" w:hAnsi="宋体" w:cs="宋体"/>
                <w:color w:val="000000"/>
                <w:sz w:val="24"/>
                <w:szCs w:val="24"/>
              </w:rPr>
            </w:pPr>
            <w:r>
              <w:rPr>
                <w:rFonts w:ascii="宋体" w:hAnsi="宋体" w:cs="宋体"/>
                <w:color w:val="000000"/>
                <w:sz w:val="24"/>
                <w:szCs w:val="24"/>
              </w:rPr>
              <w:t>提交首次响应文件截止之日</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FE6CDB7">
            <w:pPr>
              <w:spacing w:line="360" w:lineRule="auto"/>
              <w:rPr>
                <w:rFonts w:ascii="宋体" w:hAnsi="宋体" w:cs="宋体"/>
                <w:color w:val="000000"/>
                <w:sz w:val="24"/>
                <w:szCs w:val="24"/>
              </w:rPr>
            </w:pPr>
            <w:r>
              <w:rPr>
                <w:rFonts w:hint="eastAsia" w:ascii="宋体" w:hAnsi="宋体" w:cs="宋体"/>
                <w:color w:val="000000"/>
                <w:sz w:val="24"/>
                <w:szCs w:val="24"/>
              </w:rPr>
              <w:t>202</w:t>
            </w:r>
            <w:r>
              <w:rPr>
                <w:rFonts w:hint="eastAsia" w:ascii="宋体" w:hAnsi="宋体" w:cs="宋体"/>
                <w:color w:val="000000"/>
                <w:sz w:val="24"/>
                <w:szCs w:val="24"/>
                <w:lang w:val="en-US" w:eastAsia="zh-CN"/>
              </w:rPr>
              <w:t>6</w:t>
            </w:r>
            <w:r>
              <w:rPr>
                <w:rFonts w:hint="eastAsia" w:ascii="宋体" w:hAnsi="宋体" w:cs="宋体"/>
                <w:color w:val="000000"/>
                <w:sz w:val="24"/>
                <w:szCs w:val="24"/>
              </w:rPr>
              <w:t>年</w:t>
            </w:r>
            <w:r>
              <w:rPr>
                <w:rFonts w:hint="eastAsia" w:ascii="宋体" w:hAnsi="宋体" w:cs="宋体"/>
                <w:color w:val="000000"/>
                <w:sz w:val="24"/>
                <w:szCs w:val="24"/>
                <w:lang w:val="en-US" w:eastAsia="zh-CN"/>
              </w:rPr>
              <w:t>8</w:t>
            </w:r>
            <w:r>
              <w:rPr>
                <w:rFonts w:hint="eastAsia" w:ascii="宋体" w:hAnsi="宋体" w:cs="宋体"/>
                <w:color w:val="000000"/>
                <w:sz w:val="24"/>
                <w:szCs w:val="24"/>
              </w:rPr>
              <w:t>月</w:t>
            </w:r>
            <w:r>
              <w:rPr>
                <w:rFonts w:hint="eastAsia" w:ascii="宋体" w:hAnsi="宋体" w:cs="宋体"/>
                <w:color w:val="000000"/>
                <w:sz w:val="24"/>
                <w:szCs w:val="24"/>
                <w:lang w:val="en-US" w:eastAsia="zh-CN"/>
              </w:rPr>
              <w:t>4</w:t>
            </w:r>
            <w:r>
              <w:rPr>
                <w:rFonts w:hint="eastAsia" w:ascii="宋体" w:hAnsi="宋体" w:cs="宋体"/>
                <w:color w:val="000000"/>
                <w:sz w:val="24"/>
                <w:szCs w:val="24"/>
              </w:rPr>
              <w:t>日</w:t>
            </w:r>
            <w:r>
              <w:rPr>
                <w:rFonts w:hint="eastAsia" w:ascii="宋体" w:hAnsi="宋体" w:cs="宋体"/>
                <w:color w:val="000000"/>
                <w:sz w:val="24"/>
                <w:szCs w:val="24"/>
                <w:lang w:val="en-US" w:eastAsia="zh-CN"/>
              </w:rPr>
              <w:t>15</w:t>
            </w:r>
            <w:r>
              <w:rPr>
                <w:rFonts w:hint="eastAsia" w:ascii="宋体" w:hAnsi="宋体" w:cs="宋体"/>
                <w:color w:val="000000"/>
                <w:sz w:val="24"/>
                <w:szCs w:val="24"/>
              </w:rPr>
              <w:t>时</w:t>
            </w:r>
            <w:r>
              <w:rPr>
                <w:rFonts w:hint="eastAsia" w:ascii="宋体" w:hAnsi="宋体" w:cs="宋体"/>
                <w:color w:val="000000"/>
                <w:sz w:val="24"/>
                <w:szCs w:val="24"/>
                <w:lang w:val="en-US" w:eastAsia="zh-CN"/>
              </w:rPr>
              <w:t>30</w:t>
            </w:r>
            <w:r>
              <w:rPr>
                <w:rFonts w:hint="eastAsia" w:ascii="宋体" w:hAnsi="宋体" w:cs="宋体"/>
                <w:color w:val="000000"/>
                <w:sz w:val="24"/>
                <w:szCs w:val="24"/>
              </w:rPr>
              <w:t>分</w:t>
            </w:r>
            <w:r>
              <w:rPr>
                <w:rFonts w:hint="eastAsia" w:ascii="宋体" w:hAnsi="宋体" w:cs="宋体"/>
                <w:color w:val="000000"/>
                <w:sz w:val="24"/>
                <w:szCs w:val="24"/>
                <w:lang w:val="en-US" w:eastAsia="zh-CN"/>
              </w:rPr>
              <w:t>00</w:t>
            </w:r>
            <w:r>
              <w:rPr>
                <w:rFonts w:hint="eastAsia" w:ascii="宋体" w:hAnsi="宋体" w:cs="宋体"/>
                <w:color w:val="000000"/>
                <w:sz w:val="24"/>
                <w:szCs w:val="24"/>
              </w:rPr>
              <w:t>秒（北京时间）</w:t>
            </w:r>
          </w:p>
        </w:tc>
      </w:tr>
      <w:tr w14:paraId="1640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FFBCF86">
            <w:pPr>
              <w:spacing w:line="360" w:lineRule="auto"/>
              <w:jc w:val="center"/>
              <w:rPr>
                <w:rFonts w:ascii="宋体" w:hAnsi="宋体" w:cs="宋体"/>
                <w:color w:val="000000"/>
                <w:sz w:val="24"/>
                <w:szCs w:val="24"/>
              </w:rPr>
            </w:pPr>
            <w:r>
              <w:rPr>
                <w:rFonts w:ascii="宋体" w:hAnsi="宋体" w:cs="宋体"/>
                <w:color w:val="000000"/>
                <w:sz w:val="24"/>
                <w:szCs w:val="24"/>
              </w:rPr>
              <w:t>2.2.3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3B9CE3F">
            <w:pPr>
              <w:spacing w:line="360" w:lineRule="auto"/>
              <w:jc w:val="center"/>
              <w:rPr>
                <w:rFonts w:ascii="宋体" w:hAnsi="宋体" w:cs="宋体"/>
                <w:color w:val="000000"/>
                <w:sz w:val="24"/>
                <w:szCs w:val="24"/>
              </w:rPr>
            </w:pPr>
            <w:r>
              <w:rPr>
                <w:rFonts w:ascii="宋体" w:hAnsi="宋体" w:cs="宋体"/>
                <w:color w:val="000000"/>
                <w:sz w:val="24"/>
                <w:szCs w:val="24"/>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8D91D6F">
            <w:pPr>
              <w:spacing w:line="360" w:lineRule="auto"/>
              <w:rPr>
                <w:rFonts w:ascii="宋体" w:hAnsi="宋体" w:cs="宋体"/>
                <w:color w:val="000000"/>
                <w:sz w:val="24"/>
                <w:szCs w:val="24"/>
              </w:rPr>
            </w:pPr>
            <w:r>
              <w:rPr>
                <w:rFonts w:ascii="宋体" w:hAnsi="宋体" w:cs="宋体"/>
                <w:color w:val="000000"/>
                <w:sz w:val="24"/>
                <w:szCs w:val="24"/>
              </w:rPr>
              <w:t>磋商文件澄清发出后当日内</w:t>
            </w:r>
          </w:p>
        </w:tc>
      </w:tr>
      <w:tr w14:paraId="442F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E3EC3A1">
            <w:pPr>
              <w:spacing w:line="360" w:lineRule="auto"/>
              <w:jc w:val="center"/>
              <w:rPr>
                <w:rFonts w:ascii="宋体" w:hAnsi="宋体" w:cs="宋体"/>
                <w:color w:val="000000"/>
                <w:sz w:val="24"/>
                <w:szCs w:val="24"/>
              </w:rPr>
            </w:pPr>
            <w:r>
              <w:rPr>
                <w:rFonts w:ascii="宋体" w:hAnsi="宋体" w:cs="宋体"/>
                <w:color w:val="000000"/>
                <w:sz w:val="24"/>
                <w:szCs w:val="24"/>
              </w:rPr>
              <w:t>2.3.2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E690A8D">
            <w:pPr>
              <w:spacing w:line="360" w:lineRule="auto"/>
              <w:jc w:val="center"/>
              <w:rPr>
                <w:rFonts w:ascii="宋体" w:hAnsi="宋体" w:cs="宋体"/>
                <w:color w:val="000000"/>
                <w:sz w:val="24"/>
                <w:szCs w:val="24"/>
              </w:rPr>
            </w:pPr>
            <w:r>
              <w:rPr>
                <w:rFonts w:ascii="宋体" w:hAnsi="宋体" w:cs="宋体"/>
                <w:color w:val="000000"/>
                <w:sz w:val="24"/>
                <w:szCs w:val="24"/>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3C9AF35">
            <w:pPr>
              <w:spacing w:line="360" w:lineRule="auto"/>
              <w:rPr>
                <w:rFonts w:ascii="宋体" w:hAnsi="宋体" w:cs="宋体"/>
                <w:color w:val="000000"/>
                <w:sz w:val="24"/>
                <w:szCs w:val="24"/>
              </w:rPr>
            </w:pPr>
            <w:r>
              <w:rPr>
                <w:rFonts w:ascii="宋体" w:hAnsi="宋体" w:cs="宋体"/>
                <w:color w:val="000000"/>
                <w:sz w:val="24"/>
                <w:szCs w:val="24"/>
              </w:rPr>
              <w:t>磋商文件修改发出后当日内</w:t>
            </w:r>
          </w:p>
        </w:tc>
      </w:tr>
      <w:tr w14:paraId="23C01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91812EF">
            <w:pPr>
              <w:spacing w:line="360" w:lineRule="auto"/>
              <w:jc w:val="center"/>
              <w:rPr>
                <w:rFonts w:ascii="宋体" w:hAnsi="宋体" w:cs="宋体"/>
                <w:color w:val="000000"/>
                <w:sz w:val="24"/>
                <w:szCs w:val="24"/>
              </w:rPr>
            </w:pPr>
            <w:r>
              <w:rPr>
                <w:rFonts w:ascii="宋体" w:hAnsi="宋体" w:cs="宋体"/>
                <w:color w:val="000000"/>
                <w:sz w:val="24"/>
                <w:szCs w:val="24"/>
              </w:rPr>
              <w:t>3.3.1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9614BB5">
            <w:pPr>
              <w:spacing w:line="360" w:lineRule="auto"/>
              <w:jc w:val="center"/>
              <w:rPr>
                <w:rFonts w:ascii="宋体" w:hAnsi="宋体" w:cs="宋体"/>
                <w:color w:val="000000"/>
                <w:sz w:val="24"/>
                <w:szCs w:val="24"/>
              </w:rPr>
            </w:pPr>
            <w:r>
              <w:rPr>
                <w:rFonts w:ascii="宋体" w:hAnsi="宋体" w:cs="宋体"/>
                <w:color w:val="000000"/>
                <w:sz w:val="24"/>
                <w:szCs w:val="24"/>
              </w:rPr>
              <w:t>磋商有效期</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005A0BFF">
            <w:pPr>
              <w:spacing w:line="360" w:lineRule="auto"/>
              <w:jc w:val="left"/>
              <w:rPr>
                <w:rFonts w:ascii="宋体" w:hAnsi="宋体" w:cs="宋体"/>
                <w:color w:val="000000"/>
                <w:sz w:val="24"/>
                <w:szCs w:val="24"/>
              </w:rPr>
            </w:pPr>
            <w:r>
              <w:rPr>
                <w:rFonts w:hint="eastAsia" w:ascii="宋体" w:hAnsi="宋体" w:cs="宋体"/>
                <w:color w:val="000000"/>
                <w:sz w:val="24"/>
                <w:szCs w:val="24"/>
                <w:lang w:val="en-US" w:eastAsia="zh-CN"/>
              </w:rPr>
              <w:t>不少于</w:t>
            </w:r>
            <w:r>
              <w:rPr>
                <w:rFonts w:ascii="宋体" w:hAnsi="宋体" w:cs="宋体"/>
                <w:color w:val="000000"/>
                <w:sz w:val="24"/>
                <w:szCs w:val="24"/>
              </w:rPr>
              <w:t>90日历天（从磋商响应文件截止之日算起）</w:t>
            </w:r>
          </w:p>
        </w:tc>
      </w:tr>
      <w:tr w14:paraId="6AEB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FC6CEAC">
            <w:pPr>
              <w:spacing w:line="360" w:lineRule="auto"/>
              <w:jc w:val="center"/>
              <w:rPr>
                <w:rFonts w:ascii="宋体" w:hAnsi="宋体" w:cs="宋体"/>
                <w:color w:val="000000"/>
                <w:sz w:val="24"/>
                <w:szCs w:val="24"/>
              </w:rPr>
            </w:pPr>
            <w:r>
              <w:rPr>
                <w:rFonts w:ascii="宋体" w:hAnsi="宋体" w:cs="宋体"/>
                <w:color w:val="000000"/>
                <w:sz w:val="24"/>
                <w:szCs w:val="24"/>
              </w:rPr>
              <w:t>3.4.1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5A59712">
            <w:pPr>
              <w:spacing w:line="360" w:lineRule="auto"/>
              <w:jc w:val="center"/>
              <w:rPr>
                <w:rFonts w:ascii="宋体" w:hAnsi="宋体" w:cs="宋体"/>
                <w:color w:val="auto"/>
                <w:sz w:val="24"/>
                <w:szCs w:val="24"/>
              </w:rPr>
            </w:pPr>
            <w:r>
              <w:rPr>
                <w:rFonts w:ascii="宋体" w:hAnsi="宋体" w:cs="宋体"/>
                <w:color w:val="auto"/>
                <w:sz w:val="24"/>
                <w:szCs w:val="24"/>
              </w:rPr>
              <w:t>磋商保证金</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19AA6071">
            <w:pPr>
              <w:pageBreakBefore w:val="0"/>
              <w:widowControl w:val="0"/>
              <w:wordWrap/>
              <w:topLinePunct w:val="0"/>
              <w:bidi w:val="0"/>
              <w:spacing w:line="360" w:lineRule="auto"/>
              <w:jc w:val="both"/>
              <w:rPr>
                <w:rFonts w:hint="eastAsia" w:ascii="宋体" w:hAnsi="宋体" w:eastAsia="宋体" w:cs="宋体"/>
                <w:b/>
                <w:bCs/>
                <w:color w:val="auto"/>
                <w:kern w:val="2"/>
                <w:sz w:val="24"/>
                <w:szCs w:val="24"/>
                <w:u w:val="none"/>
                <w:lang w:eastAsia="zh-CN"/>
              </w:rPr>
            </w:pPr>
            <w:r>
              <w:rPr>
                <w:rFonts w:hint="eastAsia" w:ascii="宋体" w:hAnsi="宋体" w:eastAsia="宋体" w:cs="宋体"/>
                <w:b/>
                <w:bCs/>
                <w:color w:val="auto"/>
                <w:kern w:val="2"/>
                <w:sz w:val="24"/>
                <w:szCs w:val="24"/>
                <w:lang w:val="en-US" w:eastAsia="zh-CN"/>
              </w:rPr>
              <w:t>磋商</w:t>
            </w:r>
            <w:r>
              <w:rPr>
                <w:rFonts w:hint="eastAsia" w:ascii="宋体" w:hAnsi="宋体" w:eastAsia="宋体" w:cs="宋体"/>
                <w:b/>
                <w:bCs/>
                <w:color w:val="auto"/>
                <w:kern w:val="2"/>
                <w:sz w:val="24"/>
                <w:szCs w:val="24"/>
              </w:rPr>
              <w:t>保证金：</w:t>
            </w:r>
            <w:r>
              <w:rPr>
                <w:rFonts w:hint="eastAsia" w:ascii="宋体" w:hAnsi="宋体" w:eastAsia="宋体" w:cs="宋体"/>
                <w:b/>
                <w:bCs/>
                <w:color w:val="auto"/>
                <w:kern w:val="2"/>
                <w:sz w:val="24"/>
                <w:szCs w:val="24"/>
                <w:lang w:val="en-US" w:eastAsia="zh-CN"/>
              </w:rPr>
              <w:t>20000.00</w:t>
            </w:r>
            <w:r>
              <w:rPr>
                <w:rFonts w:hint="eastAsia" w:ascii="宋体" w:hAnsi="宋体" w:eastAsia="宋体" w:cs="宋体"/>
                <w:b/>
                <w:bCs/>
                <w:color w:val="auto"/>
                <w:kern w:val="2"/>
                <w:sz w:val="24"/>
                <w:szCs w:val="24"/>
                <w:u w:val="none"/>
              </w:rPr>
              <w:t>元整</w:t>
            </w:r>
            <w:r>
              <w:rPr>
                <w:rFonts w:hint="eastAsia" w:ascii="宋体" w:hAnsi="宋体" w:eastAsia="宋体" w:cs="宋体"/>
                <w:b/>
                <w:bCs/>
                <w:color w:val="auto"/>
                <w:kern w:val="2"/>
                <w:sz w:val="24"/>
                <w:szCs w:val="24"/>
                <w:u w:val="none"/>
                <w:lang w:eastAsia="zh-CN"/>
              </w:rPr>
              <w:t>（</w:t>
            </w:r>
            <w:r>
              <w:rPr>
                <w:rFonts w:hint="eastAsia" w:ascii="宋体" w:hAnsi="宋体" w:eastAsia="宋体" w:cs="宋体"/>
                <w:b/>
                <w:bCs/>
                <w:color w:val="auto"/>
                <w:kern w:val="2"/>
                <w:sz w:val="24"/>
                <w:szCs w:val="24"/>
                <w:u w:val="none"/>
                <w:lang w:val="en-US" w:eastAsia="zh-CN"/>
              </w:rPr>
              <w:t>贰万元整</w:t>
            </w:r>
            <w:r>
              <w:rPr>
                <w:rFonts w:hint="eastAsia" w:ascii="宋体" w:hAnsi="宋体" w:eastAsia="宋体" w:cs="宋体"/>
                <w:b/>
                <w:bCs/>
                <w:color w:val="auto"/>
                <w:kern w:val="2"/>
                <w:sz w:val="24"/>
                <w:szCs w:val="24"/>
                <w:u w:val="none"/>
                <w:lang w:eastAsia="zh-CN"/>
              </w:rPr>
              <w:t>）</w:t>
            </w:r>
          </w:p>
          <w:p w14:paraId="55334292">
            <w:pPr>
              <w:pStyle w:val="18"/>
              <w:pageBreakBefore w:val="0"/>
              <w:wordWrap/>
              <w:topLinePunct w:val="0"/>
              <w:bidi w:val="0"/>
              <w:spacing w:line="360" w:lineRule="auto"/>
              <w:ind w:left="0" w:leftChars="0" w:firstLine="0" w:firstLineChars="0"/>
              <w:jc w:val="both"/>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lang w:val="en-US" w:eastAsia="zh-CN" w:bidi="ar-SA"/>
              </w:rPr>
              <w:t>备注：SXCY2026-06磋商保证金</w:t>
            </w:r>
          </w:p>
          <w:p w14:paraId="680A5240">
            <w:pPr>
              <w:pageBreakBefore w:val="0"/>
              <w:widowControl w:val="0"/>
              <w:wordWrap/>
              <w:topLinePunct w:val="0"/>
              <w:bidi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保证金有效期限：</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保证金的有效期与</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有效期一致。</w:t>
            </w:r>
          </w:p>
          <w:p w14:paraId="6E25312C">
            <w:pPr>
              <w:pageBreakBefore w:val="0"/>
              <w:tabs>
                <w:tab w:val="left" w:pos="0"/>
              </w:tabs>
              <w:kinsoku w:val="0"/>
              <w:wordWrap/>
              <w:topLinePunct w:val="0"/>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交款方式：</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保证金应当以银行网银转账、支票、汇票、本票或者金融机构、担保机构出具的保函等非现金形式交纳。供应商未按照采购文件要求提交</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保证金的，响应文件无效。请</w:t>
            </w:r>
            <w:r>
              <w:rPr>
                <w:rFonts w:hint="eastAsia" w:ascii="宋体" w:hAnsi="宋体" w:eastAsia="宋体" w:cs="宋体"/>
                <w:color w:val="auto"/>
                <w:sz w:val="24"/>
                <w:szCs w:val="24"/>
                <w:lang w:eastAsia="zh-CN"/>
              </w:rPr>
              <w:t>供应商在响应文件递交截止时间</w:t>
            </w:r>
            <w:r>
              <w:rPr>
                <w:rFonts w:hint="eastAsia" w:ascii="宋体" w:hAnsi="宋体" w:eastAsia="宋体" w:cs="宋体"/>
                <w:color w:val="auto"/>
                <w:sz w:val="24"/>
                <w:szCs w:val="24"/>
                <w:lang w:val="en-US" w:eastAsia="zh-CN"/>
              </w:rPr>
              <w:t>前将磋商保证金由公司账户（磋商保证金的交付单位和投标供应商的名称必须一致）缴纳到下列账户：</w:t>
            </w:r>
          </w:p>
          <w:p w14:paraId="6ADF27D5">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开户单位：</w:t>
            </w:r>
            <w:r>
              <w:rPr>
                <w:rFonts w:hint="eastAsia" w:ascii="宋体" w:hAnsi="宋体" w:eastAsia="宋体" w:cs="宋体"/>
                <w:b/>
                <w:bCs/>
                <w:color w:val="auto"/>
                <w:sz w:val="24"/>
                <w:szCs w:val="24"/>
                <w:lang w:eastAsia="zh-CN"/>
              </w:rPr>
              <w:t>陕西宸永项目管理有限公司</w:t>
            </w:r>
          </w:p>
          <w:p w14:paraId="70CD5578">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开户行名称：</w:t>
            </w:r>
            <w:r>
              <w:rPr>
                <w:rFonts w:hint="eastAsia" w:ascii="宋体" w:hAnsi="宋体" w:eastAsia="宋体" w:cs="宋体"/>
                <w:b/>
                <w:bCs/>
                <w:color w:val="auto"/>
                <w:sz w:val="24"/>
                <w:szCs w:val="24"/>
                <w:lang w:val="en-US" w:eastAsia="zh-CN"/>
              </w:rPr>
              <w:t>中国建设银行股份有限公司延安马家湾支行</w:t>
            </w:r>
          </w:p>
          <w:p w14:paraId="56D0E61F">
            <w:pPr>
              <w:spacing w:line="360" w:lineRule="auto"/>
              <w:ind w:firstLine="482" w:firstLineChars="200"/>
              <w:jc w:val="lef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rPr>
              <w:t>账      号：</w:t>
            </w:r>
            <w:r>
              <w:rPr>
                <w:rFonts w:hint="eastAsia" w:ascii="宋体" w:hAnsi="宋体" w:eastAsia="宋体" w:cs="宋体"/>
                <w:b/>
                <w:bCs/>
                <w:color w:val="auto"/>
                <w:sz w:val="24"/>
                <w:szCs w:val="24"/>
                <w:lang w:val="en-US" w:eastAsia="zh-CN"/>
              </w:rPr>
              <w:t>61050168980000000758</w:t>
            </w:r>
          </w:p>
        </w:tc>
      </w:tr>
      <w:tr w14:paraId="5C39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BB75B49">
            <w:pPr>
              <w:spacing w:line="360" w:lineRule="auto"/>
              <w:jc w:val="center"/>
              <w:rPr>
                <w:rFonts w:ascii="宋体" w:hAnsi="宋体" w:cs="宋体"/>
                <w:color w:val="000000"/>
                <w:sz w:val="24"/>
                <w:szCs w:val="24"/>
              </w:rPr>
            </w:pPr>
            <w:r>
              <w:rPr>
                <w:rFonts w:ascii="宋体" w:hAnsi="宋体" w:cs="宋体"/>
                <w:color w:val="000000"/>
                <w:sz w:val="24"/>
                <w:szCs w:val="24"/>
              </w:rPr>
              <w:t>3.6</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E1FA6F1">
            <w:pPr>
              <w:spacing w:line="360" w:lineRule="auto"/>
              <w:jc w:val="center"/>
              <w:rPr>
                <w:rFonts w:ascii="宋体" w:hAnsi="宋体" w:cs="宋体"/>
                <w:color w:val="000000"/>
                <w:sz w:val="24"/>
                <w:szCs w:val="24"/>
              </w:rPr>
            </w:pPr>
            <w:r>
              <w:rPr>
                <w:rFonts w:ascii="宋体" w:hAnsi="宋体" w:cs="宋体"/>
                <w:color w:val="000000"/>
                <w:sz w:val="24"/>
                <w:szCs w:val="24"/>
              </w:rPr>
              <w:t>是否允许递交</w:t>
            </w:r>
          </w:p>
          <w:p w14:paraId="1E31826C">
            <w:pPr>
              <w:spacing w:line="360" w:lineRule="auto"/>
              <w:jc w:val="center"/>
              <w:rPr>
                <w:rFonts w:ascii="宋体" w:hAnsi="宋体" w:cs="宋体"/>
                <w:color w:val="000000"/>
                <w:sz w:val="24"/>
                <w:szCs w:val="24"/>
              </w:rPr>
            </w:pPr>
            <w:r>
              <w:rPr>
                <w:rFonts w:ascii="宋体" w:hAnsi="宋体" w:cs="宋体"/>
                <w:color w:val="000000"/>
                <w:sz w:val="24"/>
                <w:szCs w:val="24"/>
              </w:rPr>
              <w:t>备选磋商方案</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8B13EDD">
            <w:pPr>
              <w:spacing w:line="360" w:lineRule="auto"/>
              <w:rPr>
                <w:rFonts w:ascii="宋体" w:hAnsi="宋体" w:cs="宋体"/>
                <w:color w:val="000000"/>
                <w:sz w:val="24"/>
                <w:szCs w:val="24"/>
              </w:rPr>
            </w:pPr>
            <w:r>
              <w:rPr>
                <w:rFonts w:ascii="宋体" w:hAnsi="宋体" w:cs="宋体"/>
                <w:color w:val="000000"/>
                <w:sz w:val="24"/>
                <w:szCs w:val="24"/>
              </w:rPr>
              <w:t>不允许</w:t>
            </w:r>
          </w:p>
        </w:tc>
      </w:tr>
      <w:tr w14:paraId="4CA6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218B4B7">
            <w:pPr>
              <w:spacing w:line="360" w:lineRule="auto"/>
              <w:jc w:val="center"/>
              <w:rPr>
                <w:rFonts w:hint="eastAsia" w:ascii="宋体" w:hAnsi="宋体" w:eastAsia="宋体" w:cs="宋体"/>
                <w:color w:val="000000"/>
                <w:sz w:val="24"/>
                <w:szCs w:val="24"/>
                <w:lang w:eastAsia="zh-CN"/>
              </w:rPr>
            </w:pPr>
            <w:r>
              <w:rPr>
                <w:rFonts w:ascii="宋体" w:hAnsi="宋体" w:cs="宋体"/>
                <w:color w:val="000000"/>
                <w:sz w:val="24"/>
                <w:szCs w:val="24"/>
              </w:rPr>
              <w:t>3.7.</w:t>
            </w:r>
            <w:r>
              <w:rPr>
                <w:rFonts w:hint="eastAsia" w:ascii="宋体" w:hAnsi="宋体" w:cs="宋体"/>
                <w:color w:val="000000"/>
                <w:sz w:val="24"/>
                <w:szCs w:val="24"/>
                <w:lang w:val="en-US" w:eastAsia="zh-CN"/>
              </w:rPr>
              <w:t>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646E645">
            <w:pPr>
              <w:spacing w:line="360" w:lineRule="auto"/>
              <w:jc w:val="center"/>
              <w:rPr>
                <w:rFonts w:ascii="宋体" w:hAnsi="宋体" w:cs="宋体"/>
                <w:color w:val="000000"/>
                <w:sz w:val="24"/>
                <w:szCs w:val="24"/>
              </w:rPr>
            </w:pPr>
            <w:r>
              <w:rPr>
                <w:rFonts w:ascii="宋体" w:hAnsi="宋体" w:cs="宋体"/>
                <w:color w:val="000000"/>
                <w:sz w:val="24"/>
                <w:szCs w:val="24"/>
              </w:rPr>
              <w:t>签字或盖章要求</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0D578F45">
            <w:pPr>
              <w:spacing w:line="360" w:lineRule="auto"/>
              <w:ind w:firstLine="480" w:firstLineChars="200"/>
              <w:rPr>
                <w:rFonts w:ascii="宋体" w:hAnsi="宋体" w:cs="宋体"/>
                <w:color w:val="000000"/>
                <w:sz w:val="24"/>
                <w:szCs w:val="24"/>
              </w:rPr>
            </w:pPr>
            <w:r>
              <w:rPr>
                <w:rFonts w:ascii="宋体" w:hAnsi="宋体" w:cs="宋体"/>
                <w:color w:val="000000"/>
                <w:sz w:val="24"/>
                <w:szCs w:val="24"/>
              </w:rPr>
              <w:t>响应文件须</w:t>
            </w:r>
            <w:r>
              <w:rPr>
                <w:rFonts w:hint="eastAsia" w:ascii="宋体" w:hAnsi="宋体" w:cs="宋体"/>
                <w:color w:val="000000"/>
                <w:sz w:val="24"/>
                <w:szCs w:val="24"/>
                <w:lang w:val="en-US" w:eastAsia="zh-CN"/>
              </w:rPr>
              <w:t>在指定页面</w:t>
            </w:r>
            <w:r>
              <w:rPr>
                <w:rFonts w:ascii="宋体" w:hAnsi="宋体" w:cs="宋体"/>
                <w:color w:val="000000"/>
                <w:sz w:val="24"/>
                <w:szCs w:val="24"/>
              </w:rPr>
              <w:t>加盖公章</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鲜章</w:t>
            </w:r>
            <w:r>
              <w:rPr>
                <w:rFonts w:hint="eastAsia" w:ascii="宋体" w:hAnsi="宋体" w:cs="宋体"/>
                <w:color w:val="000000"/>
                <w:sz w:val="24"/>
                <w:szCs w:val="24"/>
                <w:lang w:eastAsia="zh-CN"/>
              </w:rPr>
              <w:t>）</w:t>
            </w:r>
            <w:r>
              <w:rPr>
                <w:rFonts w:ascii="宋体" w:hAnsi="宋体" w:cs="宋体"/>
                <w:color w:val="000000"/>
                <w:sz w:val="24"/>
                <w:szCs w:val="24"/>
              </w:rPr>
              <w:t>并经法定代表人或其委托代理人在指定页面签字或盖章。由委托代理人签字或盖章的在响应文件中须同时提交响应文件签署授权委托书。</w:t>
            </w:r>
          </w:p>
        </w:tc>
      </w:tr>
      <w:tr w14:paraId="2894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8" w:hRule="atLeast"/>
          <w:jc w:val="center"/>
        </w:trPr>
        <w:tc>
          <w:tcPr>
            <w:tcW w:w="1036" w:type="dxa"/>
            <w:tcBorders>
              <w:top w:val="single" w:color="auto" w:sz="4" w:space="0"/>
              <w:left w:val="single" w:color="auto" w:sz="4" w:space="0"/>
              <w:right w:val="single" w:color="auto" w:sz="4" w:space="0"/>
            </w:tcBorders>
            <w:noWrap w:val="0"/>
            <w:vAlign w:val="center"/>
          </w:tcPr>
          <w:p w14:paraId="2901D6FE">
            <w:pPr>
              <w:spacing w:line="360" w:lineRule="auto"/>
              <w:jc w:val="center"/>
              <w:rPr>
                <w:rFonts w:hint="eastAsia" w:ascii="宋体" w:hAnsi="宋体" w:eastAsia="宋体" w:cs="宋体"/>
                <w:color w:val="000000"/>
                <w:sz w:val="24"/>
                <w:szCs w:val="24"/>
                <w:lang w:eastAsia="zh-CN"/>
              </w:rPr>
            </w:pPr>
            <w:r>
              <w:rPr>
                <w:rFonts w:ascii="宋体" w:hAnsi="宋体" w:cs="宋体"/>
                <w:color w:val="000000"/>
                <w:sz w:val="24"/>
                <w:szCs w:val="24"/>
              </w:rPr>
              <w:t>3.7.</w:t>
            </w:r>
            <w:r>
              <w:rPr>
                <w:rFonts w:hint="eastAsia" w:ascii="宋体" w:hAnsi="宋体" w:cs="宋体"/>
                <w:color w:val="000000"/>
                <w:sz w:val="24"/>
                <w:szCs w:val="24"/>
                <w:lang w:val="en-US" w:eastAsia="zh-CN"/>
              </w:rPr>
              <w:t>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CA218C0">
            <w:pPr>
              <w:spacing w:line="360" w:lineRule="auto"/>
              <w:jc w:val="center"/>
              <w:rPr>
                <w:rFonts w:ascii="宋体" w:hAnsi="宋体" w:cs="宋体"/>
                <w:color w:val="000000"/>
                <w:sz w:val="24"/>
                <w:szCs w:val="24"/>
              </w:rPr>
            </w:pPr>
            <w:r>
              <w:rPr>
                <w:rFonts w:hint="eastAsia" w:ascii="宋体" w:hAnsi="宋体" w:eastAsia="宋体" w:cs="宋体"/>
                <w:color w:val="000000"/>
                <w:sz w:val="24"/>
                <w:szCs w:val="24"/>
                <w:lang w:eastAsia="zh-CN"/>
              </w:rPr>
              <w:t>投标文件编制及递交要求</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83E645D">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1、</w:t>
            </w:r>
            <w:r>
              <w:rPr>
                <w:rFonts w:hint="eastAsia" w:ascii="宋体" w:hAnsi="宋体" w:eastAsia="宋体" w:cs="宋体"/>
                <w:color w:val="000000"/>
                <w:sz w:val="24"/>
                <w:szCs w:val="24"/>
                <w:lang w:val="en-US" w:eastAsia="zh-CN"/>
              </w:rPr>
              <w:t xml:space="preserve">本项目采用电子化招投标的形式。 </w:t>
            </w:r>
          </w:p>
          <w:p w14:paraId="5220952A">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编制电子响应文件时，应使用最新发布的电子</w:t>
            </w:r>
            <w:r>
              <w:rPr>
                <w:rFonts w:hint="eastAsia" w:ascii="宋体" w:hAnsi="宋体" w:cs="宋体"/>
                <w:color w:val="000000"/>
                <w:sz w:val="24"/>
                <w:szCs w:val="24"/>
                <w:lang w:val="en-US" w:eastAsia="zh-CN"/>
              </w:rPr>
              <w:t>招标</w:t>
            </w:r>
            <w:r>
              <w:rPr>
                <w:rFonts w:hint="eastAsia" w:ascii="宋体" w:hAnsi="宋体" w:eastAsia="宋体" w:cs="宋体"/>
                <w:color w:val="000000"/>
                <w:sz w:val="24"/>
                <w:szCs w:val="24"/>
                <w:lang w:val="en-US" w:eastAsia="zh-CN"/>
              </w:rPr>
              <w:t>文件及专用制作工具进行编制。并使用数字认证证书（CA 锁）对电子</w:t>
            </w:r>
            <w:r>
              <w:rPr>
                <w:rFonts w:hint="eastAsia" w:ascii="宋体" w:hAnsi="宋体" w:cs="宋体"/>
                <w:color w:val="000000"/>
                <w:sz w:val="24"/>
                <w:szCs w:val="24"/>
                <w:lang w:val="en-US" w:eastAsia="zh-CN"/>
              </w:rPr>
              <w:t>投标</w:t>
            </w:r>
            <w:r>
              <w:rPr>
                <w:rFonts w:hint="eastAsia" w:ascii="宋体" w:hAnsi="宋体" w:eastAsia="宋体" w:cs="宋体"/>
                <w:color w:val="000000"/>
                <w:sz w:val="24"/>
                <w:szCs w:val="24"/>
                <w:lang w:val="en-US" w:eastAsia="zh-CN"/>
              </w:rPr>
              <w:t xml:space="preserve">文件进行签署、加密、递交、解密等相关操作。 </w:t>
            </w:r>
          </w:p>
          <w:p w14:paraId="327EC5AB">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606BE2F9">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注意：该项目如有变更文件，则应点击“项目流程&gt;答疑文件下载” 下载更新后的电子招标文件（*.SXSCF），使用旧版电子招标文件制作的电子投标文件，系统将拒绝接收。 </w:t>
            </w:r>
          </w:p>
          <w:p w14:paraId="3D403CE6">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74D259C7">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③制作电子响应文件。电子响应文件同样需要使用上述软件进行编制。在编制过程中，如有技术性问题，请先翻阅操作手册，或致电软件开发商。 </w:t>
            </w:r>
          </w:p>
          <w:p w14:paraId="08A8C87D">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技术支持热线：051258188039</w:t>
            </w:r>
          </w:p>
          <w:p w14:paraId="49AF885A">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电子投标文件上传递交至延安市公共资源交易中心网电子招标投标系统；</w:t>
            </w:r>
          </w:p>
          <w:p w14:paraId="1E6075E2">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纸质投标文件递交要求：正本壹份，副本</w:t>
            </w:r>
            <w:r>
              <w:rPr>
                <w:rFonts w:hint="eastAsia" w:ascii="宋体" w:hAnsi="宋体" w:eastAsia="宋体" w:cs="宋体"/>
                <w:color w:val="000000"/>
                <w:sz w:val="24"/>
                <w:szCs w:val="24"/>
                <w:lang w:val="en-US" w:eastAsia="zh-CN"/>
              </w:rPr>
              <w:t>贰</w:t>
            </w:r>
            <w:r>
              <w:rPr>
                <w:rFonts w:hint="eastAsia" w:ascii="宋体" w:hAnsi="宋体" w:eastAsia="宋体" w:cs="宋体"/>
                <w:color w:val="000000"/>
                <w:sz w:val="24"/>
                <w:szCs w:val="24"/>
                <w:lang w:eastAsia="zh-CN"/>
              </w:rPr>
              <w:t>份（</w:t>
            </w:r>
            <w:r>
              <w:rPr>
                <w:rFonts w:hint="eastAsia" w:ascii="宋体" w:hAnsi="宋体" w:eastAsia="宋体" w:cs="宋体"/>
                <w:color w:val="000000"/>
                <w:sz w:val="24"/>
                <w:szCs w:val="24"/>
                <w:lang w:val="en-US" w:eastAsia="zh-CN"/>
              </w:rPr>
              <w:t>副本可采用正本复印件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w:t>
            </w:r>
          </w:p>
          <w:p w14:paraId="68D715E0">
            <w:pPr>
              <w:spacing w:line="360" w:lineRule="auto"/>
              <w:ind w:firstLine="482" w:firstLineChars="200"/>
              <w:rPr>
                <w:rFonts w:hint="eastAsia" w:ascii="宋体" w:hAnsi="宋体" w:cs="宋体"/>
                <w:color w:val="000000"/>
                <w:sz w:val="24"/>
                <w:szCs w:val="24"/>
                <w:lang w:eastAsia="zh-CN"/>
              </w:rPr>
            </w:pPr>
            <w:r>
              <w:rPr>
                <w:rFonts w:hint="eastAsia" w:ascii="宋体" w:hAnsi="宋体" w:eastAsia="宋体" w:cs="宋体"/>
                <w:b/>
                <w:bCs/>
                <w:color w:val="000000"/>
                <w:sz w:val="24"/>
                <w:szCs w:val="24"/>
                <w:lang w:val="en-US" w:eastAsia="zh-CN"/>
              </w:rPr>
              <w:t>注：本项目纸质投标文件须留档保存，接受邮寄（纸质投标文件须与电子投标文件保持一致），开标结束后三日内邮寄到：延安市新区盛世花园北区12号楼一单元802室，电话：0911-8688810。</w:t>
            </w:r>
          </w:p>
        </w:tc>
      </w:tr>
      <w:tr w14:paraId="628E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CC01699">
            <w:pPr>
              <w:spacing w:line="360" w:lineRule="auto"/>
              <w:jc w:val="center"/>
              <w:rPr>
                <w:rFonts w:ascii="宋体" w:hAnsi="宋体" w:cs="宋体"/>
                <w:color w:val="000000"/>
                <w:sz w:val="24"/>
                <w:szCs w:val="24"/>
              </w:rPr>
            </w:pPr>
            <w:r>
              <w:rPr>
                <w:rFonts w:hint="eastAsia" w:ascii="宋体" w:hAnsi="宋体" w:cs="宋体"/>
                <w:color w:val="000000"/>
                <w:sz w:val="24"/>
                <w:szCs w:val="24"/>
                <w:lang w:val="en-US" w:eastAsia="zh-CN"/>
              </w:rPr>
              <w:t>4</w:t>
            </w:r>
            <w:r>
              <w:rPr>
                <w:rFonts w:ascii="宋体" w:hAnsi="宋体" w:cs="宋体"/>
                <w:color w:val="000000"/>
                <w:sz w:val="24"/>
                <w:szCs w:val="24"/>
              </w:rPr>
              <w:t>.1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EF9C13B">
            <w:pPr>
              <w:spacing w:line="360" w:lineRule="auto"/>
              <w:jc w:val="center"/>
              <w:rPr>
                <w:rFonts w:ascii="宋体" w:hAnsi="宋体" w:cs="宋体"/>
                <w:color w:val="000000"/>
                <w:sz w:val="24"/>
                <w:szCs w:val="24"/>
              </w:rPr>
            </w:pPr>
            <w:r>
              <w:rPr>
                <w:rFonts w:ascii="宋体" w:hAnsi="宋体" w:cs="宋体"/>
                <w:color w:val="000000"/>
                <w:sz w:val="24"/>
                <w:szCs w:val="24"/>
              </w:rPr>
              <w:t>磋商时间和地点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C8F766B">
            <w:pPr>
              <w:spacing w:line="360" w:lineRule="auto"/>
              <w:rPr>
                <w:rFonts w:hint="eastAsia" w:ascii="宋体" w:hAnsi="宋体" w:cs="宋体"/>
                <w:color w:val="000000"/>
                <w:sz w:val="24"/>
                <w:szCs w:val="24"/>
              </w:rPr>
            </w:pPr>
            <w:r>
              <w:rPr>
                <w:rFonts w:ascii="宋体" w:hAnsi="宋体" w:cs="宋体"/>
                <w:color w:val="000000"/>
                <w:sz w:val="24"/>
                <w:szCs w:val="24"/>
              </w:rPr>
              <w:t>磋商时间：</w:t>
            </w:r>
            <w:r>
              <w:rPr>
                <w:rFonts w:hint="eastAsia" w:ascii="宋体" w:hAnsi="宋体" w:cs="宋体"/>
                <w:color w:val="000000"/>
                <w:sz w:val="24"/>
                <w:szCs w:val="24"/>
              </w:rPr>
              <w:t>202</w:t>
            </w:r>
            <w:r>
              <w:rPr>
                <w:rFonts w:hint="eastAsia" w:ascii="宋体" w:hAnsi="宋体" w:cs="宋体"/>
                <w:color w:val="000000"/>
                <w:sz w:val="24"/>
                <w:szCs w:val="24"/>
                <w:lang w:val="en-US" w:eastAsia="zh-CN"/>
              </w:rPr>
              <w:t>6</w:t>
            </w:r>
            <w:r>
              <w:rPr>
                <w:rFonts w:hint="eastAsia" w:ascii="宋体" w:hAnsi="宋体" w:cs="宋体"/>
                <w:color w:val="000000"/>
                <w:sz w:val="24"/>
                <w:szCs w:val="24"/>
              </w:rPr>
              <w:t>年</w:t>
            </w:r>
            <w:r>
              <w:rPr>
                <w:rFonts w:hint="eastAsia" w:ascii="宋体" w:hAnsi="宋体" w:cs="宋体"/>
                <w:color w:val="000000"/>
                <w:sz w:val="24"/>
                <w:szCs w:val="24"/>
                <w:lang w:val="en-US" w:eastAsia="zh-CN"/>
              </w:rPr>
              <w:t>8</w:t>
            </w:r>
            <w:r>
              <w:rPr>
                <w:rFonts w:hint="eastAsia" w:ascii="宋体" w:hAnsi="宋体" w:cs="宋体"/>
                <w:color w:val="000000"/>
                <w:sz w:val="24"/>
                <w:szCs w:val="24"/>
              </w:rPr>
              <w:t>月</w:t>
            </w:r>
            <w:r>
              <w:rPr>
                <w:rFonts w:hint="eastAsia" w:ascii="宋体" w:hAnsi="宋体" w:cs="宋体"/>
                <w:color w:val="000000"/>
                <w:sz w:val="24"/>
                <w:szCs w:val="24"/>
                <w:lang w:val="en-US" w:eastAsia="zh-CN"/>
              </w:rPr>
              <w:t>4</w:t>
            </w:r>
            <w:r>
              <w:rPr>
                <w:rFonts w:hint="eastAsia" w:ascii="宋体" w:hAnsi="宋体" w:cs="宋体"/>
                <w:color w:val="000000"/>
                <w:sz w:val="24"/>
                <w:szCs w:val="24"/>
              </w:rPr>
              <w:t>日</w:t>
            </w:r>
            <w:r>
              <w:rPr>
                <w:rFonts w:hint="eastAsia" w:ascii="宋体" w:hAnsi="宋体" w:cs="宋体"/>
                <w:color w:val="000000"/>
                <w:sz w:val="24"/>
                <w:szCs w:val="24"/>
                <w:lang w:val="en-US" w:eastAsia="zh-CN"/>
              </w:rPr>
              <w:t>15</w:t>
            </w:r>
            <w:r>
              <w:rPr>
                <w:rFonts w:hint="eastAsia" w:ascii="宋体" w:hAnsi="宋体" w:cs="宋体"/>
                <w:color w:val="000000"/>
                <w:sz w:val="24"/>
                <w:szCs w:val="24"/>
              </w:rPr>
              <w:t>时</w:t>
            </w:r>
            <w:r>
              <w:rPr>
                <w:rFonts w:hint="eastAsia" w:ascii="宋体" w:hAnsi="宋体" w:cs="宋体"/>
                <w:color w:val="000000"/>
                <w:sz w:val="24"/>
                <w:szCs w:val="24"/>
                <w:lang w:val="en-US" w:eastAsia="zh-CN"/>
              </w:rPr>
              <w:t>30</w:t>
            </w:r>
            <w:r>
              <w:rPr>
                <w:rFonts w:hint="eastAsia" w:ascii="宋体" w:hAnsi="宋体" w:cs="宋体"/>
                <w:color w:val="000000"/>
                <w:sz w:val="24"/>
                <w:szCs w:val="24"/>
              </w:rPr>
              <w:t>分</w:t>
            </w:r>
            <w:r>
              <w:rPr>
                <w:rFonts w:hint="eastAsia" w:ascii="宋体" w:hAnsi="宋体" w:cs="宋体"/>
                <w:color w:val="000000"/>
                <w:sz w:val="24"/>
                <w:szCs w:val="24"/>
                <w:lang w:val="en-US" w:eastAsia="zh-CN"/>
              </w:rPr>
              <w:t>00</w:t>
            </w:r>
            <w:r>
              <w:rPr>
                <w:rFonts w:hint="eastAsia" w:ascii="宋体" w:hAnsi="宋体" w:cs="宋体"/>
                <w:color w:val="000000"/>
                <w:sz w:val="24"/>
                <w:szCs w:val="24"/>
              </w:rPr>
              <w:t>秒（北京时间）</w:t>
            </w:r>
          </w:p>
          <w:p w14:paraId="29AB0B3A">
            <w:pPr>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磋商地点：</w:t>
            </w:r>
            <w:r>
              <w:rPr>
                <w:rFonts w:hint="eastAsia" w:ascii="宋体" w:hAnsi="宋体" w:cs="宋体"/>
                <w:color w:val="000000"/>
                <w:sz w:val="24"/>
                <w:szCs w:val="24"/>
              </w:rPr>
              <w:t>延安市公共资源交易中心</w:t>
            </w:r>
            <w:r>
              <w:rPr>
                <w:rFonts w:hint="eastAsia" w:ascii="宋体" w:hAnsi="宋体" w:cs="宋体"/>
                <w:color w:val="000000"/>
                <w:sz w:val="24"/>
                <w:szCs w:val="24"/>
                <w:lang w:val="en-US" w:eastAsia="zh-CN"/>
              </w:rPr>
              <w:t>开标7室</w:t>
            </w:r>
          </w:p>
        </w:tc>
      </w:tr>
      <w:tr w14:paraId="6B8EC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73BCB6B">
            <w:pPr>
              <w:spacing w:line="360" w:lineRule="auto"/>
              <w:jc w:val="center"/>
              <w:rPr>
                <w:rFonts w:ascii="宋体" w:hAnsi="宋体" w:cs="宋体"/>
                <w:color w:val="000000"/>
                <w:sz w:val="24"/>
                <w:szCs w:val="24"/>
              </w:rPr>
            </w:pPr>
            <w:r>
              <w:rPr>
                <w:rFonts w:hint="eastAsia" w:ascii="宋体" w:hAnsi="宋体" w:cs="宋体"/>
                <w:color w:val="000000"/>
                <w:sz w:val="24"/>
                <w:szCs w:val="24"/>
                <w:lang w:val="en-US" w:eastAsia="zh-CN"/>
              </w:rPr>
              <w:t>5</w:t>
            </w:r>
            <w:r>
              <w:rPr>
                <w:rFonts w:ascii="宋体" w:hAnsi="宋体" w:cs="宋体"/>
                <w:color w:val="000000"/>
                <w:sz w:val="24"/>
                <w:szCs w:val="24"/>
              </w:rPr>
              <w:t>.1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EAFA747">
            <w:pPr>
              <w:autoSpaceDE w:val="0"/>
              <w:autoSpaceDN w:val="0"/>
              <w:adjustRightInd w:val="0"/>
              <w:spacing w:line="360" w:lineRule="auto"/>
              <w:jc w:val="center"/>
              <w:rPr>
                <w:rFonts w:ascii="宋体" w:hAnsi="宋体" w:cs="宋体"/>
                <w:color w:val="000000"/>
                <w:kern w:val="0"/>
                <w:sz w:val="24"/>
                <w:szCs w:val="24"/>
              </w:rPr>
            </w:pPr>
            <w:r>
              <w:rPr>
                <w:rFonts w:ascii="宋体" w:hAnsi="宋体" w:cs="宋体"/>
                <w:color w:val="000000"/>
                <w:kern w:val="0"/>
                <w:sz w:val="24"/>
                <w:szCs w:val="24"/>
              </w:rPr>
              <w:t>磋商小组的组建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1EE551A">
            <w:pPr>
              <w:autoSpaceDE w:val="0"/>
              <w:autoSpaceDN w:val="0"/>
              <w:adjustRightInd w:val="0"/>
              <w:spacing w:line="360" w:lineRule="auto"/>
              <w:rPr>
                <w:rFonts w:ascii="宋体" w:hAnsi="宋体" w:cs="宋体"/>
                <w:color w:val="000000"/>
                <w:kern w:val="0"/>
                <w:sz w:val="24"/>
                <w:szCs w:val="24"/>
              </w:rPr>
            </w:pPr>
            <w:r>
              <w:rPr>
                <w:rFonts w:ascii="宋体" w:hAnsi="宋体" w:cs="宋体"/>
                <w:color w:val="000000"/>
                <w:kern w:val="0"/>
                <w:sz w:val="24"/>
                <w:szCs w:val="24"/>
              </w:rPr>
              <w:t>磋商小组构成：3人；其中</w:t>
            </w:r>
            <w:r>
              <w:rPr>
                <w:rFonts w:hint="eastAsia" w:ascii="宋体" w:hAnsi="宋体" w:cs="宋体"/>
                <w:color w:val="000000"/>
                <w:kern w:val="0"/>
                <w:sz w:val="24"/>
                <w:szCs w:val="24"/>
                <w:lang w:val="en-US" w:eastAsia="zh-CN"/>
              </w:rPr>
              <w:t>采购人</w:t>
            </w:r>
            <w:r>
              <w:rPr>
                <w:rFonts w:ascii="宋体" w:hAnsi="宋体" w:cs="宋体"/>
                <w:color w:val="000000"/>
                <w:kern w:val="0"/>
                <w:sz w:val="24"/>
                <w:szCs w:val="24"/>
              </w:rPr>
              <w:t>代表1人；专家2人；</w:t>
            </w:r>
          </w:p>
          <w:p w14:paraId="31CDAE82">
            <w:pPr>
              <w:autoSpaceDE w:val="0"/>
              <w:autoSpaceDN w:val="0"/>
              <w:adjustRightInd w:val="0"/>
              <w:spacing w:line="360" w:lineRule="auto"/>
              <w:rPr>
                <w:rFonts w:ascii="宋体" w:hAnsi="宋体" w:cs="宋体"/>
                <w:color w:val="000000"/>
                <w:kern w:val="0"/>
                <w:sz w:val="24"/>
                <w:szCs w:val="24"/>
              </w:rPr>
            </w:pPr>
            <w:r>
              <w:rPr>
                <w:rFonts w:ascii="宋体" w:hAnsi="宋体" w:cs="宋体"/>
                <w:color w:val="000000"/>
                <w:kern w:val="0"/>
                <w:sz w:val="24"/>
                <w:szCs w:val="24"/>
              </w:rPr>
              <w:t>磋商小组专家确定方式：陕西</w:t>
            </w:r>
            <w:r>
              <w:rPr>
                <w:rFonts w:hint="eastAsia" w:ascii="宋体" w:hAnsi="宋体" w:cs="宋体"/>
                <w:color w:val="000000"/>
                <w:kern w:val="0"/>
                <w:sz w:val="24"/>
                <w:szCs w:val="24"/>
                <w:lang w:val="en-US" w:eastAsia="zh-CN"/>
              </w:rPr>
              <w:t>省</w:t>
            </w:r>
            <w:r>
              <w:rPr>
                <w:rFonts w:ascii="宋体" w:hAnsi="宋体" w:cs="宋体"/>
                <w:color w:val="000000"/>
                <w:kern w:val="0"/>
                <w:sz w:val="24"/>
                <w:szCs w:val="24"/>
              </w:rPr>
              <w:t>政府采购综合管理平台专家库随机抽取。</w:t>
            </w:r>
          </w:p>
        </w:tc>
      </w:tr>
      <w:tr w14:paraId="43E8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2AD9561">
            <w:pPr>
              <w:spacing w:line="360" w:lineRule="auto"/>
              <w:jc w:val="center"/>
              <w:rPr>
                <w:rFonts w:ascii="宋体" w:hAnsi="宋体" w:cs="宋体"/>
                <w:color w:val="000000"/>
                <w:sz w:val="24"/>
                <w:szCs w:val="24"/>
              </w:rPr>
            </w:pPr>
            <w:r>
              <w:rPr>
                <w:rFonts w:hint="eastAsia" w:ascii="宋体" w:hAnsi="宋体" w:cs="宋体"/>
                <w:color w:val="000000"/>
                <w:sz w:val="24"/>
                <w:szCs w:val="24"/>
                <w:lang w:val="en-US" w:eastAsia="zh-CN"/>
              </w:rPr>
              <w:t>6</w:t>
            </w:r>
            <w:r>
              <w:rPr>
                <w:rFonts w:ascii="宋体" w:hAnsi="宋体" w:cs="宋体"/>
                <w:color w:val="000000"/>
                <w:sz w:val="24"/>
                <w:szCs w:val="24"/>
              </w:rPr>
              <w:t>.1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FF04A78">
            <w:pPr>
              <w:spacing w:line="360" w:lineRule="auto"/>
              <w:jc w:val="center"/>
              <w:rPr>
                <w:rFonts w:ascii="宋体" w:hAnsi="宋体" w:cs="宋体"/>
                <w:color w:val="000000"/>
                <w:sz w:val="24"/>
                <w:szCs w:val="24"/>
              </w:rPr>
            </w:pPr>
            <w:r>
              <w:rPr>
                <w:rFonts w:ascii="宋体" w:hAnsi="宋体" w:cs="宋体"/>
                <w:color w:val="000000"/>
                <w:sz w:val="24"/>
                <w:szCs w:val="24"/>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9D54BD1">
            <w:pPr>
              <w:spacing w:line="360" w:lineRule="auto"/>
              <w:rPr>
                <w:rFonts w:ascii="宋体" w:hAnsi="宋体" w:cs="宋体"/>
                <w:color w:val="000000"/>
                <w:sz w:val="24"/>
                <w:szCs w:val="24"/>
              </w:rPr>
            </w:pPr>
            <w:r>
              <w:rPr>
                <w:rFonts w:ascii="宋体" w:hAnsi="宋体" w:cs="宋体"/>
                <w:color w:val="000000"/>
                <w:sz w:val="24"/>
                <w:szCs w:val="24"/>
              </w:rPr>
              <w:t>否,推荐3名成交候选供应商</w:t>
            </w:r>
          </w:p>
        </w:tc>
      </w:tr>
      <w:tr w14:paraId="51FC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96B5E9F">
            <w:pPr>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6</w:t>
            </w:r>
            <w:r>
              <w:rPr>
                <w:rFonts w:ascii="宋体" w:hAnsi="宋体" w:cs="宋体"/>
                <w:color w:val="000000"/>
                <w:sz w:val="24"/>
                <w:szCs w:val="24"/>
              </w:rPr>
              <w:t>.</w:t>
            </w:r>
            <w:r>
              <w:rPr>
                <w:rFonts w:hint="eastAsia" w:ascii="宋体" w:hAnsi="宋体" w:cs="宋体"/>
                <w:color w:val="000000"/>
                <w:sz w:val="24"/>
                <w:szCs w:val="24"/>
                <w:lang w:val="en-US" w:eastAsia="zh-CN"/>
              </w:rPr>
              <w:t>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C920E75">
            <w:pPr>
              <w:spacing w:line="360" w:lineRule="auto"/>
              <w:jc w:val="center"/>
              <w:rPr>
                <w:rFonts w:ascii="宋体" w:hAnsi="宋体" w:cs="宋体"/>
                <w:color w:val="000000"/>
                <w:sz w:val="24"/>
                <w:szCs w:val="24"/>
              </w:rPr>
            </w:pPr>
            <w:r>
              <w:rPr>
                <w:rFonts w:ascii="宋体" w:hAnsi="宋体" w:cs="宋体"/>
                <w:color w:val="000000"/>
                <w:sz w:val="24"/>
                <w:szCs w:val="24"/>
              </w:rPr>
              <w:t>履约担保</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9DD0E38">
            <w:pPr>
              <w:spacing w:line="360" w:lineRule="auto"/>
              <w:rPr>
                <w:rFonts w:ascii="宋体" w:hAnsi="宋体" w:cs="宋体"/>
                <w:color w:val="000000"/>
                <w:sz w:val="24"/>
                <w:szCs w:val="24"/>
              </w:rPr>
            </w:pPr>
            <w:r>
              <w:rPr>
                <w:rFonts w:ascii="宋体" w:hAnsi="宋体" w:cs="宋体"/>
                <w:color w:val="000000"/>
                <w:sz w:val="24"/>
                <w:szCs w:val="24"/>
              </w:rPr>
              <w:t>无</w:t>
            </w:r>
          </w:p>
        </w:tc>
      </w:tr>
      <w:tr w14:paraId="1835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622D8D3C">
            <w:pPr>
              <w:spacing w:line="360" w:lineRule="auto"/>
              <w:jc w:val="center"/>
              <w:rPr>
                <w:rFonts w:hint="eastAsia" w:ascii="宋体" w:hAnsi="宋体" w:eastAsia="宋体" w:cs="宋体"/>
                <w:color w:val="FF0000"/>
                <w:sz w:val="24"/>
                <w:szCs w:val="24"/>
                <w:lang w:val="en-US" w:eastAsia="zh-CN"/>
              </w:rPr>
            </w:pPr>
            <w:r>
              <w:rPr>
                <w:rFonts w:hint="eastAsia" w:ascii="宋体" w:hAnsi="宋体" w:cs="宋体"/>
                <w:color w:val="000000"/>
                <w:sz w:val="24"/>
                <w:szCs w:val="24"/>
                <w:lang w:val="en-US" w:eastAsia="zh-CN"/>
              </w:rPr>
              <w:t>7</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7E7253B">
            <w:pPr>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专门面向</w:t>
            </w:r>
            <w:r>
              <w:rPr>
                <w:rFonts w:hint="eastAsia" w:ascii="宋体" w:hAnsi="宋体" w:eastAsia="宋体" w:cs="宋体"/>
                <w:color w:val="000000"/>
                <w:sz w:val="24"/>
                <w:szCs w:val="24"/>
                <w:lang w:val="en-US" w:eastAsia="zh-CN"/>
              </w:rPr>
              <w:t>中小</w:t>
            </w:r>
            <w:r>
              <w:rPr>
                <w:rFonts w:hint="eastAsia" w:ascii="宋体" w:hAnsi="宋体" w:eastAsia="宋体" w:cs="宋体"/>
                <w:color w:val="000000"/>
                <w:sz w:val="24"/>
                <w:szCs w:val="24"/>
                <w:lang w:eastAsia="zh-CN"/>
              </w:rPr>
              <w:t>企业采购</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E51BA24">
            <w:pPr>
              <w:spacing w:line="360" w:lineRule="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是☑</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否</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w:t>
            </w:r>
          </w:p>
        </w:tc>
      </w:tr>
      <w:tr w14:paraId="3194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201E9AA">
            <w:pPr>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8</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4E25F8C">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采购标的所属行业</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C03097A">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其他未列明行业</w:t>
            </w:r>
          </w:p>
        </w:tc>
      </w:tr>
      <w:tr w14:paraId="717C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4A57E91">
            <w:pPr>
              <w:spacing w:line="360" w:lineRule="auto"/>
              <w:jc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9</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7FEED5E">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转包、分包</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75AA164">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成交供应商不得将本项目转包，但经采购人同意，可以分包，但不能分包给大型企业。</w:t>
            </w:r>
          </w:p>
        </w:tc>
      </w:tr>
      <w:tr w14:paraId="74A7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96D1FF3">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c>
          <w:tcPr>
            <w:tcW w:w="9285" w:type="dxa"/>
            <w:gridSpan w:val="2"/>
            <w:tcBorders>
              <w:top w:val="single" w:color="auto" w:sz="4" w:space="0"/>
              <w:left w:val="single" w:color="auto" w:sz="4" w:space="0"/>
              <w:bottom w:val="single" w:color="auto" w:sz="4" w:space="0"/>
              <w:right w:val="single" w:color="auto" w:sz="4" w:space="0"/>
            </w:tcBorders>
            <w:noWrap w:val="0"/>
            <w:vAlign w:val="center"/>
          </w:tcPr>
          <w:p w14:paraId="3783A8E0">
            <w:pPr>
              <w:spacing w:line="360" w:lineRule="auto"/>
              <w:jc w:val="left"/>
              <w:rPr>
                <w:rFonts w:ascii="宋体" w:hAnsi="宋体" w:cs="宋体"/>
                <w:color w:val="000000"/>
                <w:sz w:val="24"/>
                <w:szCs w:val="24"/>
              </w:rPr>
            </w:pPr>
            <w:r>
              <w:rPr>
                <w:rFonts w:ascii="宋体" w:hAnsi="宋体" w:cs="宋体"/>
                <w:color w:val="000000"/>
                <w:sz w:val="24"/>
                <w:szCs w:val="24"/>
              </w:rPr>
              <w:t>需要补充的其他内容</w:t>
            </w:r>
          </w:p>
        </w:tc>
      </w:tr>
      <w:tr w14:paraId="060D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21" w:type="dxa"/>
            <w:gridSpan w:val="3"/>
            <w:tcBorders>
              <w:top w:val="single" w:color="auto" w:sz="4" w:space="0"/>
              <w:left w:val="single" w:color="auto" w:sz="4" w:space="0"/>
              <w:bottom w:val="single" w:color="auto" w:sz="4" w:space="0"/>
              <w:right w:val="single" w:color="auto" w:sz="4" w:space="0"/>
            </w:tcBorders>
            <w:noWrap w:val="0"/>
            <w:vAlign w:val="center"/>
          </w:tcPr>
          <w:p w14:paraId="0A2CF7DC">
            <w:pPr>
              <w:spacing w:line="360" w:lineRule="auto"/>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代理服务费收费标准：</w:t>
            </w:r>
            <w:r>
              <w:rPr>
                <w:rFonts w:hint="eastAsia" w:ascii="宋体" w:hAnsi="宋体" w:eastAsia="宋体" w:cs="宋体"/>
                <w:color w:val="000000"/>
                <w:sz w:val="24"/>
                <w:szCs w:val="24"/>
              </w:rPr>
              <w:t>采购代理机构参照国家计委关于印发《招标代理服务收费管理暂行办法》计价格[2002]1980号文和</w:t>
            </w:r>
            <w:r>
              <w:rPr>
                <w:rFonts w:hint="eastAsia" w:ascii="宋体" w:hAnsi="宋体" w:eastAsia="宋体" w:cs="宋体"/>
                <w:color w:val="000000"/>
                <w:sz w:val="24"/>
                <w:szCs w:val="24"/>
                <w:lang w:eastAsia="zh-CN"/>
              </w:rPr>
              <w:t>《</w:t>
            </w:r>
            <w:r>
              <w:rPr>
                <w:rFonts w:hint="eastAsia" w:ascii="宋体" w:hAnsi="宋体" w:eastAsia="宋体" w:cs="宋体"/>
                <w:color w:val="auto"/>
                <w:sz w:val="24"/>
                <w:szCs w:val="24"/>
              </w:rPr>
              <w:t>国家发展改革委关于降低部分建设项目收费标准规范收费行为等有关问题的通知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发改价格[2011]534号</w:t>
            </w:r>
            <w:r>
              <w:rPr>
                <w:rFonts w:hint="eastAsia" w:ascii="宋体" w:hAnsi="宋体" w:eastAsia="宋体" w:cs="宋体"/>
                <w:color w:val="auto"/>
                <w:sz w:val="24"/>
                <w:szCs w:val="24"/>
                <w:lang w:eastAsia="zh-CN"/>
              </w:rPr>
              <w:t>规</w:t>
            </w:r>
            <w:r>
              <w:rPr>
                <w:rFonts w:hint="eastAsia" w:ascii="宋体" w:hAnsi="宋体" w:eastAsia="宋体" w:cs="宋体"/>
                <w:color w:val="auto"/>
                <w:sz w:val="24"/>
                <w:szCs w:val="24"/>
              </w:rPr>
              <w:t>定标准</w:t>
            </w:r>
            <w:r>
              <w:rPr>
                <w:rFonts w:hint="eastAsia" w:ascii="宋体" w:hAnsi="宋体" w:eastAsia="宋体" w:cs="宋体"/>
                <w:color w:val="auto"/>
                <w:sz w:val="24"/>
                <w:szCs w:val="24"/>
                <w:lang w:val="en-US" w:eastAsia="zh-CN"/>
              </w:rPr>
              <w:t>向成交供应商</w:t>
            </w:r>
            <w:r>
              <w:rPr>
                <w:rFonts w:hint="eastAsia" w:ascii="宋体" w:hAnsi="宋体" w:eastAsia="宋体" w:cs="宋体"/>
                <w:color w:val="auto"/>
                <w:sz w:val="24"/>
                <w:szCs w:val="24"/>
              </w:rPr>
              <w:t>收取代理服务费</w:t>
            </w:r>
            <w:r>
              <w:rPr>
                <w:rFonts w:hint="eastAsia" w:ascii="宋体" w:hAnsi="宋体" w:eastAsia="宋体" w:cs="宋体"/>
                <w:color w:val="auto"/>
                <w:sz w:val="24"/>
                <w:szCs w:val="24"/>
                <w:lang w:eastAsia="zh-CN"/>
              </w:rPr>
              <w:t>。</w:t>
            </w:r>
          </w:p>
          <w:p w14:paraId="2EF440E4">
            <w:pPr>
              <w:spacing w:line="360"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eastAsia="zh-CN"/>
              </w:rPr>
              <w:t>代理服务费</w:t>
            </w:r>
            <w:r>
              <w:rPr>
                <w:rFonts w:hint="eastAsia" w:ascii="宋体" w:hAnsi="宋体" w:eastAsia="宋体" w:cs="宋体"/>
                <w:b/>
                <w:bCs/>
                <w:sz w:val="22"/>
                <w:szCs w:val="22"/>
                <w:lang w:val="en-US" w:eastAsia="zh-CN"/>
              </w:rPr>
              <w:t>缴纳账户：</w:t>
            </w:r>
          </w:p>
          <w:p w14:paraId="5835094E">
            <w:pPr>
              <w:spacing w:line="360"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开户单位：陕西宸永项目管理有限公司</w:t>
            </w:r>
          </w:p>
          <w:p w14:paraId="133FCE64">
            <w:pPr>
              <w:spacing w:line="360"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开户行名称：中国建设银行股份有限公司延安马家湾支行</w:t>
            </w:r>
          </w:p>
          <w:p w14:paraId="3A8C6322">
            <w:pPr>
              <w:spacing w:line="360" w:lineRule="auto"/>
              <w:ind w:firstLine="442" w:firstLineChars="200"/>
              <w:jc w:val="left"/>
              <w:rPr>
                <w:rFonts w:hint="eastAsia" w:ascii="宋体" w:hAnsi="宋体" w:eastAsia="宋体" w:cs="宋体"/>
                <w:color w:val="auto"/>
                <w:sz w:val="24"/>
                <w:szCs w:val="24"/>
                <w:lang w:eastAsia="zh-CN"/>
              </w:rPr>
            </w:pPr>
            <w:r>
              <w:rPr>
                <w:rFonts w:hint="eastAsia" w:ascii="宋体" w:hAnsi="宋体" w:eastAsia="宋体" w:cs="宋体"/>
                <w:b/>
                <w:bCs/>
                <w:sz w:val="22"/>
                <w:szCs w:val="22"/>
                <w:lang w:val="en-US" w:eastAsia="zh-CN"/>
              </w:rPr>
              <w:t>账      号：61050168980000000758</w:t>
            </w:r>
          </w:p>
        </w:tc>
      </w:tr>
      <w:tr w14:paraId="1837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21" w:type="dxa"/>
            <w:gridSpan w:val="3"/>
            <w:tcBorders>
              <w:top w:val="single" w:color="auto" w:sz="4" w:space="0"/>
              <w:left w:val="single" w:color="auto" w:sz="4" w:space="0"/>
              <w:bottom w:val="single" w:color="auto" w:sz="4" w:space="0"/>
              <w:right w:val="single" w:color="auto" w:sz="4" w:space="0"/>
            </w:tcBorders>
            <w:noWrap w:val="0"/>
            <w:vAlign w:val="center"/>
          </w:tcPr>
          <w:p w14:paraId="6739E6D8">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r w14:paraId="0703F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21" w:type="dxa"/>
            <w:gridSpan w:val="3"/>
            <w:tcBorders>
              <w:top w:val="single" w:color="auto" w:sz="4" w:space="0"/>
              <w:left w:val="single" w:color="auto" w:sz="4" w:space="0"/>
              <w:bottom w:val="single" w:color="auto" w:sz="4" w:space="0"/>
              <w:right w:val="single" w:color="auto" w:sz="4" w:space="0"/>
            </w:tcBorders>
            <w:noWrap w:val="0"/>
            <w:vAlign w:val="center"/>
          </w:tcPr>
          <w:p w14:paraId="1EBC8E70">
            <w:pPr>
              <w:spacing w:line="360" w:lineRule="auto"/>
              <w:jc w:val="center"/>
              <w:rPr>
                <w:rFonts w:ascii="宋体" w:hAnsi="宋体" w:cs="宋体"/>
                <w:b/>
                <w:bCs/>
                <w:sz w:val="24"/>
                <w:szCs w:val="24"/>
              </w:rPr>
            </w:pPr>
            <w:r>
              <w:rPr>
                <w:rFonts w:ascii="宋体" w:hAnsi="宋体" w:cs="宋体"/>
                <w:b/>
                <w:bCs/>
                <w:sz w:val="24"/>
                <w:szCs w:val="24"/>
              </w:rPr>
              <w:t>磋商文件的最终解释权归采购代理机构所有</w:t>
            </w:r>
          </w:p>
        </w:tc>
      </w:tr>
    </w:tbl>
    <w:p w14:paraId="78E77DA9">
      <w:pPr>
        <w:spacing w:line="360" w:lineRule="auto"/>
        <w:jc w:val="left"/>
        <w:rPr>
          <w:rFonts w:ascii="宋体" w:hAnsi="宋体" w:cs="宋体"/>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34A0C2AA">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bookmarkStart w:id="13" w:name="_Toc420591643"/>
      <w:bookmarkStart w:id="14" w:name="_Toc425240464"/>
      <w:bookmarkStart w:id="15" w:name="_Toc9900"/>
      <w:bookmarkStart w:id="16" w:name="_Toc421778365"/>
      <w:bookmarkStart w:id="17" w:name="_Toc5025"/>
      <w:bookmarkStart w:id="18" w:name="_Toc4941"/>
      <w:r>
        <w:rPr>
          <w:rFonts w:ascii="宋体" w:hAnsi="宋体" w:cs="宋体"/>
          <w:b/>
          <w:color w:val="000000"/>
          <w:sz w:val="28"/>
          <w:szCs w:val="28"/>
        </w:rPr>
        <w:t>1．总则</w:t>
      </w:r>
      <w:bookmarkEnd w:id="13"/>
      <w:bookmarkEnd w:id="14"/>
      <w:bookmarkEnd w:id="15"/>
      <w:bookmarkEnd w:id="16"/>
      <w:bookmarkEnd w:id="17"/>
      <w:bookmarkEnd w:id="18"/>
    </w:p>
    <w:p w14:paraId="1C0A209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1.1 项目概况</w:t>
      </w:r>
    </w:p>
    <w:p w14:paraId="17A3101C">
      <w:pPr>
        <w:pStyle w:val="15"/>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1.1.1 根据《中华人民共和国政府采购法》、《中华人民共和国政府采购法实施条例》等有关法律、法规和规章的规定，本采购项目己具备磋商条件，现对本采购项目进行竞争性磋商。</w:t>
      </w:r>
    </w:p>
    <w:p w14:paraId="1425DD3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1.1.2 本项目采购人：见供应商须知前附表。</w:t>
      </w:r>
    </w:p>
    <w:p w14:paraId="1BDE5DD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1.1.3 本项目采购代理机构：见供应商须知前附表。</w:t>
      </w:r>
    </w:p>
    <w:p w14:paraId="242926F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1.1.4本项目名称：见供应商须知前附表。</w:t>
      </w:r>
    </w:p>
    <w:p w14:paraId="14127D22">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1.2 资金来源</w:t>
      </w:r>
    </w:p>
    <w:p w14:paraId="571A75A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1.2.1 本项目的资金来源：见供应商须知前附表。</w:t>
      </w:r>
    </w:p>
    <w:p w14:paraId="3811FD4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color w:val="000000"/>
          <w:sz w:val="28"/>
          <w:szCs w:val="28"/>
        </w:rPr>
        <w:t>1.2.2 本磋商项目的出资比例：见供应商须知前附表。</w:t>
      </w:r>
    </w:p>
    <w:p w14:paraId="4ACA5070">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sz w:val="28"/>
          <w:szCs w:val="28"/>
          <w:lang w:eastAsia="zh-CN"/>
        </w:rPr>
      </w:pPr>
      <w:r>
        <w:rPr>
          <w:rFonts w:ascii="宋体" w:hAnsi="宋体" w:cs="宋体"/>
          <w:b/>
          <w:sz w:val="28"/>
          <w:szCs w:val="28"/>
        </w:rPr>
        <w:t>1.3 磋商范围、</w:t>
      </w:r>
      <w:r>
        <w:rPr>
          <w:rFonts w:hint="eastAsia" w:ascii="宋体" w:hAnsi="宋体" w:cs="宋体"/>
          <w:b/>
          <w:sz w:val="28"/>
          <w:szCs w:val="28"/>
          <w:lang w:eastAsia="zh-CN"/>
        </w:rPr>
        <w:t>服务期</w:t>
      </w:r>
    </w:p>
    <w:p w14:paraId="497A638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sz w:val="28"/>
          <w:szCs w:val="28"/>
        </w:rPr>
        <w:t xml:space="preserve">1.3.1 本次磋商范围：见供应商须知前附表。 </w:t>
      </w:r>
    </w:p>
    <w:p w14:paraId="5DD8E8B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sz w:val="28"/>
          <w:szCs w:val="28"/>
        </w:rPr>
        <w:t>1.3.2 本项目的</w:t>
      </w:r>
      <w:r>
        <w:rPr>
          <w:rFonts w:hint="eastAsia" w:ascii="宋体" w:hAnsi="宋体" w:cs="宋体"/>
          <w:sz w:val="28"/>
          <w:szCs w:val="28"/>
          <w:lang w:eastAsia="zh-CN"/>
        </w:rPr>
        <w:t>服务期</w:t>
      </w:r>
      <w:r>
        <w:rPr>
          <w:rFonts w:ascii="宋体" w:hAnsi="宋体" w:cs="宋体"/>
          <w:sz w:val="28"/>
          <w:szCs w:val="28"/>
        </w:rPr>
        <w:t>：见供应商须知前附表。</w:t>
      </w:r>
    </w:p>
    <w:p w14:paraId="4223631C">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1.4 供应商资格要求</w:t>
      </w:r>
    </w:p>
    <w:p w14:paraId="6B3FAF9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1.4.1 供应商应具备承担本项目服务的资质条件、能力和信誉。供应商应是通过投标报名并购买磋商文件的单位。</w:t>
      </w:r>
    </w:p>
    <w:p w14:paraId="1A1F3B3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1.4.2 供应商须知前附表规定接受联合体磋商的，除应符合本章第1.4.1项和供应商须知前附表的要求外，还应遵守以下规定： </w:t>
      </w:r>
    </w:p>
    <w:p w14:paraId="499B9C8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（1）联合体各方应按竞争性磋商文件提供的格式签订联合体协议书，明确联合体牵头人和各方权利义务；</w:t>
      </w:r>
    </w:p>
    <w:p w14:paraId="1D94C44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（2）由同一专业的单位组成的联合体，按照资质等级较低的单位确定资质等级； </w:t>
      </w:r>
    </w:p>
    <w:p w14:paraId="2839D79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FF0000"/>
          <w:sz w:val="28"/>
          <w:szCs w:val="28"/>
        </w:rPr>
      </w:pPr>
      <w:r>
        <w:rPr>
          <w:rFonts w:ascii="宋体" w:hAnsi="宋体" w:cs="宋体"/>
          <w:color w:val="000000"/>
          <w:sz w:val="28"/>
          <w:szCs w:val="28"/>
        </w:rPr>
        <w:t>（3）联合体各方不得再以自己名义单独或参加其他联合体在同一标段中磋商。</w:t>
      </w:r>
    </w:p>
    <w:p w14:paraId="44452F0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1.4.3 供应商不得存在下列情形之一：</w:t>
      </w:r>
    </w:p>
    <w:p w14:paraId="4A378DD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（1）为采购人不具有独立法人资格的附属机构（单位）；</w:t>
      </w:r>
    </w:p>
    <w:p w14:paraId="79526C1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（2）为本磋商项目前期准备提供咨询服务的；</w:t>
      </w:r>
    </w:p>
    <w:p w14:paraId="7C06FE0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（3）为本磋商项目的监理人；</w:t>
      </w:r>
    </w:p>
    <w:p w14:paraId="1FE5E29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（4）为本磋商项目的代建人；</w:t>
      </w:r>
    </w:p>
    <w:p w14:paraId="322FCDC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（5）为本磋商项目提供采购代理服务的；</w:t>
      </w:r>
    </w:p>
    <w:p w14:paraId="121A80E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（6）与本磋商项目的监理人或代建人或采购代理机构同为一个法定代表人的；</w:t>
      </w:r>
    </w:p>
    <w:p w14:paraId="1D302E1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（7）与本磋商项目的监理人或代建人或采购代理机构相互控股或参股的；</w:t>
      </w:r>
    </w:p>
    <w:p w14:paraId="749182B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（8）与本磋商项目的监理人或代建人或采购代理机构相互任职或工作的；</w:t>
      </w:r>
    </w:p>
    <w:p w14:paraId="5F01D9F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（9）被责令停业的；</w:t>
      </w:r>
    </w:p>
    <w:p w14:paraId="38A7E87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（10）被暂停或取消磋商资格的；</w:t>
      </w:r>
    </w:p>
    <w:p w14:paraId="6287B9D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（11）财产被接管或冻结的；</w:t>
      </w:r>
    </w:p>
    <w:p w14:paraId="514641C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highlight w:val="none"/>
        </w:rPr>
      </w:pPr>
      <w:r>
        <w:rPr>
          <w:rFonts w:ascii="宋体" w:hAnsi="宋体" w:cs="宋体"/>
          <w:color w:val="000000"/>
          <w:sz w:val="28"/>
          <w:szCs w:val="28"/>
          <w:highlight w:val="none"/>
        </w:rPr>
        <w:t>（12）在最近三年内有骗取成交或严重违约或重大工程质量问题的。</w:t>
      </w:r>
    </w:p>
    <w:p w14:paraId="5632674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（13）与采购人存在利害关系可能影响采购公正性的法人、其他组织或者个人，不得参加磋商。</w:t>
      </w:r>
    </w:p>
    <w:p w14:paraId="65FB79A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（14）单位负责人为同一人或者存在控股、管理关系的不同单位，不得参加同一标段磋商或者未划分标段的同一采购项目磋商。</w:t>
      </w:r>
    </w:p>
    <w:p w14:paraId="7288A62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1.5 费用承担</w:t>
      </w:r>
    </w:p>
    <w:p w14:paraId="7144679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供应商准备和参加投标活动发生的费用自理。</w:t>
      </w:r>
    </w:p>
    <w:p w14:paraId="109D13F4">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1.6 保密</w:t>
      </w:r>
    </w:p>
    <w:p w14:paraId="5332B84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参与招标投标活动的各方应对磋商文件和磋商响应文件中的商业和技术等秘密保密，违者应对由此造成的后果承担法律责任。</w:t>
      </w:r>
    </w:p>
    <w:p w14:paraId="7E6BBF7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1.7 语言文字</w:t>
      </w:r>
    </w:p>
    <w:p w14:paraId="68E216F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除专用术语外，与采购投标有关的语言均使用中文。必要时专用术语应附有中文注释。</w:t>
      </w:r>
    </w:p>
    <w:p w14:paraId="72C734E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1.8 计量单位</w:t>
      </w:r>
    </w:p>
    <w:p w14:paraId="16E7860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所有计量均采用中华人民共和国法定计量单位。</w:t>
      </w:r>
    </w:p>
    <w:p w14:paraId="593F291A">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 9投标预备会：</w:t>
      </w:r>
    </w:p>
    <w:p w14:paraId="5A121E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19" w:name="_Toc343511447"/>
      <w:r>
        <w:rPr>
          <w:rFonts w:ascii="宋体" w:hAnsi="宋体" w:cs="宋体"/>
          <w:color w:val="000000"/>
          <w:sz w:val="28"/>
          <w:szCs w:val="28"/>
        </w:rPr>
        <w:t xml:space="preserve">1.9.1 </w:t>
      </w:r>
      <w:bookmarkEnd w:id="19"/>
      <w:r>
        <w:rPr>
          <w:rFonts w:ascii="宋体" w:hAnsi="宋体" w:cs="宋体"/>
          <w:color w:val="000000"/>
          <w:sz w:val="28"/>
          <w:szCs w:val="28"/>
        </w:rPr>
        <w:t>供应商须知前附表规定召开投标预备会的，采购人按供应商须知前附表规定的时间和地点召开投标预备会，澄清供应商提出的问题。</w:t>
      </w:r>
    </w:p>
    <w:p w14:paraId="7DD8A90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20" w:name="_Toc343511448"/>
      <w:r>
        <w:rPr>
          <w:rFonts w:ascii="宋体" w:hAnsi="宋体" w:cs="宋体"/>
          <w:color w:val="000000"/>
          <w:sz w:val="28"/>
          <w:szCs w:val="28"/>
        </w:rPr>
        <w:t xml:space="preserve">1.9.2 </w:t>
      </w:r>
      <w:bookmarkEnd w:id="20"/>
      <w:r>
        <w:rPr>
          <w:rFonts w:ascii="宋体" w:hAnsi="宋体" w:cs="宋体"/>
          <w:color w:val="000000"/>
          <w:sz w:val="28"/>
          <w:szCs w:val="28"/>
        </w:rPr>
        <w:t>供应商应在供应商须知前附表规定的时间前，以书面形式将提出的问题送达采购人，以便采购人在会议期间澄清。</w:t>
      </w:r>
    </w:p>
    <w:p w14:paraId="420BEB2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21" w:name="_Toc343511449"/>
      <w:r>
        <w:rPr>
          <w:rFonts w:ascii="宋体" w:hAnsi="宋体" w:cs="宋体"/>
          <w:color w:val="000000"/>
          <w:sz w:val="28"/>
          <w:szCs w:val="28"/>
        </w:rPr>
        <w:t xml:space="preserve">1.9.3 </w:t>
      </w:r>
      <w:bookmarkEnd w:id="21"/>
      <w:r>
        <w:rPr>
          <w:rFonts w:ascii="宋体" w:hAnsi="宋体" w:cs="宋体"/>
          <w:color w:val="000000"/>
          <w:sz w:val="28"/>
          <w:szCs w:val="28"/>
        </w:rPr>
        <w:t>投标预备会后，采购人在供应商须知前附表规定的时间内，将对供应商所提问题的澄清，以书面方式通知所有购买采购文件的供应商。该澄清内容为采购文件的组成部分。</w:t>
      </w:r>
    </w:p>
    <w:p w14:paraId="27D44D7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1.10 踏勘现场</w:t>
      </w:r>
    </w:p>
    <w:p w14:paraId="7295AAF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1.10.1 投标人须知前附表规定组织踏勘现场的，采购人按投标人须知前附表规定的时间、地点组织投标人踏勘项目现场。部分投标人未按时参加踏勘现场的，不影响踏勘现场的正常进行。</w:t>
      </w:r>
    </w:p>
    <w:p w14:paraId="1826B37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1.10.2 投标人踏勘现场发生的费用自理。</w:t>
      </w:r>
    </w:p>
    <w:p w14:paraId="598515E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1.10.3 除采购人的原因外，投标人自行负责在踏勘现场中所发生的人员伤亡和财产损失与采购人和代理机构无关。</w:t>
      </w:r>
    </w:p>
    <w:p w14:paraId="5936A25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color w:val="000000"/>
          <w:sz w:val="28"/>
          <w:szCs w:val="28"/>
        </w:rPr>
        <w:t>1.10.4 采购人在踏勘现场中介绍的项目场地和相关的周边环境情况，供投标人在编制响应文件时参考，采购人不对投标人据此作出的判断和决策负责。</w:t>
      </w:r>
    </w:p>
    <w:p w14:paraId="642C697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bookmarkStart w:id="22" w:name="_Toc25599"/>
      <w:bookmarkStart w:id="23" w:name="_Toc25528"/>
      <w:bookmarkStart w:id="24" w:name="_Toc24322"/>
      <w:bookmarkStart w:id="25" w:name="_Toc421778366"/>
      <w:bookmarkStart w:id="26" w:name="_Toc420591644"/>
      <w:bookmarkStart w:id="27" w:name="_Toc425240465"/>
      <w:r>
        <w:rPr>
          <w:rFonts w:ascii="宋体" w:hAnsi="宋体" w:cs="宋体"/>
          <w:b/>
          <w:color w:val="000000"/>
          <w:sz w:val="28"/>
          <w:szCs w:val="28"/>
        </w:rPr>
        <w:t>2．磋商文件</w:t>
      </w:r>
      <w:bookmarkEnd w:id="22"/>
      <w:bookmarkEnd w:id="23"/>
      <w:bookmarkEnd w:id="24"/>
      <w:bookmarkEnd w:id="25"/>
      <w:bookmarkEnd w:id="26"/>
      <w:bookmarkEnd w:id="27"/>
    </w:p>
    <w:p w14:paraId="57B06F4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2.1 磋商文件的组成</w:t>
      </w:r>
    </w:p>
    <w:p w14:paraId="07BEC0B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本磋商文件包括：</w:t>
      </w:r>
    </w:p>
    <w:p w14:paraId="7358B69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（1）竞争性磋商公告； </w:t>
      </w:r>
    </w:p>
    <w:p w14:paraId="0E1CA94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（2）供应商须知；</w:t>
      </w:r>
    </w:p>
    <w:p w14:paraId="1339945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（3）评标办法；</w:t>
      </w:r>
    </w:p>
    <w:p w14:paraId="61D3012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（4）合同（拟签订</w:t>
      </w:r>
      <w:r>
        <w:rPr>
          <w:rFonts w:hint="eastAsia" w:ascii="宋体" w:hAnsi="宋体" w:cs="宋体"/>
          <w:color w:val="000000"/>
          <w:sz w:val="28"/>
          <w:szCs w:val="28"/>
          <w:lang w:val="en-US" w:eastAsia="zh-CN"/>
        </w:rPr>
        <w:t>合同</w:t>
      </w:r>
      <w:r>
        <w:rPr>
          <w:rFonts w:ascii="宋体" w:hAnsi="宋体" w:cs="宋体"/>
          <w:color w:val="000000"/>
          <w:sz w:val="28"/>
          <w:szCs w:val="28"/>
        </w:rPr>
        <w:t>文本）；</w:t>
      </w:r>
    </w:p>
    <w:p w14:paraId="393AE43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（5）</w:t>
      </w:r>
      <w:r>
        <w:rPr>
          <w:rFonts w:hint="eastAsia" w:ascii="宋体" w:hAnsi="宋体" w:cs="宋体"/>
          <w:color w:val="000000"/>
          <w:sz w:val="28"/>
          <w:szCs w:val="28"/>
          <w:lang w:eastAsia="zh-CN"/>
        </w:rPr>
        <w:t>采购内容和技术要求</w:t>
      </w:r>
      <w:r>
        <w:rPr>
          <w:rFonts w:ascii="宋体" w:hAnsi="宋体" w:cs="宋体"/>
          <w:color w:val="000000"/>
          <w:sz w:val="28"/>
          <w:szCs w:val="28"/>
        </w:rPr>
        <w:t>；</w:t>
      </w:r>
    </w:p>
    <w:p w14:paraId="164E514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（6）磋商响应文件格式；</w:t>
      </w:r>
    </w:p>
    <w:p w14:paraId="60A3129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（7）供应商须知前附表规定的其他材料。</w:t>
      </w:r>
    </w:p>
    <w:p w14:paraId="3EE4007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根据本章第1.</w:t>
      </w:r>
      <w:r>
        <w:rPr>
          <w:rFonts w:hint="eastAsia" w:ascii="宋体" w:hAnsi="宋体" w:cs="宋体"/>
          <w:color w:val="000000"/>
          <w:sz w:val="28"/>
          <w:szCs w:val="28"/>
          <w:lang w:val="en-US" w:eastAsia="zh-CN"/>
        </w:rPr>
        <w:t>9</w:t>
      </w:r>
      <w:r>
        <w:rPr>
          <w:rFonts w:ascii="宋体" w:hAnsi="宋体" w:cs="宋体"/>
          <w:color w:val="000000"/>
          <w:sz w:val="28"/>
          <w:szCs w:val="28"/>
        </w:rPr>
        <w:t xml:space="preserve"> 款、第2.2 款和第2.3 款对磋商文件所作的澄清、修改，构成磋商文件的组成部分。</w:t>
      </w:r>
    </w:p>
    <w:p w14:paraId="329C912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2.2 磋商文件的澄清</w:t>
      </w:r>
    </w:p>
    <w:p w14:paraId="31183D2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2.2.1 供应商应仔细阅读和检查磋商文件的全部内容。如发现缺页或附件不全，应及时向采购人提出，以便补齐。如有疑问，应在供应商须知前附表规定的时间前以书面</w:t>
      </w:r>
      <w:bookmarkStart w:id="28" w:name="_Hlk525807954"/>
      <w:r>
        <w:rPr>
          <w:rFonts w:ascii="宋体" w:hAnsi="宋体" w:cs="宋体"/>
          <w:color w:val="000000"/>
          <w:sz w:val="28"/>
          <w:szCs w:val="28"/>
        </w:rPr>
        <w:t>形式（包括信函、电报、传真等可以有形地表现所载内容的形式，下同）</w:t>
      </w:r>
      <w:bookmarkEnd w:id="28"/>
      <w:r>
        <w:rPr>
          <w:rFonts w:ascii="宋体" w:hAnsi="宋体" w:cs="宋体"/>
          <w:color w:val="000000"/>
          <w:sz w:val="28"/>
          <w:szCs w:val="28"/>
        </w:rPr>
        <w:t>，要求采购人对磋商文件予以澄清。</w:t>
      </w:r>
    </w:p>
    <w:p w14:paraId="7EF5B60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2.2.2 磋商文件的澄清将在提交首次响应文件截止之日3个工作日前以书面形式发给所有购买磋商文件的供应商，但不指明澄清问题的来源。如果澄清发出的时间距提交首次响应文件截止之日不足3个工作日，相应延长提交首次响应文件截止之日。</w:t>
      </w:r>
    </w:p>
    <w:p w14:paraId="5B640E3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2.2.3 供应商在收到澄清后，应在供应商须知前附表规定的时间内以书面形式通知采购人，确认己收到该澄清。</w:t>
      </w:r>
    </w:p>
    <w:p w14:paraId="5A9D507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2.3 磋商文件的修改</w:t>
      </w:r>
    </w:p>
    <w:p w14:paraId="45805FB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2.3.1 在提交首次响应文件截止之日3个工作日前，采购人可以书面形式修改磋商文件，并通知所有已购买磋商文件的供应商。如果修改磋商文件的时间距提交首次响应文件截止之日不足3个工作日，相应延长提交首次响应文件截止之日。</w:t>
      </w:r>
    </w:p>
    <w:p w14:paraId="253A735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29" w:name="_Toc420591645"/>
      <w:r>
        <w:rPr>
          <w:rFonts w:ascii="宋体" w:hAnsi="宋体" w:cs="宋体"/>
          <w:color w:val="000000"/>
          <w:sz w:val="28"/>
          <w:szCs w:val="28"/>
        </w:rPr>
        <w:t>2.3.2 供应商收到修改内容后，应在供应商须知前附表规定的时间内以书面形式通知采购人，确认己收到该修改。</w:t>
      </w:r>
    </w:p>
    <w:p w14:paraId="3BDB6EF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2.3.3 供应商应同时认真审阅磋商文件中所有的事项、格式、条款和规范要求等，若供应商的响应文件没有按照磋商文件要求提交全部资料，或响应文件没有对磋商文件做出实质性响应，其风险由投标人自行承担，并根据有关条款规定，该投标将被拒绝。</w:t>
      </w:r>
    </w:p>
    <w:p w14:paraId="50E0D5E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2.3.4.磋商文件的澄清、修改、补充等内容均以书面形式明确的内容为准。当磋商文件、磋商文件的澄清、修改、补充等在同一内容的表述不一致时，以最后发出的书面文件为准。</w:t>
      </w:r>
    </w:p>
    <w:p w14:paraId="59F98C1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2.3.5.采购代理机构可以视采购具体情况，延长磋商截止时间和开标时间，但至少在磋商文件要求的提交响应文件截止时间三日前，将变更时间书面通知所有磋商文件收受人，并在政府采购信息发布媒体上发布变更公告。 </w:t>
      </w:r>
    </w:p>
    <w:p w14:paraId="76A8B66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（1）磋商文件由采购代理机构登记发售，一经售出，恕不能退。</w:t>
      </w:r>
    </w:p>
    <w:p w14:paraId="5F1F2F8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（2）供应商不得擅自转让、变卖或复制磋商文件进行投标。</w:t>
      </w:r>
    </w:p>
    <w:p w14:paraId="43EE274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color w:val="000000"/>
          <w:sz w:val="28"/>
          <w:szCs w:val="28"/>
        </w:rPr>
        <w:t>（3）磋商文件的解释权归采购代理机构。</w:t>
      </w:r>
    </w:p>
    <w:p w14:paraId="443B40BC">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bookmarkStart w:id="30" w:name="_Hlk525808648"/>
      <w:r>
        <w:rPr>
          <w:rFonts w:ascii="宋体" w:hAnsi="宋体" w:cs="宋体"/>
          <w:b/>
          <w:color w:val="000000"/>
          <w:sz w:val="28"/>
          <w:szCs w:val="28"/>
        </w:rPr>
        <w:t>2.4澄清或者修改有关法律条文</w:t>
      </w:r>
    </w:p>
    <w:bookmarkEnd w:id="30"/>
    <w:p w14:paraId="2FF4E627">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黑体" w:cs="宋体"/>
          <w:color w:val="000000"/>
          <w:sz w:val="28"/>
          <w:szCs w:val="28"/>
          <w:lang w:val="en-US" w:eastAsia="zh-CN"/>
        </w:rPr>
      </w:pPr>
      <w:bookmarkStart w:id="31" w:name="_Hlk525809582"/>
      <w:r>
        <w:rPr>
          <w:rFonts w:ascii="宋体" w:hAnsi="宋体" w:cs="宋体"/>
          <w:b/>
          <w:color w:val="000000"/>
          <w:sz w:val="28"/>
          <w:szCs w:val="28"/>
        </w:rPr>
        <w:t xml:space="preserve">2.4.1 </w:t>
      </w:r>
      <w:bookmarkEnd w:id="31"/>
      <w:r>
        <w:rPr>
          <w:rFonts w:ascii="宋体" w:hAnsi="宋体" w:cs="宋体"/>
          <w:b/>
          <w:color w:val="000000"/>
          <w:sz w:val="28"/>
          <w:szCs w:val="28"/>
        </w:rPr>
        <w:t>关于做好政府采购信息公开工作的通知--财库[2015]135号</w:t>
      </w:r>
    </w:p>
    <w:p w14:paraId="35E8ABB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第</w:t>
      </w:r>
      <w:r>
        <w:rPr>
          <w:rFonts w:ascii="宋体" w:hAnsi="宋体" w:cs="宋体"/>
          <w:color w:val="000000"/>
          <w:sz w:val="28"/>
          <w:szCs w:val="28"/>
        </w:rPr>
        <w:t>6</w:t>
      </w:r>
      <w:r>
        <w:rPr>
          <w:rFonts w:hint="eastAsia" w:ascii="宋体" w:hAnsi="宋体" w:cs="宋体"/>
          <w:color w:val="000000"/>
          <w:sz w:val="28"/>
          <w:szCs w:val="28"/>
          <w:lang w:val="en-US" w:eastAsia="zh-CN"/>
        </w:rPr>
        <w:t>小条</w:t>
      </w:r>
      <w:r>
        <w:rPr>
          <w:rFonts w:ascii="宋体" w:hAnsi="宋体" w:cs="宋体"/>
          <w:color w:val="000000"/>
          <w:sz w:val="28"/>
          <w:szCs w:val="28"/>
        </w:rPr>
        <w:t>.更正事项。</w:t>
      </w:r>
    </w:p>
    <w:p w14:paraId="75C5D79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人或者采购代理机构对已发出的采购文件、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采购代理机构名称、地址、联系方式，原公告的采购项目名称及首次公告日期，更正事项、内容及日期，采购项目联系人和电话。</w:t>
      </w:r>
    </w:p>
    <w:p w14:paraId="2097229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澄清或者修改的内容可能影响响应文件、资格预审申请文件、响应文件编制的，采购人或者采购代理机构发布澄清公告并以书面形式通知潜在供应商的时间，应当在投标截止时间至少15日前、提交资格预审申请文件截止时间至少3日前，或者提交首次响应文件截止之日3个工作日前；不足上述时间的，应当顺延提交响应文件、资格预审申请文件或响应文件的截止时间。</w:t>
      </w:r>
    </w:p>
    <w:p w14:paraId="7417FD9F">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2.4.2财政部关于印发《政府采购竞争性磋商采购方式管理暂行办法》的通知--财库〔2014〕214号</w:t>
      </w:r>
    </w:p>
    <w:p w14:paraId="7EEF70A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第十条 从磋商文件发出之日起至供应商提交首次响应文件截止之日止不得少于10日。</w:t>
      </w:r>
    </w:p>
    <w:p w14:paraId="181557C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磋商文件售价应当按照弥补磋商文件制作成本费用的原则确定，不得以营利为目的，不得以项目预算金额作为确定磋商文件售价依据。磋商文件的发售期限自开始之日起不得少于5个工作日。</w:t>
      </w:r>
    </w:p>
    <w:p w14:paraId="06251C8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D21D6F9">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bookmarkStart w:id="32" w:name="_Toc425240466"/>
      <w:bookmarkStart w:id="33" w:name="_Toc19703"/>
      <w:bookmarkStart w:id="34" w:name="_Toc15596"/>
      <w:bookmarkStart w:id="35" w:name="_Toc421778367"/>
      <w:bookmarkStart w:id="36" w:name="_Toc32322"/>
      <w:r>
        <w:rPr>
          <w:rFonts w:ascii="宋体" w:hAnsi="宋体" w:cs="宋体"/>
          <w:b/>
          <w:color w:val="000000"/>
          <w:sz w:val="28"/>
          <w:szCs w:val="28"/>
        </w:rPr>
        <w:t>3．磋商响应文件</w:t>
      </w:r>
      <w:bookmarkEnd w:id="29"/>
      <w:bookmarkEnd w:id="32"/>
      <w:bookmarkEnd w:id="33"/>
      <w:bookmarkEnd w:id="34"/>
      <w:bookmarkEnd w:id="35"/>
      <w:bookmarkEnd w:id="36"/>
    </w:p>
    <w:p w14:paraId="6E50C239">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3.1 磋商响应文件的组成</w:t>
      </w:r>
    </w:p>
    <w:p w14:paraId="2719E7E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sz w:val="28"/>
          <w:szCs w:val="28"/>
        </w:rPr>
        <w:t>3.1.1 磋商响应文件应包括下列内容：</w:t>
      </w:r>
    </w:p>
    <w:p w14:paraId="116B24B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 xml:space="preserve">1) </w:t>
      </w:r>
      <w:r>
        <w:rPr>
          <w:rFonts w:ascii="宋体" w:hAnsi="宋体" w:cs="宋体"/>
          <w:color w:val="000000"/>
          <w:sz w:val="28"/>
          <w:szCs w:val="28"/>
        </w:rPr>
        <w:t>资格审查资料</w:t>
      </w:r>
    </w:p>
    <w:p w14:paraId="04D353F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2) 响应</w:t>
      </w:r>
      <w:r>
        <w:rPr>
          <w:rFonts w:ascii="宋体" w:hAnsi="宋体" w:cs="宋体"/>
          <w:color w:val="000000"/>
          <w:sz w:val="28"/>
          <w:szCs w:val="28"/>
        </w:rPr>
        <w:t>函</w:t>
      </w:r>
    </w:p>
    <w:p w14:paraId="54E425E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 xml:space="preserve">3) </w:t>
      </w:r>
      <w:r>
        <w:rPr>
          <w:rFonts w:ascii="宋体" w:hAnsi="宋体" w:cs="宋体"/>
          <w:color w:val="000000"/>
          <w:sz w:val="28"/>
          <w:szCs w:val="28"/>
        </w:rPr>
        <w:t>磋商一览表（首次）</w:t>
      </w:r>
    </w:p>
    <w:p w14:paraId="69ACCE3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eastAsia="zh-CN"/>
        </w:rPr>
      </w:pPr>
      <w:r>
        <w:rPr>
          <w:rFonts w:hint="eastAsia" w:ascii="宋体" w:hAnsi="宋体" w:cs="宋体"/>
          <w:color w:val="000000"/>
          <w:sz w:val="28"/>
          <w:szCs w:val="28"/>
          <w:lang w:val="en-US" w:eastAsia="zh-CN"/>
        </w:rPr>
        <w:t xml:space="preserve">4) </w:t>
      </w:r>
      <w:r>
        <w:rPr>
          <w:rFonts w:ascii="宋体" w:hAnsi="宋体" w:cs="宋体"/>
          <w:color w:val="000000"/>
          <w:sz w:val="28"/>
          <w:szCs w:val="28"/>
        </w:rPr>
        <w:t>陕西省政府采购供应商拒绝政府采购领域商业贿赂承诺书</w:t>
      </w:r>
    </w:p>
    <w:p w14:paraId="74175F3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5) 技术</w:t>
      </w:r>
      <w:r>
        <w:rPr>
          <w:rFonts w:ascii="宋体" w:hAnsi="宋体" w:cs="宋体"/>
          <w:color w:val="000000"/>
          <w:sz w:val="28"/>
          <w:szCs w:val="28"/>
        </w:rPr>
        <w:t>部分</w:t>
      </w:r>
    </w:p>
    <w:p w14:paraId="462B0C9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6) 商务部分</w:t>
      </w:r>
    </w:p>
    <w:p w14:paraId="2F1BEA9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 xml:space="preserve">7) </w:t>
      </w:r>
      <w:r>
        <w:rPr>
          <w:rFonts w:ascii="宋体" w:hAnsi="宋体" w:cs="宋体"/>
          <w:color w:val="000000"/>
          <w:sz w:val="28"/>
          <w:szCs w:val="28"/>
        </w:rPr>
        <w:t>其</w:t>
      </w:r>
      <w:r>
        <w:rPr>
          <w:rFonts w:hint="eastAsia" w:ascii="宋体" w:hAnsi="宋体" w:cs="宋体"/>
          <w:color w:val="000000"/>
          <w:sz w:val="28"/>
          <w:szCs w:val="28"/>
          <w:lang w:val="en-US" w:eastAsia="zh-CN"/>
        </w:rPr>
        <w:t>他</w:t>
      </w:r>
      <w:r>
        <w:rPr>
          <w:rFonts w:ascii="宋体" w:hAnsi="宋体" w:cs="宋体"/>
          <w:color w:val="000000"/>
          <w:sz w:val="28"/>
          <w:szCs w:val="28"/>
        </w:rPr>
        <w:t>资料</w:t>
      </w:r>
    </w:p>
    <w:p w14:paraId="5388CCA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3.1.2本次投标的最小单元为“项目”，供应商可根据自身的资质情况和经营范围进行投标，但不得将其子目自行分解或针对该项目中的品目进行不完全投标，任何不完全的投标将按无效投标处理。</w:t>
      </w:r>
    </w:p>
    <w:p w14:paraId="202FBF3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3.2 磋商报价</w:t>
      </w:r>
    </w:p>
    <w:p w14:paraId="22A4D4BC">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3.2.1供应商应对此项目进行全面响应，不得将其中所列的所有服务内容拆开报价。凡本磋商文件要求（或允许）及供应商认为需要进行投标的各项费用项目（不论是否要求进入报价），若投标时未报或未在磋商响应文件中予以说明，采购人将认为这些费用供应商已计取，并包含在总报价中（项目内容、项目量调整除外）</w:t>
      </w:r>
    </w:p>
    <w:p w14:paraId="67A1254B">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3.2.2所有根据合同或其它原因应由磋商单位支付的税款和其它应交纳的费用都要包括在磋商单位提交的磋商报价中。</w:t>
      </w:r>
    </w:p>
    <w:p w14:paraId="5D9898CB">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3.2.3磋商单位的磋商报价在合同执行过程中是固定不变的，不得以任何理由予以变更。任何包含价格调整要求的磋商，将被认为是非响应性磋商而予以拒绝。</w:t>
      </w:r>
    </w:p>
    <w:p w14:paraId="04F822B5">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4</w:t>
      </w:r>
      <w:r>
        <w:rPr>
          <w:rFonts w:ascii="宋体" w:hAnsi="宋体" w:cs="宋体"/>
          <w:color w:val="000000"/>
          <w:sz w:val="28"/>
          <w:szCs w:val="28"/>
        </w:rPr>
        <w:t>凡因对磋商文件阅读不深、理解不透、误解、疏漏或因对市场行情了解不清而造成的后果和风险均由磋商单位自负。</w:t>
      </w:r>
    </w:p>
    <w:p w14:paraId="303B22A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3.2.5关于推动解决政府采购异常低价问题的通知（财库〔2026〕2号）</w:t>
      </w:r>
    </w:p>
    <w:p w14:paraId="12F4850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强化政府采购异常低价审查</w:t>
      </w:r>
    </w:p>
    <w:p w14:paraId="37C4010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（一）采购人应当在采购文件中明确，政府采购评审中出现下列情形之一的，评审委员会应当启动异常低价投标（响应）审查程序：</w:t>
      </w:r>
    </w:p>
    <w:p w14:paraId="6255771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1.投标（响应）报价低于全部通过符合性审查供应商投标（响应）报价平均值50%的，即投标（响应）报价&lt;全部通过符合性审查供应商投标（响应）报价平均值×50%；</w:t>
      </w:r>
    </w:p>
    <w:p w14:paraId="5DE0D1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2.投标（响应）报价低于通过符合性审查的次低报价供应商投标（响应）报价50%的，即投标（响应）报价&lt;通过符合性审查的次低报价供应商投标（响应）报价×50%；</w:t>
      </w:r>
    </w:p>
    <w:p w14:paraId="07E02F5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3.投标（响应）报价低于采购项目最高限价45%的，即投标（响应）报价&lt;采购项目最高限价×45%；</w:t>
      </w:r>
    </w:p>
    <w:p w14:paraId="7CA0662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4.评审委员会基于专业判断，认为供应商报价过低，有可能影响产品质量或者不能诚信履约的其他情形。</w:t>
      </w:r>
    </w:p>
    <w:p w14:paraId="00A279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采购人可以结合具体项目实际情况，提高上述第1项至第3项中启动异常低价投标（响应）审查的数值标准，但是最高不得超过65%。</w:t>
      </w:r>
    </w:p>
    <w:p w14:paraId="1B3A50E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相关法律法规对供应商报价有规定的，从其规定。</w:t>
      </w:r>
    </w:p>
    <w:p w14:paraId="5E77F49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761B06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26081C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F45AD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1867AA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6最后</w:t>
      </w:r>
      <w:r>
        <w:rPr>
          <w:rFonts w:ascii="宋体" w:hAnsi="宋体" w:cs="宋体"/>
          <w:color w:val="000000"/>
          <w:sz w:val="28"/>
          <w:szCs w:val="28"/>
        </w:rPr>
        <w:t>报价</w:t>
      </w:r>
    </w:p>
    <w:p w14:paraId="53AC0C4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eastAsia="zh-CN"/>
        </w:rPr>
      </w:pPr>
      <w:bookmarkStart w:id="37" w:name="_Toc4322_WPSOffice_Level1"/>
      <w:bookmarkStart w:id="38" w:name="_Toc17219"/>
      <w:r>
        <w:rPr>
          <w:rFonts w:hint="eastAsia" w:ascii="宋体" w:hAnsi="宋体" w:cs="宋体"/>
          <w:color w:val="000000"/>
          <w:sz w:val="28"/>
          <w:szCs w:val="28"/>
          <w:lang w:val="en-US" w:eastAsia="zh-CN"/>
        </w:rPr>
        <w:t>根据</w:t>
      </w:r>
      <w:r>
        <w:rPr>
          <w:rFonts w:hint="eastAsia" w:ascii="宋体" w:hAnsi="宋体" w:cs="宋体"/>
          <w:color w:val="000000"/>
          <w:sz w:val="28"/>
          <w:szCs w:val="28"/>
        </w:rPr>
        <w:t>政府采购竞争性磋商采购方式管理暂行办法</w:t>
      </w:r>
      <w:bookmarkEnd w:id="37"/>
      <w:r>
        <w:rPr>
          <w:rFonts w:hint="eastAsia" w:ascii="宋体" w:hAnsi="宋体" w:cs="宋体"/>
          <w:color w:val="000000"/>
          <w:sz w:val="28"/>
          <w:szCs w:val="28"/>
          <w:lang w:eastAsia="zh-CN"/>
        </w:rPr>
        <w:t>（财库</w:t>
      </w:r>
      <w:r>
        <w:rPr>
          <w:rFonts w:hint="eastAsia" w:ascii="宋体" w:hAnsi="宋体" w:cs="宋体"/>
          <w:color w:val="000000"/>
          <w:sz w:val="28"/>
          <w:szCs w:val="28"/>
          <w:lang w:val="en-US" w:eastAsia="zh-CN"/>
        </w:rPr>
        <w:t>[2014]214号</w:t>
      </w:r>
      <w:r>
        <w:rPr>
          <w:rFonts w:hint="eastAsia" w:ascii="宋体" w:hAnsi="宋体" w:cs="宋体"/>
          <w:color w:val="000000"/>
          <w:sz w:val="28"/>
          <w:szCs w:val="28"/>
          <w:lang w:eastAsia="zh-CN"/>
        </w:rPr>
        <w:t>）</w:t>
      </w:r>
      <w:bookmarkEnd w:id="38"/>
    </w:p>
    <w:p w14:paraId="725B5B1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rPr>
        <w:t>第二十一条 磋商文件能够详细列明采购标的的技术、服务要求的，磋商结束后，磋商小组应当要求所有实质性响应的供应商在规定时间内提交最后报价，提交最后报价的供应商不得少于3家。</w:t>
      </w:r>
      <w:r>
        <w:rPr>
          <w:rFonts w:ascii="宋体" w:hAnsi="宋体" w:cs="宋体"/>
          <w:color w:val="000000"/>
          <w:sz w:val="28"/>
          <w:szCs w:val="28"/>
        </w:rPr>
        <w:t xml:space="preserve"> </w:t>
      </w:r>
    </w:p>
    <w:p w14:paraId="52AFEA30">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7</w:t>
      </w:r>
      <w:r>
        <w:rPr>
          <w:rFonts w:ascii="宋体" w:hAnsi="宋体" w:cs="宋体"/>
          <w:color w:val="000000"/>
          <w:sz w:val="28"/>
          <w:szCs w:val="28"/>
        </w:rPr>
        <w:t>最低磋商报价不作为成交的唯一条件，须经磋商报价、技术部分、商务部分等综合评定。</w:t>
      </w:r>
    </w:p>
    <w:p w14:paraId="034F92E9">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3.3 投标有效期</w:t>
      </w:r>
    </w:p>
    <w:p w14:paraId="524CC3B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3.3.1 在供应商须知前附表规定的投标有效期内，供应商不得要求撤销或修改其磋商响应文件。</w:t>
      </w:r>
    </w:p>
    <w:p w14:paraId="7DC94F8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3.3.2 出现特殊情况需要延长投标有效期的，采购人以书面形式通知所有供应商延长投标有效期。供应商同意延长的，应相应延长其磋商保证金的有效期，但不得要求或被允许修改或撤销其磋商响应文件；供应商拒绝延长的，其投标失效，但供应商有权收回其磋商保证金。</w:t>
      </w:r>
    </w:p>
    <w:p w14:paraId="3174EF9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3.4 磋商保证金</w:t>
      </w:r>
    </w:p>
    <w:p w14:paraId="6029411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39" w:name="_Hlk522170699"/>
      <w:bookmarkStart w:id="40" w:name="_Toc343511515"/>
      <w:r>
        <w:rPr>
          <w:rFonts w:ascii="宋体" w:hAnsi="宋体" w:cs="宋体"/>
          <w:sz w:val="28"/>
          <w:szCs w:val="28"/>
        </w:rPr>
        <w:t>3.4.1 供应商在递交磋商响应文件的同时，应按供应商须知前附表规定的金额、担保形式缴纳磋商保证金，供应商的</w:t>
      </w:r>
      <w:r>
        <w:rPr>
          <w:rFonts w:hint="eastAsia" w:ascii="宋体" w:hAnsi="宋体" w:cs="宋体"/>
          <w:sz w:val="28"/>
          <w:szCs w:val="28"/>
          <w:lang w:eastAsia="zh-CN"/>
        </w:rPr>
        <w:t>磋商保证金</w:t>
      </w:r>
      <w:r>
        <w:rPr>
          <w:rFonts w:ascii="宋体" w:hAnsi="宋体" w:cs="宋体"/>
          <w:sz w:val="28"/>
          <w:szCs w:val="28"/>
        </w:rPr>
        <w:t>交纳时间，以银行提供的已到账单位汇款信息为准。并作为其响应文件的组成部分</w:t>
      </w:r>
      <w:r>
        <w:rPr>
          <w:rFonts w:ascii="宋体" w:hAnsi="宋体" w:cs="宋体"/>
          <w:color w:val="000000"/>
          <w:sz w:val="28"/>
          <w:szCs w:val="28"/>
        </w:rPr>
        <w:t>。</w:t>
      </w:r>
    </w:p>
    <w:p w14:paraId="62E93FA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3.4.2 供应商不按本章第3.4.1项要求提交磋商保证金的，其响应文件作废标处理。</w:t>
      </w:r>
    </w:p>
    <w:bookmarkEnd w:id="39"/>
    <w:bookmarkEnd w:id="40"/>
    <w:p w14:paraId="30B85A8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41" w:name="_Toc343511517"/>
      <w:r>
        <w:rPr>
          <w:rFonts w:ascii="宋体" w:hAnsi="宋体" w:cs="宋体"/>
          <w:color w:val="000000"/>
          <w:sz w:val="28"/>
          <w:szCs w:val="28"/>
        </w:rPr>
        <w:t>3.4.3</w:t>
      </w:r>
      <w:bookmarkEnd w:id="41"/>
      <w:r>
        <w:rPr>
          <w:rFonts w:ascii="宋体" w:hAnsi="宋体" w:cs="宋体"/>
          <w:color w:val="000000"/>
          <w:sz w:val="28"/>
          <w:szCs w:val="28"/>
        </w:rPr>
        <w:t>采购文件要求供应商提交</w:t>
      </w:r>
      <w:r>
        <w:rPr>
          <w:rFonts w:hint="eastAsia" w:ascii="宋体" w:hAnsi="宋体" w:cs="宋体"/>
          <w:color w:val="000000"/>
          <w:sz w:val="28"/>
          <w:szCs w:val="28"/>
          <w:lang w:eastAsia="zh-CN"/>
        </w:rPr>
        <w:t>磋商保证金</w:t>
      </w:r>
      <w:r>
        <w:rPr>
          <w:rFonts w:ascii="宋体" w:hAnsi="宋体" w:cs="宋体"/>
          <w:color w:val="000000"/>
          <w:sz w:val="28"/>
          <w:szCs w:val="28"/>
        </w:rPr>
        <w:t>的，</w:t>
      </w:r>
      <w:r>
        <w:rPr>
          <w:rFonts w:hint="eastAsia" w:ascii="宋体" w:hAnsi="宋体" w:cs="宋体"/>
          <w:color w:val="000000"/>
          <w:sz w:val="28"/>
          <w:szCs w:val="28"/>
          <w:lang w:eastAsia="zh-CN"/>
        </w:rPr>
        <w:t>磋商保证金</w:t>
      </w:r>
      <w:r>
        <w:rPr>
          <w:rFonts w:ascii="宋体" w:hAnsi="宋体" w:cs="宋体"/>
          <w:color w:val="000000"/>
          <w:sz w:val="28"/>
          <w:szCs w:val="28"/>
        </w:rPr>
        <w:t>不得超过采购项目预算金额的2%。</w:t>
      </w:r>
      <w:r>
        <w:rPr>
          <w:rFonts w:hint="eastAsia" w:ascii="宋体" w:hAnsi="宋体" w:cs="宋体"/>
          <w:color w:val="000000"/>
          <w:sz w:val="28"/>
          <w:szCs w:val="28"/>
          <w:lang w:eastAsia="zh-CN"/>
        </w:rPr>
        <w:t>磋商保证金</w:t>
      </w:r>
      <w:r>
        <w:rPr>
          <w:rFonts w:ascii="宋体" w:hAnsi="宋体" w:cs="宋体"/>
          <w:color w:val="000000"/>
          <w:sz w:val="28"/>
          <w:szCs w:val="28"/>
        </w:rPr>
        <w:t>应当以支票、汇票、本票或者金融机构、担保机构出具的保函等非现金形式提交。供应商未按照采购文件要求提交</w:t>
      </w:r>
      <w:r>
        <w:rPr>
          <w:rFonts w:hint="eastAsia" w:ascii="宋体" w:hAnsi="宋体" w:cs="宋体"/>
          <w:color w:val="000000"/>
          <w:sz w:val="28"/>
          <w:szCs w:val="28"/>
          <w:lang w:eastAsia="zh-CN"/>
        </w:rPr>
        <w:t>磋商保证金</w:t>
      </w:r>
      <w:r>
        <w:rPr>
          <w:rFonts w:ascii="宋体" w:hAnsi="宋体" w:cs="宋体"/>
          <w:color w:val="000000"/>
          <w:sz w:val="28"/>
          <w:szCs w:val="28"/>
        </w:rPr>
        <w:t>的，投标无效。</w:t>
      </w:r>
    </w:p>
    <w:p w14:paraId="18E1E20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采购代理机构应当自成交通知书发出之日起5个工作日内退还未成交供应商的</w:t>
      </w:r>
      <w:r>
        <w:rPr>
          <w:rFonts w:hint="eastAsia" w:ascii="宋体" w:hAnsi="宋体" w:cs="宋体"/>
          <w:color w:val="000000"/>
          <w:sz w:val="28"/>
          <w:szCs w:val="28"/>
          <w:lang w:eastAsia="zh-CN"/>
        </w:rPr>
        <w:t>磋商保证金</w:t>
      </w:r>
      <w:r>
        <w:rPr>
          <w:rFonts w:ascii="宋体" w:hAnsi="宋体" w:cs="宋体"/>
          <w:color w:val="000000"/>
          <w:sz w:val="28"/>
          <w:szCs w:val="28"/>
        </w:rPr>
        <w:t>，向未成交的供应商扣除银行交易手续费后退还</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及银行同期存款利息。自政府采购合同签订之日起5个工作日内退还成交供应商的</w:t>
      </w:r>
      <w:r>
        <w:rPr>
          <w:rFonts w:hint="eastAsia" w:ascii="宋体" w:hAnsi="宋体" w:cs="宋体"/>
          <w:color w:val="000000"/>
          <w:sz w:val="28"/>
          <w:szCs w:val="28"/>
          <w:lang w:eastAsia="zh-CN"/>
        </w:rPr>
        <w:t>磋商保证金</w:t>
      </w:r>
      <w:r>
        <w:rPr>
          <w:rFonts w:ascii="宋体" w:hAnsi="宋体" w:cs="宋体"/>
          <w:color w:val="000000"/>
          <w:sz w:val="28"/>
          <w:szCs w:val="28"/>
        </w:rPr>
        <w:t>向成交供应商扣除银行交易手续费后退还</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w:t>
      </w:r>
    </w:p>
    <w:p w14:paraId="73C239C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w:t>
      </w:r>
      <w:r>
        <w:rPr>
          <w:rFonts w:hint="eastAsia" w:ascii="宋体" w:hAnsi="宋体" w:cs="宋体"/>
          <w:color w:val="000000"/>
          <w:sz w:val="28"/>
          <w:szCs w:val="28"/>
          <w:lang w:val="en-US" w:eastAsia="zh-CN"/>
        </w:rPr>
        <w:t>4</w:t>
      </w:r>
      <w:r>
        <w:rPr>
          <w:rFonts w:ascii="宋体" w:hAnsi="宋体" w:cs="宋体"/>
          <w:color w:val="000000"/>
          <w:sz w:val="28"/>
          <w:szCs w:val="28"/>
        </w:rPr>
        <w:t>采购人终止采购的，应当及时发布公告，或者以书面形式通知被邀请的或者已经获取资格预审文件、采购文件的潜在供应商。已经发售资格预审文件、采购文件或者已经收取</w:t>
      </w:r>
      <w:r>
        <w:rPr>
          <w:rFonts w:hint="eastAsia" w:ascii="宋体" w:hAnsi="宋体" w:cs="宋体"/>
          <w:color w:val="000000"/>
          <w:sz w:val="28"/>
          <w:szCs w:val="28"/>
          <w:lang w:eastAsia="zh-CN"/>
        </w:rPr>
        <w:t>磋商保证金</w:t>
      </w:r>
      <w:r>
        <w:rPr>
          <w:rFonts w:ascii="宋体" w:hAnsi="宋体" w:cs="宋体"/>
          <w:color w:val="000000"/>
          <w:sz w:val="28"/>
          <w:szCs w:val="28"/>
        </w:rPr>
        <w:t>的，采购人应当及时退还所收取的资格预审文件、采购文件的费用，以及所收取的</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w:t>
      </w:r>
    </w:p>
    <w:p w14:paraId="41F69F4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w:t>
      </w:r>
      <w:r>
        <w:rPr>
          <w:rFonts w:hint="eastAsia" w:ascii="宋体" w:hAnsi="宋体" w:cs="宋体"/>
          <w:color w:val="000000"/>
          <w:sz w:val="28"/>
          <w:szCs w:val="28"/>
          <w:lang w:val="en-US" w:eastAsia="zh-CN"/>
        </w:rPr>
        <w:t>5</w:t>
      </w:r>
      <w:r>
        <w:rPr>
          <w:rFonts w:ascii="宋体" w:hAnsi="宋体" w:cs="宋体"/>
          <w:color w:val="000000"/>
          <w:sz w:val="28"/>
          <w:szCs w:val="28"/>
        </w:rPr>
        <w:t>供应商撤回已提交的响应文件，应当在投标截止时间前书面通知采购人。采购人已收取</w:t>
      </w:r>
      <w:r>
        <w:rPr>
          <w:rFonts w:hint="eastAsia" w:ascii="宋体" w:hAnsi="宋体" w:cs="宋体"/>
          <w:color w:val="000000"/>
          <w:sz w:val="28"/>
          <w:szCs w:val="28"/>
          <w:lang w:eastAsia="zh-CN"/>
        </w:rPr>
        <w:t>磋商保证金</w:t>
      </w:r>
      <w:r>
        <w:rPr>
          <w:rFonts w:ascii="宋体" w:hAnsi="宋体" w:cs="宋体"/>
          <w:color w:val="000000"/>
          <w:sz w:val="28"/>
          <w:szCs w:val="28"/>
        </w:rPr>
        <w:t>的，应当自收到供应商书面撤回通知之日起5日内退还。</w:t>
      </w:r>
    </w:p>
    <w:p w14:paraId="786C279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投标截止后供应商撤销响应文件的，采购人可以不退还</w:t>
      </w:r>
      <w:r>
        <w:rPr>
          <w:rFonts w:hint="eastAsia" w:ascii="宋体" w:hAnsi="宋体" w:cs="宋体"/>
          <w:color w:val="000000"/>
          <w:sz w:val="28"/>
          <w:szCs w:val="28"/>
          <w:lang w:eastAsia="zh-CN"/>
        </w:rPr>
        <w:t>磋商保证金</w:t>
      </w:r>
      <w:r>
        <w:rPr>
          <w:rFonts w:ascii="宋体" w:hAnsi="宋体" w:cs="宋体"/>
          <w:color w:val="000000"/>
          <w:sz w:val="28"/>
          <w:szCs w:val="28"/>
        </w:rPr>
        <w:t>。</w:t>
      </w:r>
    </w:p>
    <w:p w14:paraId="1ABB8A0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w:t>
      </w:r>
      <w:r>
        <w:rPr>
          <w:rFonts w:hint="eastAsia" w:ascii="宋体" w:hAnsi="宋体" w:cs="宋体"/>
          <w:color w:val="000000"/>
          <w:sz w:val="28"/>
          <w:szCs w:val="28"/>
          <w:lang w:val="en-US" w:eastAsia="zh-CN"/>
        </w:rPr>
        <w:t>6</w:t>
      </w:r>
      <w:r>
        <w:rPr>
          <w:rFonts w:ascii="宋体" w:hAnsi="宋体" w:cs="宋体"/>
          <w:color w:val="000000"/>
          <w:sz w:val="28"/>
          <w:szCs w:val="28"/>
        </w:rPr>
        <w:t>采购人和成交人应当依照采购投标法和本条例的规定签订书面合同，合同的标的、价款、质量、履行期限等主要条款应当与采购文件和成交人的响应文件的内容一致。采购人和成交人不得再行订立背离合同实质性内容的其他协议。</w:t>
      </w:r>
    </w:p>
    <w:p w14:paraId="2E327A4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w:t>
      </w:r>
      <w:r>
        <w:rPr>
          <w:rFonts w:hint="eastAsia" w:ascii="宋体" w:hAnsi="宋体" w:cs="宋体"/>
          <w:color w:val="000000"/>
          <w:sz w:val="28"/>
          <w:szCs w:val="28"/>
          <w:lang w:val="en-US" w:eastAsia="zh-CN"/>
        </w:rPr>
        <w:t>7</w:t>
      </w:r>
      <w:r>
        <w:rPr>
          <w:rFonts w:ascii="宋体" w:hAnsi="宋体" w:cs="宋体"/>
          <w:color w:val="000000"/>
          <w:sz w:val="28"/>
          <w:szCs w:val="28"/>
        </w:rPr>
        <w:t>成交人无正当理由不与采购人订立合同，在签订合同时向采购人提出附加条件，或者不按照采购文件要求提交履约保证金的，取消其成交资格，</w:t>
      </w:r>
      <w:r>
        <w:rPr>
          <w:rFonts w:hint="eastAsia" w:ascii="宋体" w:hAnsi="宋体" w:cs="宋体"/>
          <w:color w:val="000000"/>
          <w:sz w:val="28"/>
          <w:szCs w:val="28"/>
          <w:lang w:eastAsia="zh-CN"/>
        </w:rPr>
        <w:t>磋商保证金</w:t>
      </w:r>
      <w:r>
        <w:rPr>
          <w:rFonts w:ascii="宋体" w:hAnsi="宋体" w:cs="宋体"/>
          <w:color w:val="000000"/>
          <w:sz w:val="28"/>
          <w:szCs w:val="28"/>
        </w:rPr>
        <w:t>不予退还。对依法必须进行采购的项目的成交人，由有关行政监督部门责令改正，可以处成交项目金额10‰以下的罚款。</w:t>
      </w:r>
    </w:p>
    <w:p w14:paraId="6114BE5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42" w:name="_Toc343511518"/>
      <w:bookmarkStart w:id="43" w:name="_Hlk522172384"/>
      <w:r>
        <w:rPr>
          <w:rFonts w:ascii="宋体" w:hAnsi="宋体" w:cs="宋体"/>
          <w:color w:val="000000"/>
          <w:sz w:val="28"/>
          <w:szCs w:val="28"/>
        </w:rPr>
        <w:t>3.4.</w:t>
      </w:r>
      <w:r>
        <w:rPr>
          <w:rFonts w:hint="eastAsia" w:ascii="宋体" w:hAnsi="宋体" w:cs="宋体"/>
          <w:color w:val="000000"/>
          <w:sz w:val="28"/>
          <w:szCs w:val="28"/>
          <w:lang w:val="en-US" w:eastAsia="zh-CN"/>
        </w:rPr>
        <w:t>8</w:t>
      </w:r>
      <w:r>
        <w:rPr>
          <w:rFonts w:ascii="宋体" w:hAnsi="宋体" w:cs="宋体"/>
          <w:color w:val="000000"/>
          <w:sz w:val="28"/>
          <w:szCs w:val="28"/>
        </w:rPr>
        <w:t>有下列情形之一的，</w:t>
      </w:r>
      <w:r>
        <w:rPr>
          <w:rFonts w:hint="eastAsia" w:ascii="宋体" w:hAnsi="宋体" w:cs="宋体"/>
          <w:color w:val="000000"/>
          <w:sz w:val="28"/>
          <w:szCs w:val="28"/>
          <w:lang w:eastAsia="zh-CN"/>
        </w:rPr>
        <w:t>磋商保证金</w:t>
      </w:r>
      <w:r>
        <w:rPr>
          <w:rFonts w:ascii="宋体" w:hAnsi="宋体" w:cs="宋体"/>
          <w:color w:val="000000"/>
          <w:sz w:val="28"/>
          <w:szCs w:val="28"/>
        </w:rPr>
        <w:t>将不予退还</w:t>
      </w:r>
      <w:bookmarkEnd w:id="42"/>
      <w:r>
        <w:rPr>
          <w:rFonts w:ascii="宋体" w:hAnsi="宋体" w:cs="宋体"/>
          <w:color w:val="000000"/>
          <w:sz w:val="28"/>
          <w:szCs w:val="28"/>
        </w:rPr>
        <w:t>。采购</w:t>
      </w:r>
      <w:r>
        <w:rPr>
          <w:rFonts w:hint="eastAsia" w:ascii="宋体" w:hAnsi="宋体" w:cs="宋体"/>
          <w:color w:val="000000"/>
          <w:sz w:val="28"/>
          <w:szCs w:val="28"/>
          <w:lang w:val="en-US" w:eastAsia="zh-CN"/>
        </w:rPr>
        <w:t>代理机构</w:t>
      </w:r>
      <w:r>
        <w:rPr>
          <w:rFonts w:ascii="宋体" w:hAnsi="宋体" w:cs="宋体"/>
          <w:color w:val="000000"/>
          <w:sz w:val="28"/>
          <w:szCs w:val="28"/>
        </w:rPr>
        <w:t>有权扣留其</w:t>
      </w:r>
      <w:r>
        <w:rPr>
          <w:rFonts w:hint="eastAsia" w:ascii="宋体" w:hAnsi="宋体" w:cs="宋体"/>
          <w:color w:val="000000"/>
          <w:sz w:val="28"/>
          <w:szCs w:val="28"/>
          <w:lang w:eastAsia="zh-CN"/>
        </w:rPr>
        <w:t>磋商保证金</w:t>
      </w:r>
      <w:r>
        <w:rPr>
          <w:rFonts w:ascii="宋体" w:hAnsi="宋体" w:cs="宋体"/>
          <w:color w:val="000000"/>
          <w:sz w:val="28"/>
          <w:szCs w:val="28"/>
        </w:rPr>
        <w:t>，以弥补采购人损失。</w:t>
      </w:r>
    </w:p>
    <w:p w14:paraId="075856C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44" w:name="_Hlk522172370"/>
      <w:r>
        <w:rPr>
          <w:rFonts w:ascii="宋体" w:hAnsi="宋体" w:cs="宋体"/>
          <w:color w:val="000000"/>
          <w:sz w:val="28"/>
          <w:szCs w:val="28"/>
        </w:rPr>
        <w:t>（1）供应商在规定的投标有效期内撤销或修改其响应文件。</w:t>
      </w:r>
    </w:p>
    <w:p w14:paraId="7E622ED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（2）成交人在收到成交通知书后，无正当理由拒签合同协议书或未按磋商文件规定提交履约担保。</w:t>
      </w:r>
    </w:p>
    <w:bookmarkEnd w:id="43"/>
    <w:bookmarkEnd w:id="44"/>
    <w:p w14:paraId="1E94BEB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（3）供应商与采购人、其他供应商或者采购代理机构恶意串通的。</w:t>
      </w:r>
    </w:p>
    <w:p w14:paraId="28FCBDB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（4）供应商成交后无正当理由放弃成交的</w:t>
      </w:r>
    </w:p>
    <w:p w14:paraId="180A694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（5）供应商成交后未能按规定交纳磋商代理服务费。</w:t>
      </w:r>
    </w:p>
    <w:p w14:paraId="51761F4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（6）供应商成交后将成交项目转让给他人，未经采购人同意，将成交项目分包给他人的。</w:t>
      </w:r>
    </w:p>
    <w:p w14:paraId="7F03662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（7）供应商在响应文件中提供伪造、套改、虚假资料参加投标的。</w:t>
      </w:r>
    </w:p>
    <w:p w14:paraId="2DF6C0C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（8）供应商不按法定程序进行质疑和投诉,捏造事实，查无实据，造成恶劣影响，导致采购活动无法正常进行的。</w:t>
      </w:r>
    </w:p>
    <w:p w14:paraId="6B8AA17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（9）磋商文件规定的其他情形。</w:t>
      </w:r>
    </w:p>
    <w:p w14:paraId="047C803A">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3.5 资格审查内容</w:t>
      </w:r>
    </w:p>
    <w:p w14:paraId="60F020B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（1）基本资格条件：</w:t>
      </w:r>
    </w:p>
    <w:p w14:paraId="1682C90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符合《中华人民共和国政府采购法》第二十二条的规定；</w:t>
      </w:r>
    </w:p>
    <w:p w14:paraId="61B7186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（2）特定资格条件：</w:t>
      </w:r>
    </w:p>
    <w:p w14:paraId="7DE9E6C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 xml:space="preserve">1.具有独立承担民事责任能力的法人、其他组织或自然人，并出具合法有效的营业执照或事业单位法人证书等国家规定的相关证明，自然人参与的提供其身份证明； </w:t>
      </w:r>
    </w:p>
    <w:p w14:paraId="66E2B6D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2.法定代表人授权委托书及被授权人身份证（法定代表人直接参加时，只须出示法定代表人身份证)；</w:t>
      </w:r>
    </w:p>
    <w:p w14:paraId="088ADC5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3.提供参加政府采购活动前3年内经营活动中没有重大违法记录声明；</w:t>
      </w:r>
    </w:p>
    <w:p w14:paraId="766B703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4.税收缴纳证明：自2026年1月1日以来已缴纳的至少一个月的纳税证明或完税证明，纳税证明或完税证明上应有代收机构或税务机关的公章。依法免税的供应商应提供相关文件证明；</w:t>
      </w:r>
    </w:p>
    <w:p w14:paraId="1EDF417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5.社会保障资金缴纳证明：自2026年1月1日以来已缴存的至少一个月的社会保障资金缴存单据或社保机构开具的社会保险参保缴费情况证明，依法不需要缴纳社会保障资金的供应商应提供相关文件证明；</w:t>
      </w:r>
    </w:p>
    <w:p w14:paraId="3606F07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3AD63BD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7.投标人须同时具备土地规划乙级(含乙级)以上资质和测绘乙级(含乙级)以上资质；</w:t>
      </w:r>
    </w:p>
    <w:p w14:paraId="219576C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8.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09BE2EF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9.提供磋商保证金的银行转账或电汇凭证并确保响应文件递交截止时间前到达采购文件指定账户；</w:t>
      </w:r>
    </w:p>
    <w:p w14:paraId="010AD62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10.本项目专门面向中小企业采购（提供中小企业声明函）； </w:t>
      </w:r>
    </w:p>
    <w:p w14:paraId="1786B44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11.本项目不接受联合体磋商。</w:t>
      </w:r>
    </w:p>
    <w:p w14:paraId="446C4FD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3.6 备选投标方案</w:t>
      </w:r>
    </w:p>
    <w:p w14:paraId="683F216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除供应商须知前附表另有规定外，供应商不得递交备选投标方案。</w:t>
      </w:r>
    </w:p>
    <w:p w14:paraId="5B93463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3.7 磋商响应文件的编制</w:t>
      </w:r>
    </w:p>
    <w:p w14:paraId="4D1095A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bookmarkStart w:id="45" w:name="_Toc5332"/>
      <w:bookmarkStart w:id="46" w:name="_Toc23417"/>
      <w:bookmarkStart w:id="47" w:name="_Toc420591648"/>
      <w:bookmarkStart w:id="48" w:name="_Toc421778370"/>
      <w:bookmarkStart w:id="49" w:name="_Toc7791"/>
      <w:bookmarkStart w:id="50" w:name="_Toc425240469"/>
      <w:r>
        <w:rPr>
          <w:rFonts w:hint="eastAsia" w:ascii="宋体" w:hAnsi="宋体" w:eastAsia="宋体" w:cs="宋体"/>
          <w:b w:val="0"/>
          <w:bCs/>
          <w:color w:val="000000"/>
          <w:sz w:val="28"/>
          <w:szCs w:val="28"/>
        </w:rPr>
        <w:t>3.7.1 磋商响应文件应按第六章“磋商响应文件格式”进行编写，如有必要，可以增加附页，作为磋商响应文件的组成部分。</w:t>
      </w:r>
    </w:p>
    <w:p w14:paraId="54C3C74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3.7.2 磋商响应文件应当对磋商文件有关</w:t>
      </w:r>
      <w:r>
        <w:rPr>
          <w:rFonts w:hint="eastAsia" w:ascii="宋体" w:hAnsi="宋体" w:eastAsia="宋体" w:cs="宋体"/>
          <w:b w:val="0"/>
          <w:bCs/>
          <w:color w:val="000000"/>
          <w:sz w:val="28"/>
          <w:szCs w:val="28"/>
          <w:lang w:eastAsia="zh-CN"/>
        </w:rPr>
        <w:t>服务期</w:t>
      </w:r>
      <w:r>
        <w:rPr>
          <w:rFonts w:hint="eastAsia" w:ascii="宋体" w:hAnsi="宋体" w:eastAsia="宋体" w:cs="宋体"/>
          <w:b w:val="0"/>
          <w:bCs/>
          <w:color w:val="000000"/>
          <w:sz w:val="28"/>
          <w:szCs w:val="28"/>
        </w:rPr>
        <w:t>、投标有效期、技术标准和要求、磋商范围等实质性内容作出响应。</w:t>
      </w:r>
    </w:p>
    <w:p w14:paraId="03FC1C2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3.7.3 磋商响应文件应尽量避免涂改、行间插字或删除。如果出现上述情况，改动之处应加盖供应商单位公章。</w:t>
      </w:r>
    </w:p>
    <w:p w14:paraId="15CC6FB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3.7.4 磋商响应文件正本壹份，副本份数见供应商须知前附表。正本和副本的封面上应清楚地标记“正本”或“副本”的字样。当副本和正本不一致时，以正本为准。</w:t>
      </w:r>
    </w:p>
    <w:p w14:paraId="675B566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3.7.5磋商响应文件的正本和副本必须全部打印装订成册，并编制目录，统一装订、编码，必须在每一页的下方清楚标明。</w:t>
      </w:r>
    </w:p>
    <w:p w14:paraId="0A6DBD3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3.7.6磋商响应文件须</w:t>
      </w:r>
      <w:r>
        <w:rPr>
          <w:rFonts w:hint="eastAsia" w:ascii="宋体" w:hAnsi="宋体" w:eastAsia="宋体" w:cs="宋体"/>
          <w:b w:val="0"/>
          <w:bCs/>
          <w:color w:val="000000"/>
          <w:sz w:val="28"/>
          <w:szCs w:val="28"/>
          <w:lang w:val="en-US" w:eastAsia="zh-CN"/>
        </w:rPr>
        <w:t>在指定页面</w:t>
      </w:r>
      <w:r>
        <w:rPr>
          <w:rFonts w:hint="eastAsia" w:ascii="宋体" w:hAnsi="宋体" w:eastAsia="宋体" w:cs="宋体"/>
          <w:b w:val="0"/>
          <w:bCs/>
          <w:color w:val="000000"/>
          <w:sz w:val="28"/>
          <w:szCs w:val="28"/>
        </w:rPr>
        <w:t>加盖供应商单位公章。</w:t>
      </w:r>
    </w:p>
    <w:p w14:paraId="34F30AC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w:t>
      </w:r>
      <w:r>
        <w:rPr>
          <w:rFonts w:hint="eastAsia" w:ascii="宋体" w:hAnsi="宋体" w:eastAsia="宋体" w:cs="宋体"/>
          <w:b w:val="0"/>
          <w:bCs/>
          <w:color w:val="000000"/>
          <w:sz w:val="28"/>
          <w:szCs w:val="28"/>
          <w:lang w:val="en-US" w:eastAsia="zh-CN"/>
        </w:rPr>
        <w:t>7</w:t>
      </w:r>
      <w:r>
        <w:rPr>
          <w:rFonts w:hint="eastAsia" w:ascii="宋体" w:hAnsi="宋体" w:eastAsia="宋体" w:cs="宋体"/>
          <w:b w:val="0"/>
          <w:bCs/>
          <w:color w:val="000000"/>
          <w:sz w:val="28"/>
          <w:szCs w:val="28"/>
        </w:rPr>
        <w:t>未按本章第3.7.1项至第3.7.</w:t>
      </w:r>
      <w:r>
        <w:rPr>
          <w:rFonts w:hint="eastAsia" w:ascii="宋体" w:hAnsi="宋体" w:cs="宋体"/>
          <w:b w:val="0"/>
          <w:bCs/>
          <w:color w:val="000000"/>
          <w:sz w:val="28"/>
          <w:szCs w:val="28"/>
          <w:lang w:val="en-US" w:eastAsia="zh-CN"/>
        </w:rPr>
        <w:t>6</w:t>
      </w:r>
      <w:r>
        <w:rPr>
          <w:rFonts w:hint="eastAsia" w:ascii="宋体" w:hAnsi="宋体" w:eastAsia="宋体" w:cs="宋体"/>
          <w:b w:val="0"/>
          <w:bCs/>
          <w:color w:val="000000"/>
          <w:sz w:val="28"/>
          <w:szCs w:val="28"/>
        </w:rPr>
        <w:t>项规定，出现任何一项未按要求编制的磋商响应文件，采购人（或采购代理机构）不予受理，磋商响应文件按无效文件处理。</w:t>
      </w:r>
    </w:p>
    <w:p w14:paraId="2E2FFB40">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lang w:val="en-US" w:eastAsia="zh-CN"/>
        </w:rPr>
        <w:t>3.7.8</w:t>
      </w:r>
      <w:r>
        <w:rPr>
          <w:rFonts w:hint="eastAsia" w:ascii="宋体" w:hAnsi="宋体" w:eastAsia="宋体" w:cs="宋体"/>
          <w:b/>
          <w:bCs w:val="0"/>
          <w:color w:val="000000"/>
          <w:sz w:val="28"/>
          <w:szCs w:val="28"/>
        </w:rPr>
        <w:t>关于投标文件的雷同性分析</w:t>
      </w:r>
    </w:p>
    <w:p w14:paraId="1C35BC0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的电子投标文件进行雷同性分析。</w:t>
      </w:r>
    </w:p>
    <w:p w14:paraId="5AC63E0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1224B45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若“文件制作机器码”一致，则表明不同投标</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的电子投标文件出自同一台制作设备，根据《陕西省财政厅关于政府采购有关政策的复函》（陕财办采函〔2019〕18号），该情形可以视为投标</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串通投标，其投标无效。</w:t>
      </w:r>
    </w:p>
    <w:p w14:paraId="35E5D43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若“文件创建标识码”一致，则表示不同投标</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使用投标文件制作软件时，使用同一源工程文件，该情形建议由评标委员会结合项目情况综合判定。</w:t>
      </w:r>
    </w:p>
    <w:p w14:paraId="56EFA7C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在投标截止时间之后，</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不得对其投标文件做任何修改。</w:t>
      </w:r>
    </w:p>
    <w:p w14:paraId="4A5C3AEF">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sz w:val="28"/>
          <w:szCs w:val="28"/>
        </w:rPr>
      </w:pPr>
      <w:bookmarkStart w:id="51" w:name="_Toc22296"/>
      <w:r>
        <w:rPr>
          <w:rFonts w:hint="eastAsia" w:ascii="宋体" w:hAnsi="宋体" w:eastAsia="宋体" w:cs="宋体"/>
          <w:b/>
          <w:color w:val="000000"/>
          <w:sz w:val="28"/>
          <w:szCs w:val="28"/>
        </w:rPr>
        <w:t>4．投标</w:t>
      </w:r>
      <w:bookmarkEnd w:id="51"/>
    </w:p>
    <w:p w14:paraId="34D747D6">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4.</w:t>
      </w:r>
      <w:r>
        <w:rPr>
          <w:rFonts w:hint="eastAsia" w:ascii="宋体" w:hAnsi="宋体" w:eastAsia="宋体" w:cs="宋体"/>
          <w:b/>
          <w:color w:val="000000"/>
          <w:sz w:val="28"/>
          <w:szCs w:val="28"/>
          <w:lang w:val="en-US" w:eastAsia="zh-CN"/>
        </w:rPr>
        <w:t>1</w:t>
      </w:r>
      <w:r>
        <w:rPr>
          <w:rFonts w:hint="eastAsia" w:ascii="宋体" w:hAnsi="宋体" w:eastAsia="宋体" w:cs="宋体"/>
          <w:b/>
          <w:color w:val="000000"/>
          <w:sz w:val="28"/>
          <w:szCs w:val="28"/>
        </w:rPr>
        <w:t>磋商响应文件的递交</w:t>
      </w:r>
    </w:p>
    <w:p w14:paraId="53D5BF69">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kern w:val="2"/>
          <w:sz w:val="28"/>
          <w:szCs w:val="28"/>
          <w:lang w:val="en-US" w:eastAsia="zh-CN" w:bidi="ar-SA"/>
        </w:rPr>
        <w:t>（1）</w:t>
      </w:r>
      <w:r>
        <w:rPr>
          <w:rFonts w:hint="eastAsia" w:ascii="宋体" w:hAnsi="宋体" w:eastAsia="宋体" w:cs="宋体"/>
          <w:color w:val="000000"/>
          <w:sz w:val="28"/>
          <w:szCs w:val="28"/>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11BE0FD0">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kern w:val="2"/>
          <w:sz w:val="28"/>
          <w:szCs w:val="28"/>
          <w:lang w:val="en-US" w:eastAsia="zh-CN" w:bidi="ar-SA"/>
        </w:rPr>
        <w:t>（2）</w:t>
      </w:r>
      <w:r>
        <w:rPr>
          <w:rFonts w:hint="eastAsia" w:ascii="宋体" w:hAnsi="宋体" w:eastAsia="宋体" w:cs="宋体"/>
          <w:color w:val="000000"/>
          <w:sz w:val="28"/>
          <w:szCs w:val="28"/>
          <w:lang w:val="en-US" w:eastAsia="zh-CN"/>
        </w:rPr>
        <w:t>纸质投标文件递交要求：正本壹份，副本贰份</w:t>
      </w:r>
      <w:r>
        <w:rPr>
          <w:rFonts w:hint="eastAsia" w:ascii="宋体" w:hAnsi="宋体" w:eastAsia="宋体" w:cs="宋体"/>
          <w:b w:val="0"/>
          <w:bCs/>
          <w:color w:val="000000"/>
          <w:sz w:val="28"/>
          <w:szCs w:val="28"/>
          <w:lang w:eastAsia="zh-CN"/>
        </w:rPr>
        <w:t>（</w:t>
      </w:r>
      <w:r>
        <w:rPr>
          <w:rFonts w:hint="eastAsia" w:ascii="宋体" w:hAnsi="宋体" w:eastAsia="宋体" w:cs="宋体"/>
          <w:b w:val="0"/>
          <w:bCs/>
          <w:color w:val="000000"/>
          <w:sz w:val="28"/>
          <w:szCs w:val="28"/>
          <w:lang w:val="en-US" w:eastAsia="zh-CN"/>
        </w:rPr>
        <w:t>副本可采用正本的复印件</w:t>
      </w:r>
      <w:r>
        <w:rPr>
          <w:rFonts w:hint="eastAsia" w:ascii="宋体" w:hAnsi="宋体" w:eastAsia="宋体" w:cs="宋体"/>
          <w:b w:val="0"/>
          <w:bCs/>
          <w:color w:val="000000"/>
          <w:sz w:val="28"/>
          <w:szCs w:val="28"/>
          <w:lang w:eastAsia="zh-CN"/>
        </w:rPr>
        <w:t>），</w:t>
      </w:r>
      <w:r>
        <w:rPr>
          <w:rFonts w:hint="eastAsia" w:ascii="宋体" w:hAnsi="宋体" w:eastAsia="宋体" w:cs="宋体"/>
          <w:b w:val="0"/>
          <w:bCs/>
          <w:color w:val="000000"/>
          <w:sz w:val="28"/>
          <w:szCs w:val="28"/>
          <w:lang w:val="en-US" w:eastAsia="zh-CN"/>
        </w:rPr>
        <w:t>电子版U盘壹份</w:t>
      </w:r>
      <w:r>
        <w:rPr>
          <w:rFonts w:hint="eastAsia" w:ascii="宋体" w:hAnsi="宋体" w:eastAsia="宋体" w:cs="宋体"/>
          <w:color w:val="000000"/>
          <w:sz w:val="28"/>
          <w:szCs w:val="28"/>
          <w:lang w:val="en-US" w:eastAsia="zh-CN"/>
        </w:rPr>
        <w:t>。</w:t>
      </w:r>
    </w:p>
    <w:p w14:paraId="7FF873CE">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注：本项目纸质投标文件须留档保存，接受邮寄（纸质投标文件须与电子投标文件保持一致），开标结束后三日内邮寄到：延安市新区盛世花园北区12号楼一单元802室，电话：0911-8688810。</w:t>
      </w:r>
    </w:p>
    <w:p w14:paraId="3846431F">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4.</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rPr>
        <w:t xml:space="preserve"> 磋商响应文件的修改与撤回</w:t>
      </w:r>
    </w:p>
    <w:p w14:paraId="19985E50">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上传的电子投标文件有误或需要重新提交的，可先撤销已经上传的文件，然后重新上传新文件。</w:t>
      </w:r>
    </w:p>
    <w:p w14:paraId="1E3EB75F">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5.磋商</w:t>
      </w:r>
    </w:p>
    <w:p w14:paraId="0A2F7A89">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lang w:val="en-US" w:eastAsia="zh-CN"/>
        </w:rPr>
      </w:pPr>
      <w:bookmarkStart w:id="52" w:name="_Toc144974528"/>
      <w:bookmarkStart w:id="53" w:name="_Toc246996204"/>
      <w:bookmarkStart w:id="54" w:name="_Toc11197"/>
      <w:bookmarkStart w:id="55" w:name="_Toc179632578"/>
      <w:bookmarkStart w:id="56" w:name="_Toc19034"/>
      <w:bookmarkStart w:id="57" w:name="_Toc152045560"/>
      <w:bookmarkStart w:id="58" w:name="_Toc246996947"/>
      <w:bookmarkStart w:id="59" w:name="_Toc152042336"/>
      <w:bookmarkStart w:id="60" w:name="_Toc247085718"/>
      <w:bookmarkStart w:id="61" w:name="_Toc32417"/>
      <w:r>
        <w:rPr>
          <w:rFonts w:hint="eastAsia" w:ascii="宋体" w:hAnsi="宋体" w:eastAsia="宋体" w:cs="宋体"/>
          <w:b/>
          <w:bCs/>
          <w:color w:val="000000"/>
          <w:sz w:val="28"/>
          <w:szCs w:val="28"/>
          <w:lang w:val="en-US" w:eastAsia="zh-CN"/>
        </w:rPr>
        <w:t>5.1 磋商时间和地点</w:t>
      </w:r>
      <w:bookmarkEnd w:id="52"/>
      <w:bookmarkEnd w:id="53"/>
      <w:bookmarkEnd w:id="54"/>
      <w:bookmarkEnd w:id="55"/>
      <w:bookmarkEnd w:id="56"/>
      <w:bookmarkEnd w:id="57"/>
      <w:bookmarkEnd w:id="58"/>
      <w:bookmarkEnd w:id="59"/>
      <w:bookmarkEnd w:id="60"/>
      <w:bookmarkEnd w:id="61"/>
    </w:p>
    <w:p w14:paraId="52EA0687">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投标人须知前附表规定的地点和时间公开开标，并邀请所有投标人的法定代表人或其委托代理人准时参加。</w:t>
      </w:r>
    </w:p>
    <w:p w14:paraId="60BDBDA7">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lang w:val="en-US" w:eastAsia="zh-CN"/>
        </w:rPr>
      </w:pPr>
      <w:bookmarkStart w:id="62" w:name="_Toc152045561"/>
      <w:bookmarkStart w:id="63" w:name="_Toc246996948"/>
      <w:bookmarkStart w:id="64" w:name="_Toc144974529"/>
      <w:bookmarkStart w:id="65" w:name="_Toc246996205"/>
      <w:bookmarkStart w:id="66" w:name="_Toc20464"/>
      <w:bookmarkStart w:id="67" w:name="_Toc152042337"/>
      <w:bookmarkStart w:id="68" w:name="_Toc179632579"/>
      <w:bookmarkStart w:id="69" w:name="_Toc3352"/>
      <w:bookmarkStart w:id="70" w:name="_Toc27426"/>
      <w:bookmarkStart w:id="71" w:name="_Toc247085719"/>
      <w:r>
        <w:rPr>
          <w:rFonts w:hint="eastAsia" w:ascii="宋体" w:hAnsi="宋体" w:eastAsia="宋体" w:cs="宋体"/>
          <w:b/>
          <w:bCs/>
          <w:color w:val="000000"/>
          <w:sz w:val="28"/>
          <w:szCs w:val="28"/>
          <w:lang w:val="en-US" w:eastAsia="zh-CN"/>
        </w:rPr>
        <w:t>5.2 磋商程序</w:t>
      </w:r>
      <w:bookmarkEnd w:id="62"/>
      <w:bookmarkEnd w:id="63"/>
      <w:bookmarkEnd w:id="64"/>
      <w:bookmarkEnd w:id="65"/>
      <w:bookmarkEnd w:id="66"/>
      <w:bookmarkEnd w:id="67"/>
      <w:bookmarkEnd w:id="68"/>
      <w:bookmarkEnd w:id="69"/>
      <w:bookmarkEnd w:id="70"/>
      <w:bookmarkEnd w:id="71"/>
    </w:p>
    <w:p w14:paraId="752B01E7">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1.采购人和采购代理机构将按投标人须知前附表中规定的开标时间和地点组织开标。投标人不足3家的，不予开标。</w:t>
      </w:r>
    </w:p>
    <w:p w14:paraId="46B09370">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2.开标时，由采购人和代理机构组织各投标人线上解密，并在线上公示开标记录。若投标人在系统规定时间内未完成解密，或因投标人原因造成其投标文件无法解密（或无法打开的），按无效投标处理。</w:t>
      </w:r>
    </w:p>
    <w:p w14:paraId="48D924B9">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bookmarkStart w:id="72" w:name="_Toc7178"/>
      <w:bookmarkStart w:id="73" w:name="_Toc24451"/>
      <w:bookmarkStart w:id="74" w:name="_Toc21836"/>
      <w:r>
        <w:rPr>
          <w:rFonts w:hint="eastAsia" w:ascii="宋体" w:hAnsi="宋体" w:eastAsia="宋体" w:cs="宋体"/>
          <w:b w:val="0"/>
          <w:bCs w:val="0"/>
          <w:color w:val="000000"/>
          <w:sz w:val="28"/>
          <w:szCs w:val="28"/>
          <w:lang w:val="en-US" w:eastAsia="zh-CN"/>
        </w:rPr>
        <w:t>3.本项目采用“不见面开标”具体流程如下：</w:t>
      </w:r>
    </w:p>
    <w:p w14:paraId="2594FB57">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3.1、项目开标时，投标人使用CA锁登录交易中心网站不见面开标大厅，通过不见面开标大厅参加开标，使用不见面开标系统与招标人、招标代理机构现场工作人员进行互动交流、澄清答疑活动。提交投标文件截止时间前，招标代理机构、交易中心工作人员提前一小时进入不见面开标系统，投标人需在开标前最少一个小时登录全国公共资源交易平台（陕西省·延安市）首页选择“不见面开标·〉 政府采购不见面开标大厅”自行调试，并按照全国公共资源交易平台（陕西省·延安市）-电子交易平台-政府采购交易系统要求进行投标文件解密，远程观看开标直播。如遇困难，请拨打系统平台技术支持电话：051258188039。</w:t>
      </w:r>
    </w:p>
    <w:p w14:paraId="0D6F117C">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3.2、提交投标文件截止时间后，由主持人通过系统发出投标文件解密指令，投标人按规定时间自行实施远程解密，解密限定在规定时间内完成。</w:t>
      </w:r>
    </w:p>
    <w:p w14:paraId="0E4E3B1D">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3.3、开标过程中，投标人应当重点关注不见面开标系统相关流程和互动区消息，并根据提醒及时进行投标文件在线解密等操作。</w:t>
      </w:r>
    </w:p>
    <w:p w14:paraId="08A901B7">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3.4、项目进入投标文件在线解密阶段后，投标人须在规定的时限内对电子投标文件进行解密，逾期系统将拒绝操作。解密时所用CA锁应与加密投标文件时所用CA锁为同一锁，且在正常使用期内，否则将无法解密。</w:t>
      </w:r>
    </w:p>
    <w:p w14:paraId="6CBFCE31">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3.5、因投标人自身原因未能按时完成投标文件解密，视为投标人放弃该项目投标，其投标文件将被退回；因交易中心不见面开标系统原因，导致投标人无法按时完成投标文件解密的，交易中心可根据实际情况相应延迟解密时间或调整开标时间。</w:t>
      </w:r>
    </w:p>
    <w:p w14:paraId="74812E9D">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3.6、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无效处理。</w:t>
      </w:r>
    </w:p>
    <w:p w14:paraId="4C49B3F0">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5.3开标异议</w:t>
      </w:r>
      <w:bookmarkEnd w:id="72"/>
      <w:bookmarkEnd w:id="73"/>
      <w:bookmarkEnd w:id="74"/>
    </w:p>
    <w:p w14:paraId="6669AD5E">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cs="宋体"/>
          <w:b/>
          <w:color w:val="000000"/>
          <w:sz w:val="28"/>
          <w:szCs w:val="28"/>
          <w:lang w:val="en-US" w:eastAsia="zh-CN"/>
        </w:rPr>
      </w:pPr>
      <w:r>
        <w:rPr>
          <w:rFonts w:hint="eastAsia" w:ascii="宋体" w:hAnsi="宋体" w:eastAsia="宋体" w:cs="宋体"/>
          <w:color w:val="000000"/>
          <w:sz w:val="28"/>
          <w:szCs w:val="28"/>
          <w:lang w:val="en-US" w:eastAsia="zh-CN"/>
        </w:rPr>
        <w:t>标人代表对开标过程和开标记录有疑义，以及认为开标现场采购人、采购代理机构相关工作人员有需要回避的情形，应在开标大厅当场提出询问或回避申请，若投标人在开标会议结束前，未提出疑义，视其对开标过程和开标记录无疑义。</w:t>
      </w:r>
    </w:p>
    <w:p w14:paraId="5AA99434">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r>
        <w:rPr>
          <w:rFonts w:hint="eastAsia" w:ascii="宋体" w:hAnsi="宋体" w:cs="宋体"/>
          <w:b/>
          <w:color w:val="000000"/>
          <w:sz w:val="28"/>
          <w:szCs w:val="28"/>
          <w:lang w:val="en-US" w:eastAsia="zh-CN"/>
        </w:rPr>
        <w:t>6</w:t>
      </w:r>
      <w:r>
        <w:rPr>
          <w:rFonts w:ascii="宋体" w:hAnsi="宋体" w:cs="宋体"/>
          <w:b/>
          <w:color w:val="000000"/>
          <w:sz w:val="28"/>
          <w:szCs w:val="28"/>
        </w:rPr>
        <w:t>．评标</w:t>
      </w:r>
      <w:bookmarkEnd w:id="45"/>
      <w:bookmarkEnd w:id="46"/>
      <w:bookmarkEnd w:id="47"/>
      <w:bookmarkEnd w:id="48"/>
      <w:bookmarkEnd w:id="49"/>
      <w:bookmarkEnd w:id="50"/>
    </w:p>
    <w:p w14:paraId="0DA3C7A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6</w:t>
      </w:r>
      <w:r>
        <w:rPr>
          <w:rFonts w:ascii="宋体" w:hAnsi="宋体" w:cs="宋体"/>
          <w:b/>
          <w:color w:val="000000"/>
          <w:sz w:val="28"/>
          <w:szCs w:val="28"/>
        </w:rPr>
        <w:t>.1 磋商小组</w:t>
      </w:r>
    </w:p>
    <w:p w14:paraId="024DDF7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6</w:t>
      </w:r>
      <w:r>
        <w:rPr>
          <w:rFonts w:ascii="宋体" w:hAnsi="宋体" w:cs="宋体"/>
          <w:color w:val="000000"/>
          <w:sz w:val="28"/>
          <w:szCs w:val="28"/>
        </w:rPr>
        <w:t xml:space="preserve">.1.1 </w:t>
      </w:r>
      <w:r>
        <w:rPr>
          <w:rFonts w:hint="eastAsia" w:ascii="宋体" w:hAnsi="宋体" w:cs="宋体"/>
          <w:color w:val="000000"/>
          <w:sz w:val="28"/>
          <w:szCs w:val="28"/>
          <w:lang w:val="en-US" w:eastAsia="zh-CN"/>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00604C4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.1.2 磋商小组成员有下列情形之一的，应当回避：</w:t>
      </w:r>
    </w:p>
    <w:p w14:paraId="1AB180B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(1）供应商或供应商的主要负责人的近亲属；</w:t>
      </w:r>
    </w:p>
    <w:p w14:paraId="1DEBED2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(2）项目主管部门或者行政监督部门的人员；</w:t>
      </w:r>
    </w:p>
    <w:p w14:paraId="5919581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(3）与供应商有经济利益关系，可能影响对投标公正评审的；</w:t>
      </w:r>
    </w:p>
    <w:p w14:paraId="642AAF8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(4）曾因在招标、评标以及其他与招标投标有关活动中从事违法行为而受过行政处罚或刑事处罚的。</w:t>
      </w:r>
    </w:p>
    <w:p w14:paraId="10FF4BF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6</w:t>
      </w:r>
      <w:r>
        <w:rPr>
          <w:rFonts w:ascii="宋体" w:hAnsi="宋体" w:cs="宋体"/>
          <w:b/>
          <w:color w:val="000000"/>
          <w:sz w:val="28"/>
          <w:szCs w:val="28"/>
        </w:rPr>
        <w:t>.2 评标原则</w:t>
      </w:r>
    </w:p>
    <w:p w14:paraId="39BD735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评标活动遵循公平、公正、科学和择优的原则。</w:t>
      </w:r>
    </w:p>
    <w:p w14:paraId="27352B54">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6</w:t>
      </w:r>
      <w:r>
        <w:rPr>
          <w:rFonts w:ascii="宋体" w:hAnsi="宋体" w:cs="宋体"/>
          <w:b/>
          <w:color w:val="000000"/>
          <w:sz w:val="28"/>
          <w:szCs w:val="28"/>
        </w:rPr>
        <w:t>.3 评标</w:t>
      </w:r>
    </w:p>
    <w:p w14:paraId="08D7C08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.3.1磋商小组按</w:t>
      </w:r>
      <w:r>
        <w:rPr>
          <w:rFonts w:ascii="宋体" w:hAnsi="宋体" w:cs="宋体"/>
          <w:sz w:val="28"/>
          <w:szCs w:val="28"/>
        </w:rPr>
        <w:t>照第三章“评标办法”规定的方法、评审因素、标准和程序对磋商响应文件进行评审。第三章</w:t>
      </w:r>
      <w:r>
        <w:rPr>
          <w:rFonts w:ascii="宋体" w:hAnsi="宋体" w:cs="宋体"/>
          <w:color w:val="000000"/>
          <w:sz w:val="28"/>
          <w:szCs w:val="28"/>
        </w:rPr>
        <w:t>“评标办法”没有规定的方法、评审因素和标准，不作为评标依据。</w:t>
      </w:r>
    </w:p>
    <w:p w14:paraId="4B84243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75" w:name="_Toc420591649"/>
      <w:bookmarkStart w:id="76" w:name="_Toc421778371"/>
      <w:bookmarkStart w:id="77" w:name="_Toc425240470"/>
      <w:r>
        <w:rPr>
          <w:rFonts w:hint="eastAsia" w:ascii="宋体" w:hAnsi="宋体" w:cs="宋体"/>
          <w:color w:val="000000"/>
          <w:sz w:val="28"/>
          <w:szCs w:val="28"/>
          <w:lang w:val="en-US" w:eastAsia="zh-CN"/>
        </w:rPr>
        <w:t>6</w:t>
      </w:r>
      <w:r>
        <w:rPr>
          <w:rFonts w:ascii="宋体" w:hAnsi="宋体" w:cs="宋体"/>
          <w:color w:val="000000"/>
          <w:sz w:val="28"/>
          <w:szCs w:val="28"/>
        </w:rPr>
        <w:t>.3.2政府采购评审专家应当遵守评审工作纪律，不得泄露评审文件、评审情况和评审中获悉的商业秘密。</w:t>
      </w:r>
    </w:p>
    <w:p w14:paraId="0EF33D7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评标委员会、竞争性谈判小组、竞争性磋商小组或者询价小组在评审过程中发现供应商有行贿、提供虚假材料或者串通等违法行为的，应当及时向财政部门报告。</w:t>
      </w:r>
    </w:p>
    <w:p w14:paraId="2B7E925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政府采购评审专家在评审过程中受到非法干预的，应当及时向财政、监察等部门举报。</w:t>
      </w:r>
    </w:p>
    <w:p w14:paraId="358536B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3.3评标委员会、竞争性谈判小组、竞争性磋商小组或者询价小组成员应当按照客观、公正、审慎的原则，根据采购文件规定的评审程序、评审方法和评审标准进行独立评审。采购文件内容违反国家有关强制性规定的，评标委员会、竞争性谈判小组、竞争性磋商小组或者询价小组应当停止评审并向采购人或者采购代理机构说明情况。</w:t>
      </w:r>
    </w:p>
    <w:p w14:paraId="2031DD8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委员会、竞争性谈判小组、竞争性磋商小组或者询价小组成员应当在评审报告上签字，对自己的评审意见承担法律责任。对评审报告有异议的，应当在评审报告上签署不同意见，并说明理由，否则视为同意评审报告。</w:t>
      </w:r>
    </w:p>
    <w:p w14:paraId="7C4171A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.3.4采购人、采购代理机构不得向评标委员会、竞争性谈判小组、竞争性磋商小组或者询价小组的评审专家作倾向性、误导性的解释或者说明。</w:t>
      </w:r>
    </w:p>
    <w:p w14:paraId="64B5BA5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.3.5采购代理机构应当自评审结束之日起2个工作日内将评审报告送交采购人。采购人应当自收到评审报告之日起5个工作日内在评审报告推荐的中标或者成交候选供应商中按顺序确定中标或者成交供应商。</w:t>
      </w:r>
    </w:p>
    <w:p w14:paraId="33FEF5D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人或者采购代理机构应当自中标、成交供应商确定之日起2个工作日内，发出中标、成交通知书，并在省级以上人民政府财政部门指定的媒体上公告中标、成交结果，招标文件、竞争性谈判文件、竞争性磋商文件、询价通知书随中标、成交结果同时公告。</w:t>
      </w:r>
    </w:p>
    <w:p w14:paraId="0F1673B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524034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78" w:name="_Hlk522178150"/>
      <w:r>
        <w:rPr>
          <w:rFonts w:hint="eastAsia" w:ascii="宋体" w:hAnsi="宋体" w:cs="宋体"/>
          <w:color w:val="000000"/>
          <w:sz w:val="28"/>
          <w:szCs w:val="28"/>
          <w:lang w:val="en-US" w:eastAsia="zh-CN"/>
        </w:rPr>
        <w:t>6</w:t>
      </w:r>
      <w:r>
        <w:rPr>
          <w:rFonts w:ascii="宋体" w:hAnsi="宋体" w:cs="宋体"/>
          <w:color w:val="000000"/>
          <w:sz w:val="28"/>
          <w:szCs w:val="28"/>
        </w:rPr>
        <w:t>.3.6 评标委员会成员应当依照</w:t>
      </w:r>
      <w:r>
        <w:rPr>
          <w:rFonts w:hint="eastAsia" w:ascii="宋体" w:hAnsi="宋体" w:cs="宋体"/>
          <w:color w:val="000000"/>
          <w:sz w:val="28"/>
          <w:szCs w:val="28"/>
          <w:lang w:eastAsia="zh-CN"/>
        </w:rPr>
        <w:t>政府采购法及其实施</w:t>
      </w:r>
      <w:r>
        <w:rPr>
          <w:rFonts w:ascii="宋体" w:hAnsi="宋体" w:cs="宋体"/>
          <w:color w:val="000000"/>
          <w:sz w:val="28"/>
          <w:szCs w:val="28"/>
        </w:rPr>
        <w:t>条例的规定，按照磋商文件规定的评标标准和方法，客观、公正地对响应文件提出评审意见。磋商文件没有规定的评标标准和方法不得作为评标的依据。</w:t>
      </w:r>
    </w:p>
    <w:p w14:paraId="22C4B68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委员会成员不得私下接触投标人，不得收受投标人给予的财物或者其他好处，不得向采购人征询确定成交人的意向，不得接受任何单位或者个人明示或者暗示提出的倾向或者排斥特定投标人的要求，不得有其他不客观、不公正履行职务的行为。</w:t>
      </w:r>
    </w:p>
    <w:p w14:paraId="1203937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.3.7有下列情形之一的，评标委员会应当否决其投标：</w:t>
      </w:r>
    </w:p>
    <w:p w14:paraId="5C4FF64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（一）</w:t>
      </w:r>
      <w:r>
        <w:rPr>
          <w:rFonts w:hint="eastAsia" w:ascii="宋体" w:hAnsi="宋体" w:cs="宋体"/>
          <w:color w:val="000000"/>
          <w:sz w:val="28"/>
          <w:szCs w:val="28"/>
          <w:lang w:eastAsia="zh-CN"/>
        </w:rPr>
        <w:t>响应文件</w:t>
      </w:r>
      <w:r>
        <w:rPr>
          <w:rFonts w:hint="eastAsia" w:ascii="宋体" w:hAnsi="宋体" w:cs="宋体"/>
          <w:color w:val="000000"/>
          <w:sz w:val="28"/>
          <w:szCs w:val="28"/>
        </w:rPr>
        <w:t>未经投标单位盖章和单位负责人签字；</w:t>
      </w:r>
    </w:p>
    <w:p w14:paraId="4A624ED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（二）投标联合体没有提交共同投标协议；</w:t>
      </w:r>
    </w:p>
    <w:p w14:paraId="41E64E6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（三）投标人不符合国家或者</w:t>
      </w:r>
      <w:r>
        <w:rPr>
          <w:rFonts w:hint="eastAsia" w:ascii="宋体" w:hAnsi="宋体" w:cs="宋体"/>
          <w:color w:val="000000"/>
          <w:sz w:val="28"/>
          <w:szCs w:val="28"/>
          <w:lang w:eastAsia="zh-CN"/>
        </w:rPr>
        <w:t>磋商文件</w:t>
      </w:r>
      <w:r>
        <w:rPr>
          <w:rFonts w:hint="eastAsia" w:ascii="宋体" w:hAnsi="宋体" w:cs="宋体"/>
          <w:color w:val="000000"/>
          <w:sz w:val="28"/>
          <w:szCs w:val="28"/>
        </w:rPr>
        <w:t>规定的资格条件；</w:t>
      </w:r>
    </w:p>
    <w:p w14:paraId="530B653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（四）同一投标人提交两个以上不同的</w:t>
      </w:r>
      <w:r>
        <w:rPr>
          <w:rFonts w:hint="eastAsia" w:ascii="宋体" w:hAnsi="宋体" w:cs="宋体"/>
          <w:color w:val="000000"/>
          <w:sz w:val="28"/>
          <w:szCs w:val="28"/>
          <w:lang w:eastAsia="zh-CN"/>
        </w:rPr>
        <w:t>响应文件</w:t>
      </w:r>
      <w:r>
        <w:rPr>
          <w:rFonts w:hint="eastAsia" w:ascii="宋体" w:hAnsi="宋体" w:cs="宋体"/>
          <w:color w:val="000000"/>
          <w:sz w:val="28"/>
          <w:szCs w:val="28"/>
        </w:rPr>
        <w:t>或者</w:t>
      </w:r>
      <w:r>
        <w:rPr>
          <w:rFonts w:hint="eastAsia" w:ascii="宋体" w:hAnsi="宋体" w:cs="宋体"/>
          <w:color w:val="000000"/>
          <w:sz w:val="28"/>
          <w:szCs w:val="28"/>
          <w:lang w:eastAsia="zh-CN"/>
        </w:rPr>
        <w:t>磋商报价</w:t>
      </w:r>
      <w:r>
        <w:rPr>
          <w:rFonts w:hint="eastAsia" w:ascii="宋体" w:hAnsi="宋体" w:cs="宋体"/>
          <w:color w:val="000000"/>
          <w:sz w:val="28"/>
          <w:szCs w:val="28"/>
        </w:rPr>
        <w:t>，但</w:t>
      </w:r>
      <w:r>
        <w:rPr>
          <w:rFonts w:hint="eastAsia" w:ascii="宋体" w:hAnsi="宋体" w:cs="宋体"/>
          <w:color w:val="000000"/>
          <w:sz w:val="28"/>
          <w:szCs w:val="28"/>
          <w:lang w:eastAsia="zh-CN"/>
        </w:rPr>
        <w:t>磋商文件</w:t>
      </w:r>
      <w:r>
        <w:rPr>
          <w:rFonts w:hint="eastAsia" w:ascii="宋体" w:hAnsi="宋体" w:cs="宋体"/>
          <w:color w:val="000000"/>
          <w:sz w:val="28"/>
          <w:szCs w:val="28"/>
        </w:rPr>
        <w:t>要求提交备选投标的除外；</w:t>
      </w:r>
    </w:p>
    <w:p w14:paraId="2749408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（五）</w:t>
      </w:r>
      <w:r>
        <w:rPr>
          <w:rFonts w:hint="eastAsia" w:ascii="宋体" w:hAnsi="宋体" w:cs="宋体"/>
          <w:color w:val="000000"/>
          <w:sz w:val="28"/>
          <w:szCs w:val="28"/>
          <w:lang w:eastAsia="zh-CN"/>
        </w:rPr>
        <w:t>磋商报价</w:t>
      </w:r>
      <w:r>
        <w:rPr>
          <w:rFonts w:hint="eastAsia" w:ascii="宋体" w:hAnsi="宋体" w:cs="宋体"/>
          <w:color w:val="000000"/>
          <w:sz w:val="28"/>
          <w:szCs w:val="28"/>
        </w:rPr>
        <w:t>低于成本或者高于</w:t>
      </w:r>
      <w:r>
        <w:rPr>
          <w:rFonts w:hint="eastAsia" w:ascii="宋体" w:hAnsi="宋体" w:cs="宋体"/>
          <w:color w:val="000000"/>
          <w:sz w:val="28"/>
          <w:szCs w:val="28"/>
          <w:lang w:eastAsia="zh-CN"/>
        </w:rPr>
        <w:t>磋商文件</w:t>
      </w:r>
      <w:r>
        <w:rPr>
          <w:rFonts w:hint="eastAsia" w:ascii="宋体" w:hAnsi="宋体" w:cs="宋体"/>
          <w:color w:val="000000"/>
          <w:sz w:val="28"/>
          <w:szCs w:val="28"/>
        </w:rPr>
        <w:t>设定的最高投标限价；</w:t>
      </w:r>
    </w:p>
    <w:p w14:paraId="7F3CE24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（六）</w:t>
      </w:r>
      <w:r>
        <w:rPr>
          <w:rFonts w:hint="eastAsia" w:ascii="宋体" w:hAnsi="宋体" w:cs="宋体"/>
          <w:color w:val="000000"/>
          <w:sz w:val="28"/>
          <w:szCs w:val="28"/>
          <w:lang w:eastAsia="zh-CN"/>
        </w:rPr>
        <w:t>响应文件</w:t>
      </w:r>
      <w:r>
        <w:rPr>
          <w:rFonts w:hint="eastAsia" w:ascii="宋体" w:hAnsi="宋体" w:cs="宋体"/>
          <w:color w:val="000000"/>
          <w:sz w:val="28"/>
          <w:szCs w:val="28"/>
        </w:rPr>
        <w:t>没有对</w:t>
      </w:r>
      <w:r>
        <w:rPr>
          <w:rFonts w:hint="eastAsia" w:ascii="宋体" w:hAnsi="宋体" w:cs="宋体"/>
          <w:color w:val="000000"/>
          <w:sz w:val="28"/>
          <w:szCs w:val="28"/>
          <w:lang w:eastAsia="zh-CN"/>
        </w:rPr>
        <w:t>磋商文件</w:t>
      </w:r>
      <w:r>
        <w:rPr>
          <w:rFonts w:hint="eastAsia" w:ascii="宋体" w:hAnsi="宋体" w:cs="宋体"/>
          <w:color w:val="000000"/>
          <w:sz w:val="28"/>
          <w:szCs w:val="28"/>
        </w:rPr>
        <w:t>的实质性要求和条件作出响应；</w:t>
      </w:r>
    </w:p>
    <w:p w14:paraId="3AF0D70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rPr>
        <w:t>（七）投标人有串通投标、弄虚作假、行贿等违法行为。</w:t>
      </w:r>
    </w:p>
    <w:p w14:paraId="3C5989B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3.8响应文件中有含义不明确的内容、明显文字或者计算错误，评标委员会认为需要投标人作出必要澄清、说明的，应当书面通知该投标人。投标人的澄清、说明应当采用书面形式，并不得超出响应文件的范围或者改变响应文件的实质性内容。</w:t>
      </w:r>
    </w:p>
    <w:p w14:paraId="405E4D5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评标委员会不得暗示或者诱导投标人作出澄清、说明，不得接受投标人主动提出的澄清、说明。</w:t>
      </w:r>
    </w:p>
    <w:bookmarkEnd w:id="78"/>
    <w:p w14:paraId="782956F7">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bookmarkStart w:id="79" w:name="_Toc21577"/>
      <w:bookmarkStart w:id="80" w:name="_Toc2520"/>
      <w:bookmarkStart w:id="81" w:name="_Toc31835"/>
      <w:r>
        <w:rPr>
          <w:rFonts w:hint="eastAsia" w:ascii="宋体" w:hAnsi="宋体" w:cs="宋体"/>
          <w:b/>
          <w:color w:val="000000"/>
          <w:sz w:val="28"/>
          <w:szCs w:val="28"/>
          <w:lang w:val="en-US" w:eastAsia="zh-CN"/>
        </w:rPr>
        <w:t>7</w:t>
      </w:r>
      <w:r>
        <w:rPr>
          <w:rFonts w:ascii="宋体" w:hAnsi="宋体" w:cs="宋体"/>
          <w:b/>
          <w:color w:val="000000"/>
          <w:sz w:val="28"/>
          <w:szCs w:val="28"/>
        </w:rPr>
        <w:t>．合同授予</w:t>
      </w:r>
      <w:bookmarkEnd w:id="75"/>
      <w:bookmarkEnd w:id="76"/>
      <w:bookmarkEnd w:id="77"/>
      <w:bookmarkEnd w:id="79"/>
      <w:bookmarkEnd w:id="80"/>
      <w:bookmarkEnd w:id="81"/>
    </w:p>
    <w:p w14:paraId="5D864BA8">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7</w:t>
      </w:r>
      <w:r>
        <w:rPr>
          <w:rFonts w:ascii="宋体" w:hAnsi="宋体" w:cs="宋体"/>
          <w:b/>
          <w:color w:val="000000"/>
          <w:sz w:val="28"/>
          <w:szCs w:val="28"/>
        </w:rPr>
        <w:t>.1 定标方式</w:t>
      </w:r>
    </w:p>
    <w:p w14:paraId="7F86114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bookmarkStart w:id="82" w:name="_Hlk522179251"/>
      <w:r>
        <w:rPr>
          <w:rFonts w:hint="eastAsia" w:ascii="宋体" w:hAnsi="宋体" w:eastAsia="宋体" w:cs="宋体"/>
          <w:color w:val="000000"/>
          <w:sz w:val="28"/>
          <w:szCs w:val="28"/>
        </w:rPr>
        <w:t>7.1.1除供应商须知前附表规定评标委员会直接确定成交供应商外，采购人依据磋商小组推荐的成交候选供应商确定成交供应商，磋商小组推荐成交候选供应商的人数见供应商须知前附表。</w:t>
      </w:r>
    </w:p>
    <w:p w14:paraId="272A87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7.1.2评标完成后，</w:t>
      </w:r>
      <w:r>
        <w:rPr>
          <w:rFonts w:hint="eastAsia" w:ascii="宋体" w:hAnsi="宋体" w:cs="宋体"/>
          <w:color w:val="000000"/>
          <w:sz w:val="28"/>
          <w:szCs w:val="28"/>
          <w:lang w:val="en-US" w:eastAsia="zh-CN"/>
        </w:rPr>
        <w:t>磋商小组</w:t>
      </w:r>
      <w:r>
        <w:rPr>
          <w:rFonts w:hint="eastAsia" w:ascii="宋体" w:hAnsi="宋体" w:eastAsia="宋体" w:cs="宋体"/>
          <w:color w:val="000000"/>
          <w:sz w:val="28"/>
          <w:szCs w:val="28"/>
        </w:rPr>
        <w:t>应当向</w:t>
      </w:r>
      <w:r>
        <w:rPr>
          <w:rFonts w:hint="eastAsia" w:ascii="宋体" w:hAnsi="宋体" w:cs="宋体"/>
          <w:color w:val="000000"/>
          <w:sz w:val="28"/>
          <w:szCs w:val="28"/>
          <w:lang w:val="en-US" w:eastAsia="zh-CN"/>
        </w:rPr>
        <w:t>采购</w:t>
      </w:r>
      <w:r>
        <w:rPr>
          <w:rFonts w:hint="eastAsia" w:ascii="宋体" w:hAnsi="宋体" w:eastAsia="宋体" w:cs="宋体"/>
          <w:color w:val="000000"/>
          <w:sz w:val="28"/>
          <w:szCs w:val="28"/>
        </w:rPr>
        <w:t>人提交书面评</w:t>
      </w:r>
      <w:r>
        <w:rPr>
          <w:rFonts w:hint="eastAsia" w:ascii="宋体" w:hAnsi="宋体" w:cs="宋体"/>
          <w:color w:val="000000"/>
          <w:sz w:val="28"/>
          <w:szCs w:val="28"/>
          <w:lang w:val="en-US" w:eastAsia="zh-CN"/>
        </w:rPr>
        <w:t>审</w:t>
      </w:r>
      <w:r>
        <w:rPr>
          <w:rFonts w:hint="eastAsia" w:ascii="宋体" w:hAnsi="宋体" w:eastAsia="宋体" w:cs="宋体"/>
          <w:color w:val="000000"/>
          <w:sz w:val="28"/>
          <w:szCs w:val="28"/>
        </w:rPr>
        <w:t>报告和</w:t>
      </w:r>
      <w:r>
        <w:rPr>
          <w:rFonts w:hint="eastAsia" w:ascii="宋体" w:hAnsi="宋体" w:cs="宋体"/>
          <w:color w:val="000000"/>
          <w:sz w:val="28"/>
          <w:szCs w:val="28"/>
          <w:lang w:eastAsia="zh-CN"/>
        </w:rPr>
        <w:t>成交</w:t>
      </w:r>
      <w:r>
        <w:rPr>
          <w:rFonts w:hint="eastAsia" w:ascii="宋体" w:hAnsi="宋体" w:eastAsia="宋体" w:cs="宋体"/>
          <w:color w:val="000000"/>
          <w:sz w:val="28"/>
          <w:szCs w:val="28"/>
        </w:rPr>
        <w:t>候选人名单。</w:t>
      </w:r>
    </w:p>
    <w:p w14:paraId="23A9C7E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eastAsia="宋体" w:cs="宋体"/>
          <w:color w:val="000000"/>
          <w:sz w:val="28"/>
          <w:szCs w:val="28"/>
        </w:rPr>
        <w:t xml:space="preserve"> 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cs="宋体"/>
          <w:color w:val="000000"/>
          <w:sz w:val="28"/>
          <w:szCs w:val="28"/>
          <w:lang w:val="en-US" w:eastAsia="zh-CN"/>
        </w:rPr>
        <w:t xml:space="preserve">  </w:t>
      </w:r>
    </w:p>
    <w:p w14:paraId="69B6970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7.1.3中标或者成交供应商拒绝与采购人签订合同的，采购人可以按照评审报告推荐的中标或者成交候选供应商名单排序，确定下一候选人为中标或者成交供应商，也可以重新开展政府采购活动。</w:t>
      </w:r>
    </w:p>
    <w:bookmarkEnd w:id="82"/>
    <w:p w14:paraId="6A53C36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7</w:t>
      </w:r>
      <w:r>
        <w:rPr>
          <w:rFonts w:ascii="宋体" w:hAnsi="宋体" w:cs="宋体"/>
          <w:b/>
          <w:color w:val="000000"/>
          <w:sz w:val="28"/>
          <w:szCs w:val="28"/>
        </w:rPr>
        <w:t>.2 成交通知</w:t>
      </w:r>
    </w:p>
    <w:p w14:paraId="155776E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sz w:val="28"/>
          <w:szCs w:val="28"/>
          <w:lang w:val="en-US" w:eastAsia="zh-CN"/>
        </w:rPr>
      </w:pPr>
      <w:bookmarkStart w:id="83" w:name="_Hlk522179377"/>
      <w:r>
        <w:rPr>
          <w:rFonts w:hint="eastAsia" w:ascii="宋体" w:hAnsi="宋体" w:eastAsia="宋体" w:cs="宋体"/>
          <w:b w:val="0"/>
          <w:bCs/>
          <w:color w:val="000000"/>
          <w:sz w:val="28"/>
          <w:szCs w:val="28"/>
          <w:lang w:val="en-US" w:eastAsia="zh-CN"/>
        </w:rPr>
        <w:t>7.2.1采购代理机构应当在评审结束后2个工作日内将评审报告送采购人确认。</w:t>
      </w:r>
    </w:p>
    <w:p w14:paraId="2BAD0D8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采购人应当在收到评审报告后5个工作日，从评审报告推荐的成交候选供应商中，按照排序由高到低的原则确定成交供应商。</w:t>
      </w:r>
    </w:p>
    <w:p w14:paraId="7CA9948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采购人或者采购代理机构应当在成交供应商确定后2个工作日内，在省级以上财政部门指定的政府采购信息发布媒体上公告成交结果，同时向成交供应商发出成交通知书，并将磋商文件随成交结果同时公告。</w:t>
      </w:r>
    </w:p>
    <w:p w14:paraId="0662280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7.2.2成交结果公告公示期一个工作日，公示媒介《陕西省政府采购网》、《全国公共资源交易平台（陕西省·延安市）》上同时发布。</w:t>
      </w:r>
    </w:p>
    <w:p w14:paraId="055C2FF7">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7</w:t>
      </w:r>
      <w:r>
        <w:rPr>
          <w:rFonts w:hint="eastAsia" w:ascii="宋体" w:hAnsi="宋体" w:eastAsia="宋体" w:cs="宋体"/>
          <w:b/>
          <w:color w:val="000000"/>
          <w:sz w:val="28"/>
          <w:szCs w:val="28"/>
        </w:rPr>
        <w:t>.3 履约</w:t>
      </w:r>
      <w:r>
        <w:rPr>
          <w:rFonts w:hint="eastAsia" w:ascii="宋体" w:hAnsi="宋体" w:eastAsia="宋体" w:cs="宋体"/>
          <w:b/>
          <w:color w:val="000000"/>
          <w:sz w:val="28"/>
          <w:szCs w:val="28"/>
          <w:lang w:val="en-US" w:eastAsia="zh-CN"/>
        </w:rPr>
        <w:t>保证金</w:t>
      </w:r>
    </w:p>
    <w:p w14:paraId="32490FF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rPr>
      </w:pPr>
      <w:r>
        <w:rPr>
          <w:rFonts w:hint="eastAsia" w:ascii="宋体" w:hAnsi="宋体" w:eastAsia="宋体" w:cs="宋体"/>
          <w:sz w:val="28"/>
          <w:szCs w:val="28"/>
          <w:lang w:val="en-US" w:eastAsia="zh-CN"/>
        </w:rPr>
        <w:t>为保证采购合同的履行，确需收取履约保证金的，供应商应当以支票、汇票、本票或者金融机构、担保机构出具的保函等非现金形式提交。履约保证金收取比例应不超过合同金额的5%。中标或成交供应商合同主要义务履行完毕后，采购人或采购代理机构应按照合同约定及时退还。</w:t>
      </w:r>
    </w:p>
    <w:bookmarkEnd w:id="83"/>
    <w:p w14:paraId="50114E91">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7</w:t>
      </w:r>
      <w:r>
        <w:rPr>
          <w:rFonts w:ascii="宋体" w:hAnsi="宋体" w:cs="宋体"/>
          <w:b/>
          <w:color w:val="000000"/>
          <w:sz w:val="28"/>
          <w:szCs w:val="28"/>
        </w:rPr>
        <w:t>.</w:t>
      </w:r>
      <w:r>
        <w:rPr>
          <w:rFonts w:hint="eastAsia" w:ascii="宋体" w:hAnsi="宋体" w:cs="宋体"/>
          <w:b/>
          <w:color w:val="000000"/>
          <w:sz w:val="28"/>
          <w:szCs w:val="28"/>
          <w:lang w:val="en-US" w:eastAsia="zh-CN"/>
        </w:rPr>
        <w:t>4</w:t>
      </w:r>
      <w:r>
        <w:rPr>
          <w:rFonts w:ascii="宋体" w:hAnsi="宋体" w:cs="宋体"/>
          <w:b/>
          <w:color w:val="000000"/>
          <w:sz w:val="28"/>
          <w:szCs w:val="28"/>
        </w:rPr>
        <w:t xml:space="preserve"> 履约担保</w:t>
      </w:r>
    </w:p>
    <w:p w14:paraId="0B948E4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84" w:name="_Hlk522179747"/>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4</w:t>
      </w:r>
      <w:r>
        <w:rPr>
          <w:rFonts w:ascii="宋体" w:hAnsi="宋体" w:cs="宋体"/>
          <w:color w:val="000000"/>
          <w:sz w:val="28"/>
          <w:szCs w:val="28"/>
        </w:rPr>
        <w:t>.1在签订合同前，成</w:t>
      </w:r>
      <w:r>
        <w:rPr>
          <w:rFonts w:ascii="宋体" w:hAnsi="宋体" w:cs="宋体"/>
          <w:sz w:val="28"/>
          <w:szCs w:val="28"/>
        </w:rPr>
        <w:t>交供应商应按供应商须知前附表规定的金额、担保形式和磋商文件第四章“ 合同（拟签订</w:t>
      </w:r>
      <w:r>
        <w:rPr>
          <w:rFonts w:hint="eastAsia" w:ascii="宋体" w:hAnsi="宋体" w:cs="宋体"/>
          <w:sz w:val="28"/>
          <w:szCs w:val="28"/>
          <w:lang w:val="en-US" w:eastAsia="zh-CN"/>
        </w:rPr>
        <w:t>合同</w:t>
      </w:r>
      <w:r>
        <w:rPr>
          <w:rFonts w:ascii="宋体" w:hAnsi="宋体" w:cs="宋体"/>
          <w:sz w:val="28"/>
          <w:szCs w:val="28"/>
        </w:rPr>
        <w:t>文本）”</w:t>
      </w:r>
      <w:r>
        <w:rPr>
          <w:rFonts w:ascii="宋体" w:hAnsi="宋体" w:cs="宋体"/>
          <w:color w:val="000000"/>
          <w:sz w:val="28"/>
          <w:szCs w:val="28"/>
        </w:rPr>
        <w:t>规定的履约担保格式向采购人提交履约担保。</w:t>
      </w:r>
    </w:p>
    <w:p w14:paraId="3905125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4</w:t>
      </w:r>
      <w:r>
        <w:rPr>
          <w:rFonts w:ascii="宋体" w:hAnsi="宋体" w:cs="宋体"/>
          <w:color w:val="000000"/>
          <w:sz w:val="28"/>
          <w:szCs w:val="28"/>
        </w:rPr>
        <w:t>.2 成交供应商不能按本章第</w:t>
      </w: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4.1</w:t>
      </w:r>
      <w:r>
        <w:rPr>
          <w:rFonts w:ascii="宋体" w:hAnsi="宋体" w:cs="宋体"/>
          <w:color w:val="000000"/>
          <w:sz w:val="28"/>
          <w:szCs w:val="28"/>
        </w:rPr>
        <w:t>项要求提交履约担保的，视为放弃成交，其</w:t>
      </w:r>
      <w:r>
        <w:rPr>
          <w:rFonts w:hint="eastAsia" w:ascii="宋体" w:hAnsi="宋体" w:cs="宋体"/>
          <w:color w:val="000000"/>
          <w:sz w:val="28"/>
          <w:szCs w:val="28"/>
          <w:lang w:eastAsia="zh-CN"/>
        </w:rPr>
        <w:t>磋商保证金</w:t>
      </w:r>
      <w:r>
        <w:rPr>
          <w:rFonts w:ascii="宋体" w:hAnsi="宋体" w:cs="宋体"/>
          <w:color w:val="000000"/>
          <w:sz w:val="28"/>
          <w:szCs w:val="28"/>
        </w:rPr>
        <w:t>不予退还，给采购人造成的损失超过</w:t>
      </w:r>
      <w:r>
        <w:rPr>
          <w:rFonts w:hint="eastAsia" w:ascii="宋体" w:hAnsi="宋体" w:cs="宋体"/>
          <w:color w:val="000000"/>
          <w:sz w:val="28"/>
          <w:szCs w:val="28"/>
          <w:lang w:eastAsia="zh-CN"/>
        </w:rPr>
        <w:t>磋商保证金</w:t>
      </w:r>
      <w:r>
        <w:rPr>
          <w:rFonts w:ascii="宋体" w:hAnsi="宋体" w:cs="宋体"/>
          <w:color w:val="000000"/>
          <w:sz w:val="28"/>
          <w:szCs w:val="28"/>
        </w:rPr>
        <w:t>数额的，成交供应商还应当对超过部分予以赔偿。</w:t>
      </w:r>
    </w:p>
    <w:bookmarkEnd w:id="84"/>
    <w:p w14:paraId="3D80BB38">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7</w:t>
      </w:r>
      <w:r>
        <w:rPr>
          <w:rFonts w:ascii="宋体" w:hAnsi="宋体" w:cs="宋体"/>
          <w:b/>
          <w:color w:val="000000"/>
          <w:sz w:val="28"/>
          <w:szCs w:val="28"/>
        </w:rPr>
        <w:t>.</w:t>
      </w:r>
      <w:r>
        <w:rPr>
          <w:rFonts w:hint="eastAsia" w:ascii="宋体" w:hAnsi="宋体" w:cs="宋体"/>
          <w:b/>
          <w:color w:val="000000"/>
          <w:sz w:val="28"/>
          <w:szCs w:val="28"/>
          <w:lang w:val="en-US" w:eastAsia="zh-CN"/>
        </w:rPr>
        <w:t>5</w:t>
      </w:r>
      <w:r>
        <w:rPr>
          <w:rFonts w:ascii="宋体" w:hAnsi="宋体" w:cs="宋体"/>
          <w:b/>
          <w:color w:val="000000"/>
          <w:sz w:val="28"/>
          <w:szCs w:val="28"/>
        </w:rPr>
        <w:t xml:space="preserve"> 签订合同</w:t>
      </w:r>
    </w:p>
    <w:p w14:paraId="3134BEB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85" w:name="_Toc421778372"/>
      <w:bookmarkStart w:id="86" w:name="_Toc425240471"/>
      <w:bookmarkStart w:id="87" w:name="_Toc3772"/>
      <w:bookmarkStart w:id="88" w:name="_Toc420591650"/>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 xml:space="preserve">.1 </w:t>
      </w:r>
      <w:r>
        <w:rPr>
          <w:rFonts w:hint="eastAsia" w:ascii="宋体" w:hAnsi="宋体" w:cs="宋体"/>
          <w:color w:val="000000"/>
          <w:sz w:val="28"/>
          <w:szCs w:val="28"/>
          <w:lang w:val="en-US" w:eastAsia="zh-CN"/>
        </w:rPr>
        <w:t>采购人应尽量缩短采购合同签订时间，不晚于中标(成交)通知书发出之日起25日，鼓励在15日内按照采购文件确定的事项与中标(成交)供应商签订政府采购合同。采购人不得以自身原因等不合理理由拖延合同</w:t>
      </w:r>
      <w:r>
        <w:rPr>
          <w:rFonts w:ascii="宋体" w:hAnsi="宋体" w:cs="宋体"/>
          <w:color w:val="000000"/>
          <w:sz w:val="28"/>
          <w:szCs w:val="28"/>
        </w:rPr>
        <w:t>，根据磋商文件和成交供应商的磋商响应文件订立书面合同。成交供应商无正当理由拒签合同，采购人取消其成交资格，其磋商保证金不予退还。</w:t>
      </w:r>
    </w:p>
    <w:p w14:paraId="370C897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89" w:name="_Hlk522179758"/>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.2 发出成交通知书后，采购人无正当理由拒签合同的，采购人向成交供应商退还</w:t>
      </w:r>
      <w:r>
        <w:rPr>
          <w:rFonts w:hint="eastAsia" w:ascii="宋体" w:hAnsi="宋体" w:cs="宋体"/>
          <w:color w:val="000000"/>
          <w:sz w:val="28"/>
          <w:szCs w:val="28"/>
          <w:lang w:eastAsia="zh-CN"/>
        </w:rPr>
        <w:t>磋商保证金</w:t>
      </w:r>
      <w:r>
        <w:rPr>
          <w:rFonts w:ascii="宋体" w:hAnsi="宋体" w:cs="宋体"/>
          <w:color w:val="000000"/>
          <w:sz w:val="28"/>
          <w:szCs w:val="28"/>
        </w:rPr>
        <w:t xml:space="preserve">；给成交供应商造成损失的，还应当赔偿损失。 </w:t>
      </w:r>
    </w:p>
    <w:bookmarkEnd w:id="89"/>
    <w:p w14:paraId="171162F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3</w:t>
      </w:r>
      <w:r>
        <w:rPr>
          <w:rFonts w:ascii="宋体" w:hAnsi="宋体" w:cs="宋体"/>
          <w:color w:val="000000"/>
          <w:sz w:val="28"/>
          <w:szCs w:val="28"/>
        </w:rPr>
        <w:t>中标或者成交供应商拒绝与采购人签订合同的，采购人可以按照评审报告推荐的中标或者成交候选人名单排序，确定下一候选人为中标或者成交供应商，也可以重新开展政府采购活动。</w:t>
      </w:r>
    </w:p>
    <w:p w14:paraId="126D720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4</w:t>
      </w:r>
      <w:r>
        <w:rPr>
          <w:rFonts w:ascii="宋体" w:hAnsi="宋体" w:cs="宋体"/>
          <w:color w:val="000000"/>
          <w:sz w:val="28"/>
          <w:szCs w:val="28"/>
        </w:rPr>
        <w:t>采购人应当自政府采购合同签订之日起2个工作日内，将政府采购合同在省级以上人民政府财政部门指定的媒体上公告，但政府采购合同中涉及国家秘密、商业秘密的内容除外。</w:t>
      </w:r>
    </w:p>
    <w:p w14:paraId="7C94EE0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采购人应当按照政府采购合同规定，及时向中标或者成交供应商支付采购资金。</w:t>
      </w:r>
    </w:p>
    <w:p w14:paraId="07AA51B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6</w:t>
      </w:r>
      <w:r>
        <w:rPr>
          <w:rFonts w:ascii="宋体" w:hAnsi="宋体" w:cs="宋体"/>
          <w:color w:val="000000"/>
          <w:sz w:val="28"/>
          <w:szCs w:val="28"/>
        </w:rPr>
        <w:t>政府采购项目资金支付程序，按照国家有关财政资金支付管理的规定执行。</w:t>
      </w:r>
    </w:p>
    <w:p w14:paraId="78360B1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90" w:name="_Hlk522179832"/>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7</w:t>
      </w:r>
      <w:r>
        <w:rPr>
          <w:rFonts w:ascii="宋体" w:hAnsi="宋体" w:cs="宋体"/>
          <w:color w:val="000000"/>
          <w:sz w:val="28"/>
          <w:szCs w:val="28"/>
        </w:rPr>
        <w:t>成交人应当按照合同约定履行义务，完成成交项目。</w:t>
      </w:r>
    </w:p>
    <w:p w14:paraId="491CC89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b/>
          <w:color w:val="000000"/>
          <w:sz w:val="28"/>
          <w:szCs w:val="28"/>
        </w:rPr>
      </w:pPr>
      <w:r>
        <w:rPr>
          <w:rFonts w:ascii="宋体" w:hAnsi="宋体" w:cs="宋体"/>
          <w:color w:val="000000"/>
          <w:sz w:val="28"/>
          <w:szCs w:val="28"/>
        </w:rPr>
        <w:t>成交人应当就分包项目向采购人负责，接受分包的人就分包项目承担连带责任。</w:t>
      </w:r>
      <w:bookmarkEnd w:id="90"/>
    </w:p>
    <w:bookmarkEnd w:id="85"/>
    <w:bookmarkEnd w:id="86"/>
    <w:bookmarkEnd w:id="87"/>
    <w:bookmarkEnd w:id="88"/>
    <w:p w14:paraId="33ABD96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ascii="宋体" w:hAnsi="宋体" w:cs="宋体"/>
          <w:b/>
          <w:color w:val="000000"/>
          <w:sz w:val="28"/>
          <w:szCs w:val="28"/>
        </w:rPr>
      </w:pPr>
      <w:bookmarkStart w:id="91" w:name="_Toc14979"/>
      <w:bookmarkStart w:id="92" w:name="_Toc15410"/>
      <w:bookmarkStart w:id="93" w:name="_Toc421778376"/>
      <w:r>
        <w:rPr>
          <w:rFonts w:hint="eastAsia" w:ascii="宋体" w:hAnsi="宋体" w:cs="宋体"/>
          <w:b/>
          <w:color w:val="000000"/>
          <w:sz w:val="28"/>
          <w:szCs w:val="28"/>
          <w:lang w:val="en-US" w:eastAsia="zh-CN"/>
        </w:rPr>
        <w:t>8</w:t>
      </w:r>
      <w:r>
        <w:rPr>
          <w:rFonts w:ascii="宋体" w:hAnsi="宋体" w:cs="宋体"/>
          <w:b/>
          <w:color w:val="000000"/>
          <w:sz w:val="28"/>
          <w:szCs w:val="28"/>
        </w:rPr>
        <w:t>．重新招标和不再招标</w:t>
      </w:r>
      <w:bookmarkEnd w:id="91"/>
      <w:bookmarkEnd w:id="92"/>
    </w:p>
    <w:p w14:paraId="62FDCEC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8</w:t>
      </w:r>
      <w:r>
        <w:rPr>
          <w:rFonts w:ascii="宋体" w:hAnsi="宋体" w:cs="宋体"/>
          <w:b/>
          <w:color w:val="000000"/>
          <w:sz w:val="28"/>
          <w:szCs w:val="28"/>
        </w:rPr>
        <w:t>.1 重新招标</w:t>
      </w:r>
    </w:p>
    <w:p w14:paraId="0AF99E4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有下列情形之一的，采购人将重新招标：</w:t>
      </w:r>
    </w:p>
    <w:p w14:paraId="1C32C10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（l）提交首次响应文件截止之日止，供应商少于3个的；</w:t>
      </w:r>
    </w:p>
    <w:p w14:paraId="59E48E5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（2）经磋商小组评审后否决所有投标的。</w:t>
      </w:r>
    </w:p>
    <w:p w14:paraId="43F16DF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8</w:t>
      </w:r>
      <w:r>
        <w:rPr>
          <w:rFonts w:ascii="宋体" w:hAnsi="宋体" w:cs="宋体"/>
          <w:b/>
          <w:color w:val="000000"/>
          <w:sz w:val="28"/>
          <w:szCs w:val="28"/>
        </w:rPr>
        <w:t>.2 不再招标</w:t>
      </w:r>
    </w:p>
    <w:p w14:paraId="68D8893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重新招标后供应商仍少于3个或者所有投标被否决的，属于必须审批或核准的工程建设项目，经原审批或核准部门批准后不再进行招标。</w:t>
      </w:r>
    </w:p>
    <w:p w14:paraId="415F322B">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ascii="宋体" w:hAnsi="宋体" w:cs="宋体"/>
          <w:b/>
          <w:color w:val="000000"/>
          <w:sz w:val="28"/>
          <w:szCs w:val="28"/>
        </w:rPr>
      </w:pPr>
      <w:bookmarkStart w:id="94" w:name="_Toc425240472"/>
      <w:bookmarkStart w:id="95" w:name="_Toc6188"/>
      <w:bookmarkStart w:id="96" w:name="_Toc30868"/>
      <w:bookmarkStart w:id="97" w:name="_Toc420591651"/>
      <w:bookmarkStart w:id="98" w:name="_Toc22588"/>
      <w:bookmarkStart w:id="99" w:name="_Toc421778373"/>
      <w:r>
        <w:rPr>
          <w:rFonts w:hint="eastAsia" w:ascii="宋体" w:hAnsi="宋体" w:cs="宋体"/>
          <w:b/>
          <w:color w:val="000000"/>
          <w:sz w:val="28"/>
          <w:szCs w:val="28"/>
          <w:lang w:val="en-US" w:eastAsia="zh-CN"/>
        </w:rPr>
        <w:t>9</w:t>
      </w:r>
      <w:r>
        <w:rPr>
          <w:rFonts w:ascii="宋体" w:hAnsi="宋体" w:cs="宋体"/>
          <w:b/>
          <w:color w:val="000000"/>
          <w:sz w:val="28"/>
          <w:szCs w:val="28"/>
        </w:rPr>
        <w:t>．纪律和监督</w:t>
      </w:r>
      <w:bookmarkEnd w:id="94"/>
      <w:bookmarkEnd w:id="95"/>
      <w:bookmarkEnd w:id="96"/>
      <w:bookmarkEnd w:id="97"/>
      <w:bookmarkEnd w:id="98"/>
      <w:bookmarkEnd w:id="99"/>
    </w:p>
    <w:p w14:paraId="1EAA3EC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9.1 对采购人的纪律要求</w:t>
      </w:r>
    </w:p>
    <w:p w14:paraId="21797C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9.1.1 </w:t>
      </w:r>
      <w:r>
        <w:rPr>
          <w:rFonts w:hint="eastAsia" w:ascii="宋体" w:hAnsi="宋体" w:eastAsia="宋体" w:cs="宋体"/>
          <w:color w:val="000000"/>
          <w:sz w:val="28"/>
          <w:szCs w:val="28"/>
        </w:rPr>
        <w:t>采购人不得泄漏</w:t>
      </w:r>
      <w:r>
        <w:rPr>
          <w:rFonts w:hint="eastAsia" w:ascii="宋体" w:hAnsi="宋体" w:cs="宋体"/>
          <w:color w:val="000000"/>
          <w:sz w:val="28"/>
          <w:szCs w:val="28"/>
          <w:lang w:val="en-US" w:eastAsia="zh-CN"/>
        </w:rPr>
        <w:t>采购</w:t>
      </w:r>
      <w:r>
        <w:rPr>
          <w:rFonts w:hint="eastAsia" w:ascii="宋体" w:hAnsi="宋体" w:eastAsia="宋体" w:cs="宋体"/>
          <w:color w:val="000000"/>
          <w:sz w:val="28"/>
          <w:szCs w:val="28"/>
        </w:rPr>
        <w:t>活动中应当保密的情况和资料，不得与供应商串通损害国家利益、社会公共利益或者他人合法权益。</w:t>
      </w:r>
    </w:p>
    <w:p w14:paraId="38ADB8B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9.1.2 </w:t>
      </w:r>
      <w:r>
        <w:rPr>
          <w:rFonts w:hint="eastAsia" w:ascii="宋体" w:hAnsi="宋体" w:eastAsia="宋体" w:cs="宋体"/>
          <w:color w:val="000000"/>
          <w:sz w:val="28"/>
          <w:szCs w:val="28"/>
        </w:rPr>
        <w:t>采购人有下列情形之一的，由财政部门责令限期改正，给予警告，对直接负责的主管人员和其他直接责任人员依法给予处分，并予以通报：</w:t>
      </w:r>
    </w:p>
    <w:p w14:paraId="664FB7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(一)未按照规定编制政府采购实施计划或者未按照规定将政府采购实施计划报本级人民政府财政部门备案；</w:t>
      </w:r>
    </w:p>
    <w:p w14:paraId="6CB7079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(二)将应当进行公开招标的项目化整为零或者以其他任何方式规避公开招标；</w:t>
      </w:r>
    </w:p>
    <w:p w14:paraId="1B205E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(三)未按照规定在评标委员会、竞争性谈判小组或者询价小组推荐的中标或者成交候选人中确定中标或者成交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w:t>
      </w:r>
    </w:p>
    <w:p w14:paraId="40CDF0E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(四)未按照采购文件确定的事项签订政府采购合同；</w:t>
      </w:r>
    </w:p>
    <w:p w14:paraId="13ED70C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(五)政府采购合同履行中追加与合同标的相同的货物、工程或者服务的采购金额超过原合同采购金额10%；</w:t>
      </w:r>
    </w:p>
    <w:p w14:paraId="00E54C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(六)擅自变更、中止或者终止政府采购合同；</w:t>
      </w:r>
    </w:p>
    <w:p w14:paraId="2D15837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(七)未按照规定公告政府采购合同；</w:t>
      </w:r>
    </w:p>
    <w:p w14:paraId="61FA43F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(八)未按照规定时间将政府采购合同副本报本级人民政府财政部门和有关部门备案。</w:t>
      </w:r>
    </w:p>
    <w:p w14:paraId="5AC7AFF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9.1.3 </w:t>
      </w:r>
      <w:r>
        <w:rPr>
          <w:rFonts w:hint="eastAsia" w:ascii="宋体" w:hAnsi="宋体" w:eastAsia="宋体" w:cs="宋体"/>
          <w:color w:val="000000"/>
          <w:sz w:val="28"/>
          <w:szCs w:val="28"/>
        </w:rPr>
        <w:t>采购人、采购代理机构有下列情形之一的，依照政府采购法第七十一条、第七十八条的规定追究法律责任：</w:t>
      </w:r>
    </w:p>
    <w:p w14:paraId="0D692CE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(一)未依照政府采购法和本条例规定的方式实施采购；</w:t>
      </w:r>
    </w:p>
    <w:p w14:paraId="2BD321B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(二)未依法在指定的媒体上发布政府采购项目信息；</w:t>
      </w:r>
    </w:p>
    <w:p w14:paraId="3AF2F4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(三)未按照规定执行政府采购政策；</w:t>
      </w:r>
    </w:p>
    <w:p w14:paraId="70F8CB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(四)违反本条例第十五条的规定导致无法组织对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履约情况进行验收或者国家财产遭受损失；</w:t>
      </w:r>
    </w:p>
    <w:p w14:paraId="1465FB7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(五)未依法从政府采购评审专家库中抽取评审专家；</w:t>
      </w:r>
    </w:p>
    <w:p w14:paraId="2E6BC08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(六)非法干预采购评审活动；</w:t>
      </w:r>
    </w:p>
    <w:p w14:paraId="0930F64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(七)采用综合评分法时评审标准中的分值设置未与评审因素的量化指标相对应；</w:t>
      </w:r>
    </w:p>
    <w:p w14:paraId="62CC87E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(八)对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的询问、质疑逾期未作处理；</w:t>
      </w:r>
    </w:p>
    <w:p w14:paraId="4E51BA8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(九)通过对样品进行检测、对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进行考察等方式改变评审结果；</w:t>
      </w:r>
    </w:p>
    <w:p w14:paraId="00BD81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(十)未按照规定组织对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履约情况进行验收。</w:t>
      </w:r>
    </w:p>
    <w:p w14:paraId="137BE75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采购人员与</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有利害关系而不依法回避的，由财政部门给予警告，并处2000元以上2万元以下的罚款。</w:t>
      </w:r>
    </w:p>
    <w:p w14:paraId="55A7F47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9.1.4 </w:t>
      </w:r>
      <w:r>
        <w:rPr>
          <w:rFonts w:hint="eastAsia" w:ascii="宋体" w:hAnsi="宋体" w:eastAsia="宋体" w:cs="宋体"/>
          <w:color w:val="000000"/>
          <w:sz w:val="28"/>
          <w:szCs w:val="28"/>
        </w:rPr>
        <w:t>有政府采购法第七十一条、第七十二条规定的违法行为之一，影响或者可能影响中标、成交结果的，依照下列规定处理：</w:t>
      </w:r>
    </w:p>
    <w:p w14:paraId="54A7CE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(一)未确定中标或者成交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的，终止本次政府采购活动，重新开展政府采购活动。</w:t>
      </w:r>
    </w:p>
    <w:p w14:paraId="2D990AC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(二)已确定中标或者成交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但尚未签订政府采购合同的，中标或者成交结果无效，从合格的中标或者成交候选人中另行确定中标或者成交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；没有合格的中标或者成交候选人的，重新开展政府采购活动。</w:t>
      </w:r>
    </w:p>
    <w:p w14:paraId="2A348C9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(三)政府采购合同已签订但尚未履行的，撤销合同，从合格的中标或者成交候选人中另行确定中标或者成交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；没有合格的中标或者成交候选人的，重新开展政府采购活动。</w:t>
      </w:r>
    </w:p>
    <w:p w14:paraId="0D3DF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(四)政府采购合同已经履行，给采购人、</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造成损失的，由责任人承担赔偿责任。</w:t>
      </w:r>
    </w:p>
    <w:p w14:paraId="04289C8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rPr>
      </w:pPr>
      <w:r>
        <w:rPr>
          <w:rFonts w:hint="eastAsia" w:ascii="宋体" w:hAnsi="宋体" w:eastAsia="宋体" w:cs="宋体"/>
          <w:color w:val="000000"/>
          <w:sz w:val="28"/>
          <w:szCs w:val="28"/>
        </w:rPr>
        <w:t>政府采购当事人有其他违反政府采购法或者本条例规定的行为，经改正后仍然影响或者可能影响中标、成交结果或者依法被认定为中标、成交无效的，依照前款规定处理。</w:t>
      </w:r>
    </w:p>
    <w:p w14:paraId="26C5E34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9.2 对供应商的纪律要求</w:t>
      </w:r>
    </w:p>
    <w:p w14:paraId="54CFCBF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9.2.1 </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有下列情形之一的，依照政府采购法第七十七条第一款的规定追究法律责任：</w:t>
      </w:r>
    </w:p>
    <w:p w14:paraId="6AB679F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(一)向评标委员会、竞争性谈判小组或者询价小组成员行贿或者提供其他不正当利益；</w:t>
      </w:r>
    </w:p>
    <w:p w14:paraId="5C917B8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(二)中标或者成交后无正当理由拒不与采购人签订政府采购合同；</w:t>
      </w:r>
    </w:p>
    <w:p w14:paraId="288E47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(三)未按照采购文件确定的事项签订政府采购合同；</w:t>
      </w:r>
    </w:p>
    <w:p w14:paraId="5706616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(四)将政府采购合同转包；</w:t>
      </w:r>
    </w:p>
    <w:p w14:paraId="2AD7EB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(五)提供假冒伪劣产品；</w:t>
      </w:r>
    </w:p>
    <w:p w14:paraId="73982DB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(六)擅自变更、中止或者终止政府采购合同。</w:t>
      </w:r>
    </w:p>
    <w:p w14:paraId="2300784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有前款第一项规定情形的，中标、成交无效。评审阶段资格发生变化，</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未依照</w:t>
      </w:r>
      <w:r>
        <w:rPr>
          <w:rFonts w:hint="eastAsia" w:ascii="宋体" w:hAnsi="宋体" w:cs="宋体"/>
          <w:color w:val="000000"/>
          <w:sz w:val="28"/>
          <w:szCs w:val="28"/>
          <w:lang w:val="en-US" w:eastAsia="zh-CN"/>
        </w:rPr>
        <w:t>政府采购法实施条例</w:t>
      </w:r>
      <w:r>
        <w:rPr>
          <w:rFonts w:hint="eastAsia" w:ascii="宋体" w:hAnsi="宋体" w:eastAsia="宋体" w:cs="宋体"/>
          <w:color w:val="000000"/>
          <w:sz w:val="28"/>
          <w:szCs w:val="28"/>
        </w:rPr>
        <w:t>第二十一条的规定通知采购人和采购代理机构的，处以采购金额5‰的罚款，列入不良行为记录名单，中标、成交无效。</w:t>
      </w:r>
    </w:p>
    <w:p w14:paraId="3CA0F5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9.2.2 </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捏造事实、提供虚假材料或者以非法手段取得证明材料进行投诉的，由财政部门列入不良行为记录名单，禁止其1至3年内参加政府采购活动。</w:t>
      </w:r>
    </w:p>
    <w:p w14:paraId="40FDCC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9.2.3 </w:t>
      </w:r>
      <w:r>
        <w:rPr>
          <w:rFonts w:hint="eastAsia" w:ascii="宋体" w:hAnsi="宋体" w:eastAsia="宋体" w:cs="宋体"/>
          <w:color w:val="000000"/>
          <w:sz w:val="28"/>
          <w:szCs w:val="28"/>
        </w:rPr>
        <w:t>有下列情形之一的，属于恶意串通，对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依照政府采购法第七十七条第一款的规定追究法律责任，对采购人、采购代理机构及其工作人员依照政府采购法第七十二条的规定追究法律责任：</w:t>
      </w:r>
    </w:p>
    <w:p w14:paraId="5D1C14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直接或者间接从采购人或者采购代理机构处获得其他</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的相关情况并修改其投标文件或者响应文件；</w:t>
      </w:r>
    </w:p>
    <w:p w14:paraId="3C2E256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按照采购人或者采购代理机构的授意撤换、修改投标文件或者响应文件；</w:t>
      </w:r>
    </w:p>
    <w:p w14:paraId="4F955F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之间协商报价、技术方案等投标文件或者响应文件的实质性内容；</w:t>
      </w:r>
    </w:p>
    <w:p w14:paraId="00B70D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(四)属于同一集团、协会、商会等组织成员的</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按照该组织要求协同参加政府采购活动；</w:t>
      </w:r>
    </w:p>
    <w:p w14:paraId="5F912CF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之间事先约定由某一特定</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中标、成交；</w:t>
      </w:r>
    </w:p>
    <w:p w14:paraId="37BFF47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之间商定部分</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放弃参加政府采购活动或者放弃中标、成交；</w:t>
      </w:r>
    </w:p>
    <w:p w14:paraId="56742E1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与采购人或者采购代理机构之间、</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相互之间，为谋求特定</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中标、成交或者排斥其他</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的其他串通行为。</w:t>
      </w:r>
    </w:p>
    <w:p w14:paraId="3A6A5F8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9.2.</w:t>
      </w:r>
      <w:r>
        <w:rPr>
          <w:rFonts w:hint="eastAsia" w:ascii="宋体" w:hAnsi="宋体" w:cs="宋体"/>
          <w:color w:val="000000"/>
          <w:sz w:val="28"/>
          <w:szCs w:val="28"/>
          <w:lang w:val="en-US" w:eastAsia="zh-CN"/>
        </w:rPr>
        <w:t xml:space="preserve">4 </w:t>
      </w:r>
      <w:r>
        <w:rPr>
          <w:rFonts w:hint="eastAsia" w:ascii="宋体" w:hAnsi="宋体" w:eastAsia="宋体" w:cs="宋体"/>
          <w:color w:val="000000"/>
          <w:sz w:val="28"/>
          <w:szCs w:val="28"/>
        </w:rPr>
        <w:t>禁止投标人相互串通投标。</w:t>
      </w:r>
    </w:p>
    <w:p w14:paraId="7C3C09B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有下列情形之一的，属于投标人相互串通投标：</w:t>
      </w:r>
    </w:p>
    <w:p w14:paraId="70D959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（一）投标人之间协商</w:t>
      </w:r>
      <w:r>
        <w:rPr>
          <w:rFonts w:hint="eastAsia" w:ascii="宋体" w:hAnsi="宋体" w:eastAsia="宋体" w:cs="宋体"/>
          <w:color w:val="000000"/>
          <w:sz w:val="28"/>
          <w:szCs w:val="28"/>
          <w:lang w:eastAsia="zh-CN"/>
        </w:rPr>
        <w:t>磋商报价</w:t>
      </w:r>
      <w:r>
        <w:rPr>
          <w:rFonts w:hint="eastAsia" w:ascii="宋体" w:hAnsi="宋体" w:eastAsia="宋体" w:cs="宋体"/>
          <w:color w:val="000000"/>
          <w:sz w:val="28"/>
          <w:szCs w:val="28"/>
        </w:rPr>
        <w:t>等</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的实质性内容；</w:t>
      </w:r>
    </w:p>
    <w:p w14:paraId="1EF902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（二）投标人之间约定中标人；</w:t>
      </w:r>
    </w:p>
    <w:p w14:paraId="1E0F47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（三）投标人之间约定部分投标人放弃投标或者中标；</w:t>
      </w:r>
    </w:p>
    <w:p w14:paraId="40AF49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（四）属于同一集团、协会、商会等组织成员的投标人按照该组织要求协同投标；</w:t>
      </w:r>
    </w:p>
    <w:p w14:paraId="7A39221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（五）投标人之间为谋取中标或者排斥特定投标人而采取的其他联合行动。</w:t>
      </w:r>
    </w:p>
    <w:p w14:paraId="161ED5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9.2.</w:t>
      </w:r>
      <w:r>
        <w:rPr>
          <w:rFonts w:hint="eastAsia" w:ascii="宋体" w:hAnsi="宋体" w:cs="宋体"/>
          <w:color w:val="000000"/>
          <w:sz w:val="28"/>
          <w:szCs w:val="28"/>
          <w:lang w:val="en-US" w:eastAsia="zh-CN"/>
        </w:rPr>
        <w:t xml:space="preserve">5 </w:t>
      </w:r>
      <w:r>
        <w:rPr>
          <w:rFonts w:hint="eastAsia" w:ascii="宋体" w:hAnsi="宋体" w:eastAsia="宋体" w:cs="宋体"/>
          <w:color w:val="000000"/>
          <w:sz w:val="28"/>
          <w:szCs w:val="28"/>
        </w:rPr>
        <w:t>有下列情形之一的，视为投标人相互串通投标：</w:t>
      </w:r>
    </w:p>
    <w:p w14:paraId="2258B33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（一）不同投标人的</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由同一单位或者个人编制；</w:t>
      </w:r>
    </w:p>
    <w:p w14:paraId="0352EB5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（二）不同投标人委托同一单位或者个人办理投标事宜；</w:t>
      </w:r>
    </w:p>
    <w:p w14:paraId="0984DE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（三）不同投标人的</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载明的项目管理成员为同一人；</w:t>
      </w:r>
    </w:p>
    <w:p w14:paraId="23586DE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（四）不同投标人的</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异常一致或者</w:t>
      </w:r>
      <w:r>
        <w:rPr>
          <w:rFonts w:hint="eastAsia" w:ascii="宋体" w:hAnsi="宋体" w:eastAsia="宋体" w:cs="宋体"/>
          <w:color w:val="000000"/>
          <w:sz w:val="28"/>
          <w:szCs w:val="28"/>
          <w:lang w:eastAsia="zh-CN"/>
        </w:rPr>
        <w:t>磋商报价</w:t>
      </w:r>
      <w:r>
        <w:rPr>
          <w:rFonts w:hint="eastAsia" w:ascii="宋体" w:hAnsi="宋体" w:eastAsia="宋体" w:cs="宋体"/>
          <w:color w:val="000000"/>
          <w:sz w:val="28"/>
          <w:szCs w:val="28"/>
        </w:rPr>
        <w:t>呈规律性差异；</w:t>
      </w:r>
    </w:p>
    <w:p w14:paraId="116FD1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（五）不同投标人的</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相互混装；</w:t>
      </w:r>
    </w:p>
    <w:p w14:paraId="70460E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（六）不同投标人的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从同一单位或者个人的账户转出。</w:t>
      </w:r>
    </w:p>
    <w:p w14:paraId="4D12832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9.2.</w:t>
      </w:r>
      <w:r>
        <w:rPr>
          <w:rFonts w:hint="eastAsia" w:ascii="宋体" w:hAnsi="宋体" w:cs="宋体"/>
          <w:color w:val="000000"/>
          <w:sz w:val="28"/>
          <w:szCs w:val="28"/>
          <w:lang w:val="en-US" w:eastAsia="zh-CN"/>
        </w:rPr>
        <w:t xml:space="preserve">6 </w:t>
      </w:r>
      <w:r>
        <w:rPr>
          <w:rFonts w:hint="eastAsia" w:ascii="宋体" w:hAnsi="宋体" w:eastAsia="宋体" w:cs="宋体"/>
          <w:color w:val="000000"/>
          <w:sz w:val="28"/>
          <w:szCs w:val="28"/>
        </w:rPr>
        <w:t>禁止招标人与投标人串通投标。</w:t>
      </w:r>
    </w:p>
    <w:p w14:paraId="30C262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有下列情形之一的，属于招标人与投标人串通投标：</w:t>
      </w:r>
    </w:p>
    <w:p w14:paraId="018A350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（一）招标人在开标前开启</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并将有关信息泄露给其他投标人；</w:t>
      </w:r>
    </w:p>
    <w:p w14:paraId="1A07370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（二）招标人直接或者间接向投标人泄露标底、评标委员会成员等信息；</w:t>
      </w:r>
    </w:p>
    <w:p w14:paraId="78FDA5B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（三）招标人明示或者暗示投标人压低或者抬高</w:t>
      </w:r>
      <w:r>
        <w:rPr>
          <w:rFonts w:hint="eastAsia" w:ascii="宋体" w:hAnsi="宋体" w:eastAsia="宋体" w:cs="宋体"/>
          <w:color w:val="000000"/>
          <w:sz w:val="28"/>
          <w:szCs w:val="28"/>
          <w:lang w:eastAsia="zh-CN"/>
        </w:rPr>
        <w:t>磋商报价</w:t>
      </w:r>
      <w:r>
        <w:rPr>
          <w:rFonts w:hint="eastAsia" w:ascii="宋体" w:hAnsi="宋体" w:eastAsia="宋体" w:cs="宋体"/>
          <w:color w:val="000000"/>
          <w:sz w:val="28"/>
          <w:szCs w:val="28"/>
        </w:rPr>
        <w:t>；</w:t>
      </w:r>
    </w:p>
    <w:p w14:paraId="2BAD47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（四）招标人授意投标人撤换、修改</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w:t>
      </w:r>
    </w:p>
    <w:p w14:paraId="5168A5E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（五）招标人明示或者暗示投标人为特定投标人中标提供方便；</w:t>
      </w:r>
    </w:p>
    <w:p w14:paraId="1DD8AA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（六）招标人与投标人为谋求特定投标人中标而采取的其他串通行为。</w:t>
      </w:r>
    </w:p>
    <w:p w14:paraId="7B11671E">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9.3 对磋商小组成员的纪律要求</w:t>
      </w:r>
    </w:p>
    <w:p w14:paraId="2249876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9.3.1磋商小组成员不得收受他人的财物或者其他好处，不得向他人透漏对磋商响应文件的评审和比较、成交候选供应商的推荐情况以及评标有关的其他情况。在评标活动中，磋商小组成员不得擅离职守，影响评标程序正常进行，不得使用第三章“评标办法”没有规定的评审因素和标准进行评标。</w:t>
      </w:r>
    </w:p>
    <w:p w14:paraId="310F1A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9.3.2</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24E7089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政府采购评审专家与</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存在利害关系未回避的，处2万元以上5万元以下的罚款，禁止其参加政府采购评审活动。</w:t>
      </w:r>
    </w:p>
    <w:p w14:paraId="596182D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政府采购评审专家收受采购人、采购代理机构、</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贿赂或者获取其他不正当利益，构成犯罪的，依法追究刑事责任；尚不构成犯罪的，处2万元以上5万元以下的罚款，禁止其参加政府采购评审活动。</w:t>
      </w:r>
    </w:p>
    <w:p w14:paraId="4AD348D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政府采购评审专家有上述违法行为的，其评审意见无效，不得获取评审费；有违法所得的，没收违法所得；给他人造成损失的，依法承担民事责任。</w:t>
      </w:r>
    </w:p>
    <w:p w14:paraId="02538E3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bookmarkStart w:id="100" w:name="_Hlk522181179"/>
      <w:r>
        <w:rPr>
          <w:rFonts w:hint="eastAsia" w:ascii="宋体" w:hAnsi="宋体" w:eastAsia="宋体" w:cs="宋体"/>
          <w:color w:val="000000"/>
          <w:sz w:val="28"/>
          <w:szCs w:val="28"/>
        </w:rPr>
        <w:t>9.3.3评标委员会成员有下列行为之一的，由有关行政监督部门责令改正；情节严重的，禁止其在一定期限内参加依法必须进行招标的项目的评标；情节特别严重的，取消其担任评标委员会成员的资格：</w:t>
      </w:r>
    </w:p>
    <w:p w14:paraId="0836DC7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（一）应当回避而不回避；</w:t>
      </w:r>
    </w:p>
    <w:p w14:paraId="7378FEE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（二）擅离职守；</w:t>
      </w:r>
    </w:p>
    <w:p w14:paraId="3DD34C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（三）不按照</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规定的评标标准和方法评标；</w:t>
      </w:r>
    </w:p>
    <w:p w14:paraId="71CFC7C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（四）私下接触投标人；</w:t>
      </w:r>
    </w:p>
    <w:p w14:paraId="30E9411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（五）向招标人征询确定中标人的意向或者接受任何单位或者个人明示或者暗示提出的倾向或者排斥特定投标人的要求；</w:t>
      </w:r>
    </w:p>
    <w:p w14:paraId="4F156F4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（六）对依法应当否决的投标不提出否决意见；</w:t>
      </w:r>
    </w:p>
    <w:p w14:paraId="791772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（七）暗示或者诱导投标人作出澄清、说明或者接受投标人主动提出的澄清、说明；</w:t>
      </w:r>
    </w:p>
    <w:p w14:paraId="0230E5A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（八）其他不客观、不公正履行职务的行为。</w:t>
      </w:r>
      <w:bookmarkEnd w:id="100"/>
    </w:p>
    <w:p w14:paraId="157E48A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9.4 对与评标活动有关的工作人员的纪律要求</w:t>
      </w:r>
    </w:p>
    <w:p w14:paraId="0E68E77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9.4.1与评标活动有关的工作人员不得收受他人的财物或者其他好处，不得向他人透漏对磋商响应文件的评审和比较、成交候选供应商的推荐情况以及评标有关的其他情况。在评标活动中，与评标活动有关的工作人员不得擅离职守，影响评标程序正常进行。</w:t>
      </w:r>
    </w:p>
    <w:p w14:paraId="7B05995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3E2E2B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9.4.3国家工作人员利用职务便利，以直接或者间接、明示或者暗示等任何方式非法干涉招标投标活动，有下列情形之一的，依法给予记过或者记大过处分；情节严重的，依法给予降级或者撤职处分；情节特别严重的，依法给予开除处分；构成犯罪的，依法追究刑事责任：</w:t>
      </w:r>
    </w:p>
    <w:p w14:paraId="036CF54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（一）要求对依法必须进行招标的项目不招标，或者要求对依法应当公开招标的项目不公开招标；</w:t>
      </w:r>
    </w:p>
    <w:p w14:paraId="14EE9C7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（二）要求评标委员会成员或者招标人以其指定的投标人作为中标候选人或者中标人，或者以其他方式非法干涉评标活动，影响中标结果；</w:t>
      </w:r>
    </w:p>
    <w:p w14:paraId="7724F61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（三）以其他方式非法干涉招标投标活动。</w:t>
      </w:r>
    </w:p>
    <w:p w14:paraId="2A741259">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9.5 投诉</w:t>
      </w:r>
    </w:p>
    <w:p w14:paraId="6E2869E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9.5.1供应商和其他利害关系人认为本次招标活动违反法律、法规和规章规定的，有权向有关行政监督部门投诉。</w:t>
      </w:r>
    </w:p>
    <w:p w14:paraId="380F4A2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9.5.2供应商的质疑和投诉，详见《中华人民共和国财政部令第94号--政府采购质疑和投诉办法》有关规定。</w:t>
      </w:r>
    </w:p>
    <w:p w14:paraId="1C90744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9.5.3投诉人不得以投诉为名排挤竞争对手，不得进行虚假、恶意投诉，阻碍招标投标活动的正常进行。</w:t>
      </w:r>
    </w:p>
    <w:p w14:paraId="54E5679F">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9.6评标过程的监控</w:t>
      </w:r>
    </w:p>
    <w:p w14:paraId="1E4E7E9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本项目评标过程实行全程录音、录像监控，供应商在评标过程中所进行的试图影响评标结果的不公正活动，可能导致其投标被拒绝。</w:t>
      </w:r>
    </w:p>
    <w:p w14:paraId="58D5C6AE">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9.7质疑</w:t>
      </w:r>
    </w:p>
    <w:p w14:paraId="4843F97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9.7.1供应商对采购事项有疑问的，应当按照《政府采购质疑和投诉办法》规定，以书面形式向采购人或代理机构提出，经法定代表人签字并加盖公章。</w:t>
      </w:r>
    </w:p>
    <w:p w14:paraId="1EEC84E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9.7.2供应商认为采购文件、采购过程、中标或者成交结果使自己的权益受到损害的，可以在知道或者应知其权益受到损害之日起7个工作日内，以书面形式向采购人、采购代理机构提出质疑。</w:t>
      </w:r>
    </w:p>
    <w:p w14:paraId="34DC259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9.7.3供应商对</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条款或技术参数有异议的，应当在开标前通过澄清或修改程序提出。供应商已经参与开标，并于开标后对</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提出质疑的，其质疑应当被视为无效质疑。在法定质疑期内对采购文件只能是一次性提出针对同一采购程序环节的质疑。</w:t>
      </w:r>
    </w:p>
    <w:p w14:paraId="60C8614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9.7.4提出质疑的供应商（以下简称质疑供应商）应当是参与所质疑项目采购活动的供应商。潜在供应商已依法获取其可质疑的采购文件的，可以对该文件提出质疑。</w:t>
      </w:r>
    </w:p>
    <w:p w14:paraId="396793E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9.7.5对采购文件提出质疑的，应当在获取采购文件或者采购文件公告期限届满之日起7个工作日内提出。</w:t>
      </w:r>
    </w:p>
    <w:p w14:paraId="1C8CFF2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5E45802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9.7.7有下列情形之一的，属于无效质疑，代理机构可不予受理：</w:t>
      </w:r>
    </w:p>
    <w:p w14:paraId="426E287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（1）未在有效期限内提出质疑的；</w:t>
      </w:r>
    </w:p>
    <w:p w14:paraId="529D7BA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（2）质疑未以书面形式提出的；</w:t>
      </w:r>
    </w:p>
    <w:p w14:paraId="66CF0B3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（3）所提交材料未明示属于质疑材料的；</w:t>
      </w:r>
    </w:p>
    <w:p w14:paraId="44C045B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（4）质疑书没有法定代表人签署本人姓名或印盖本人姓名章并加盖供应商公章；质疑书由参加</w:t>
      </w:r>
      <w:r>
        <w:rPr>
          <w:rFonts w:hint="eastAsia" w:ascii="宋体" w:hAnsi="宋体" w:eastAsia="宋体" w:cs="宋体"/>
          <w:color w:val="000000"/>
          <w:sz w:val="28"/>
          <w:szCs w:val="28"/>
          <w:lang w:eastAsia="zh-CN"/>
        </w:rPr>
        <w:t>项目</w:t>
      </w:r>
      <w:r>
        <w:rPr>
          <w:rFonts w:hint="eastAsia" w:ascii="宋体" w:hAnsi="宋体" w:eastAsia="宋体" w:cs="宋体"/>
          <w:color w:val="000000"/>
          <w:sz w:val="28"/>
          <w:szCs w:val="28"/>
        </w:rPr>
        <w:t>的授权代表签署本人姓名或印盖本人姓名章的，没有法定代表人的特别授权；质疑书加盖合同专用章的；</w:t>
      </w:r>
    </w:p>
    <w:p w14:paraId="4F8170A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（5）质疑书未提供有效联系人或联系方式的；</w:t>
      </w:r>
    </w:p>
    <w:p w14:paraId="137C1A4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（6）质疑事项已经进入投诉或者诉讼程序的；</w:t>
      </w:r>
    </w:p>
    <w:p w14:paraId="5366D58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（7）其它不符合受理条件的情形。</w:t>
      </w:r>
    </w:p>
    <w:p w14:paraId="63D7A7A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64E7242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9.7.9供应商对评审过程、中标或者成交结果提出质疑的，采购人、采购代理机构可以组织原评标委员会、竞争性谈判小组、询价小组或者竞争性磋商小组协助答复质疑。</w:t>
      </w:r>
    </w:p>
    <w:p w14:paraId="31DCDD9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9.7.10质疑人有下列情形之一的，代理机构应驳回质疑：</w:t>
      </w:r>
    </w:p>
    <w:p w14:paraId="136FF40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（1）质疑缺乏事实和法律依据的；</w:t>
      </w:r>
    </w:p>
    <w:p w14:paraId="48B1812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（2）质疑人捏造事实、提供虚假材料，或在一定期限内多次质疑而无实据的；</w:t>
      </w:r>
    </w:p>
    <w:p w14:paraId="5CFB329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（3）质疑已经处理并答复后，质疑人就同一事项又提起质疑且未提供新的有效证据的；</w:t>
      </w:r>
    </w:p>
    <w:p w14:paraId="5C0578C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（4）其他根据相关法律、法规应当予以驳回的情形。</w:t>
      </w:r>
    </w:p>
    <w:p w14:paraId="093A538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9.7.11供应商进行虚假和恶意质疑的，代理机构可以提请有关部门将其列入不良记录名单，在一至三年内禁止参加政府采购活动，并将处理决定在相关政府采购媒体上公布。</w:t>
      </w:r>
    </w:p>
    <w:p w14:paraId="39D517A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9.7.12采购人、采购代理机构认为供应商质疑不成立，或者成立但未对中标、成交结果构成影响的，继续开展采购活动；认为供应商质疑成立且影响或者可能影响中标、成交结果的，按照下列情况处理：</w:t>
      </w:r>
    </w:p>
    <w:p w14:paraId="19673A2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（一）对采购文件提出的质疑，依法通过澄清或者修改可以继续开展采购活动的，澄清或者修改采购文件后继续开展采购活动；否则应当修改采购文件后重新开展采购活动。</w:t>
      </w:r>
    </w:p>
    <w:p w14:paraId="697A323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101E74F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质疑答复导致中标、成交结果改变的，采购人或者采购代理机构应当将有关情况书面报告本级财政部门。</w:t>
      </w:r>
    </w:p>
    <w:p w14:paraId="0A75E56D">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9.7.13质疑供应商对采购人、采购代理机构的答复不满意，或者采购人、采购代理机构未在规定时间内作出答复的，可以在答复期满后15个工作日内向本办法第六条规定的财政部门提起投诉（投诉书范本见附件②）。</w:t>
      </w:r>
    </w:p>
    <w:p w14:paraId="72DFA959">
      <w:pPr>
        <w:rPr>
          <w:rFonts w:ascii="宋体" w:hAnsi="宋体" w:cs="宋体"/>
          <w:b/>
          <w:color w:val="000000"/>
          <w:sz w:val="28"/>
          <w:szCs w:val="28"/>
        </w:rPr>
      </w:pPr>
    </w:p>
    <w:p w14:paraId="0E9BE662">
      <w:pPr>
        <w:pStyle w:val="18"/>
        <w:ind w:left="1470" w:right="1470"/>
        <w:rPr>
          <w:rFonts w:ascii="宋体" w:hAnsi="宋体" w:cs="宋体"/>
          <w:b/>
          <w:color w:val="000000"/>
          <w:sz w:val="28"/>
          <w:szCs w:val="28"/>
        </w:rPr>
      </w:pPr>
    </w:p>
    <w:p w14:paraId="41C0E0F8">
      <w:pPr>
        <w:spacing w:line="360" w:lineRule="auto"/>
        <w:rPr>
          <w:rFonts w:ascii="宋体" w:hAnsi="宋体" w:cs="宋体"/>
          <w:b/>
          <w:color w:val="000000"/>
          <w:sz w:val="28"/>
          <w:szCs w:val="28"/>
        </w:rPr>
        <w:sectPr>
          <w:footerReference r:id="rId9"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1B818C1B">
      <w:pPr>
        <w:spacing w:line="360" w:lineRule="auto"/>
        <w:rPr>
          <w:rFonts w:ascii="宋体" w:hAnsi="宋体" w:eastAsia="宋体" w:cs="宋体"/>
          <w:b/>
          <w:color w:val="000000"/>
          <w:sz w:val="28"/>
          <w:szCs w:val="28"/>
        </w:rPr>
      </w:pPr>
      <w:r>
        <w:rPr>
          <w:rFonts w:ascii="宋体" w:hAnsi="宋体" w:eastAsia="宋体" w:cs="宋体"/>
          <w:b/>
          <w:color w:val="000000"/>
          <w:sz w:val="28"/>
          <w:szCs w:val="28"/>
        </w:rPr>
        <w:t>附件</w:t>
      </w:r>
      <w:r>
        <w:rPr>
          <w:rFonts w:hint="default" w:ascii="宋体" w:hAnsi="宋体" w:eastAsia="宋体" w:cs="宋体"/>
          <w:b/>
          <w:color w:val="000000"/>
          <w:sz w:val="28"/>
          <w:szCs w:val="28"/>
        </w:rPr>
        <w:t>①</w:t>
      </w:r>
    </w:p>
    <w:p w14:paraId="0D7C46DD">
      <w:pPr>
        <w:spacing w:line="360" w:lineRule="auto"/>
        <w:jc w:val="center"/>
        <w:rPr>
          <w:rFonts w:ascii="宋体" w:hAnsi="宋体" w:cs="宋体"/>
          <w:b/>
          <w:bCs/>
          <w:color w:val="000000"/>
          <w:sz w:val="28"/>
          <w:szCs w:val="28"/>
        </w:rPr>
      </w:pPr>
      <w:r>
        <w:rPr>
          <w:rFonts w:ascii="宋体" w:hAnsi="宋体" w:cs="宋体"/>
          <w:b/>
          <w:bCs/>
          <w:color w:val="000000"/>
          <w:sz w:val="28"/>
          <w:szCs w:val="28"/>
        </w:rPr>
        <w:t>质疑函范本</w:t>
      </w:r>
    </w:p>
    <w:p w14:paraId="1A24793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一、质疑供应商基本信息</w:t>
      </w:r>
    </w:p>
    <w:p w14:paraId="1C4A34C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质疑供应商：</w:t>
      </w:r>
      <w:r>
        <w:rPr>
          <w:rFonts w:ascii="宋体" w:hAnsi="宋体" w:cs="宋体"/>
          <w:color w:val="000000"/>
          <w:sz w:val="28"/>
          <w:szCs w:val="28"/>
          <w:u w:val="single"/>
        </w:rPr>
        <w:t xml:space="preserve">                                        </w:t>
      </w:r>
    </w:p>
    <w:p w14:paraId="46B2421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地址：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7A2A06B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60E9D78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授权代表：</w:t>
      </w:r>
      <w:r>
        <w:rPr>
          <w:rFonts w:ascii="宋体" w:hAnsi="宋体" w:cs="宋体"/>
          <w:color w:val="000000"/>
          <w:sz w:val="28"/>
          <w:szCs w:val="28"/>
          <w:u w:val="single"/>
        </w:rPr>
        <w:t xml:space="preserve">                                          </w:t>
      </w:r>
    </w:p>
    <w:p w14:paraId="7B98874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联系电话：</w:t>
      </w:r>
      <w:r>
        <w:rPr>
          <w:rFonts w:ascii="宋体" w:hAnsi="宋体" w:cs="宋体"/>
          <w:color w:val="000000"/>
          <w:sz w:val="28"/>
          <w:szCs w:val="28"/>
          <w:u w:val="single"/>
        </w:rPr>
        <w:t xml:space="preserve">                                          </w:t>
      </w:r>
    </w:p>
    <w:p w14:paraId="7541C27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地址：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434DB6E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二、质疑项目基本情况</w:t>
      </w:r>
    </w:p>
    <w:p w14:paraId="09B28D5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质疑项目的名称：</w:t>
      </w:r>
      <w:r>
        <w:rPr>
          <w:rFonts w:ascii="宋体" w:hAnsi="宋体" w:cs="宋体"/>
          <w:color w:val="000000"/>
          <w:sz w:val="28"/>
          <w:szCs w:val="28"/>
          <w:u w:val="single"/>
        </w:rPr>
        <w:t xml:space="preserve">                                      </w:t>
      </w:r>
    </w:p>
    <w:p w14:paraId="7B81F5C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质疑项目的编号：</w:t>
      </w:r>
      <w:r>
        <w:rPr>
          <w:rFonts w:ascii="宋体" w:hAnsi="宋体" w:cs="宋体"/>
          <w:color w:val="000000"/>
          <w:sz w:val="28"/>
          <w:szCs w:val="28"/>
          <w:u w:val="single"/>
        </w:rPr>
        <w:t xml:space="preserve">                                      </w:t>
      </w:r>
    </w:p>
    <w:p w14:paraId="4D00225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采购人名称：</w:t>
      </w:r>
      <w:r>
        <w:rPr>
          <w:rFonts w:ascii="宋体" w:hAnsi="宋体" w:cs="宋体"/>
          <w:color w:val="000000"/>
          <w:sz w:val="28"/>
          <w:szCs w:val="28"/>
          <w:u w:val="single"/>
        </w:rPr>
        <w:t xml:space="preserve">                                          </w:t>
      </w:r>
    </w:p>
    <w:p w14:paraId="44BDCBF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采购文件获取日期：</w:t>
      </w:r>
      <w:r>
        <w:rPr>
          <w:rFonts w:ascii="宋体" w:hAnsi="宋体" w:cs="宋体"/>
          <w:color w:val="000000"/>
          <w:sz w:val="28"/>
          <w:szCs w:val="28"/>
          <w:u w:val="single"/>
        </w:rPr>
        <w:t xml:space="preserve">                                    </w:t>
      </w:r>
    </w:p>
    <w:p w14:paraId="24AE634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三、质疑事项具体内容</w:t>
      </w:r>
    </w:p>
    <w:p w14:paraId="64435D7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质疑事项1：</w:t>
      </w:r>
      <w:r>
        <w:rPr>
          <w:rFonts w:ascii="宋体" w:hAnsi="宋体" w:cs="宋体"/>
          <w:color w:val="000000"/>
          <w:sz w:val="28"/>
          <w:szCs w:val="28"/>
          <w:u w:val="single"/>
        </w:rPr>
        <w:t xml:space="preserve">                                         </w:t>
      </w:r>
    </w:p>
    <w:p w14:paraId="67E3575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事实依据：</w:t>
      </w:r>
      <w:r>
        <w:rPr>
          <w:rFonts w:ascii="宋体" w:hAnsi="宋体" w:cs="宋体"/>
          <w:color w:val="000000"/>
          <w:sz w:val="28"/>
          <w:szCs w:val="28"/>
          <w:u w:val="single"/>
        </w:rPr>
        <w:t xml:space="preserve">                                           </w:t>
      </w:r>
    </w:p>
    <w:p w14:paraId="572273B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法律依据：</w:t>
      </w:r>
      <w:r>
        <w:rPr>
          <w:rFonts w:ascii="宋体" w:hAnsi="宋体" w:cs="宋体"/>
          <w:color w:val="000000"/>
          <w:sz w:val="28"/>
          <w:szCs w:val="28"/>
          <w:u w:val="single"/>
        </w:rPr>
        <w:t xml:space="preserve">                                           </w:t>
      </w:r>
    </w:p>
    <w:p w14:paraId="047133B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质疑事项2</w:t>
      </w:r>
    </w:p>
    <w:p w14:paraId="249F427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w:t>
      </w:r>
    </w:p>
    <w:p w14:paraId="3F3B504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四、与质疑事项相关的质疑请求</w:t>
      </w:r>
    </w:p>
    <w:p w14:paraId="77100A1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请求：</w:t>
      </w:r>
      <w:r>
        <w:rPr>
          <w:rFonts w:ascii="宋体" w:hAnsi="宋体" w:cs="宋体"/>
          <w:color w:val="000000"/>
          <w:sz w:val="28"/>
          <w:szCs w:val="28"/>
          <w:u w:val="single"/>
        </w:rPr>
        <w:t xml:space="preserve">                                               </w:t>
      </w:r>
    </w:p>
    <w:p w14:paraId="7BF3913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ascii="宋体" w:hAnsi="宋体" w:cs="宋体"/>
          <w:color w:val="000000"/>
          <w:sz w:val="28"/>
          <w:szCs w:val="28"/>
        </w:rPr>
      </w:pPr>
    </w:p>
    <w:p w14:paraId="00023E5A">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签字(签章)：                   公章：                      </w:t>
      </w:r>
    </w:p>
    <w:p w14:paraId="33080EA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ascii="宋体" w:hAnsi="宋体" w:cs="宋体"/>
          <w:b/>
          <w:color w:val="000000"/>
          <w:sz w:val="28"/>
          <w:szCs w:val="28"/>
        </w:rPr>
      </w:pPr>
      <w:r>
        <w:rPr>
          <w:rFonts w:ascii="宋体" w:hAnsi="宋体" w:cs="宋体"/>
          <w:color w:val="000000"/>
          <w:sz w:val="28"/>
          <w:szCs w:val="28"/>
        </w:rPr>
        <w:t xml:space="preserve">日期：    </w:t>
      </w:r>
    </w:p>
    <w:p w14:paraId="525D98F5">
      <w:pPr>
        <w:spacing w:line="360" w:lineRule="auto"/>
        <w:rPr>
          <w:rFonts w:ascii="宋体" w:hAnsi="宋体" w:cs="宋体"/>
          <w:b/>
          <w:color w:val="000000"/>
          <w:sz w:val="28"/>
          <w:szCs w:val="28"/>
        </w:rPr>
      </w:pPr>
      <w:r>
        <w:rPr>
          <w:rFonts w:ascii="宋体" w:hAnsi="宋体" w:cs="宋体"/>
          <w:b/>
          <w:color w:val="000000"/>
          <w:sz w:val="28"/>
          <w:szCs w:val="28"/>
        </w:rPr>
        <w:t>质疑函制作说明：</w:t>
      </w:r>
    </w:p>
    <w:p w14:paraId="189B9ED7">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1.供应商提出质疑时，应提交质疑函和必要的证明材料。</w:t>
      </w:r>
    </w:p>
    <w:p w14:paraId="16E53333">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2.质疑供应商若委托代理人进行质疑的，质疑函应按要求列明“授权代表”的有关内容，并在附件中提交由质疑</w:t>
      </w:r>
      <w:r>
        <w:rPr>
          <w:rFonts w:ascii="宋体" w:hAnsi="宋体" w:cs="宋体"/>
          <w:color w:val="000000"/>
          <w:kern w:val="0"/>
          <w:sz w:val="28"/>
          <w:szCs w:val="28"/>
        </w:rPr>
        <w:t>供应商签署的授权委托书。授权委托书应载明代理人的姓名或者名称、代理事项、具体权限、期限和相关事项。</w:t>
      </w:r>
    </w:p>
    <w:p w14:paraId="47CE6B44">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3.质疑供应商若对项目的某一分包进行质疑，质疑函中应列明具体分包号。</w:t>
      </w:r>
    </w:p>
    <w:p w14:paraId="3EDFCDAF">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4.质疑函的质疑事项应具体、明确，并有必要的事实依据和法律依据。</w:t>
      </w:r>
    </w:p>
    <w:p w14:paraId="75E1F3E9">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5.质疑函的质疑请求应与质疑事项相关。</w:t>
      </w:r>
    </w:p>
    <w:p w14:paraId="5311678A">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6.质疑供应商为自然人的，质疑函应由本人签字；质疑供应商为法人或者其他组织的，质疑函应由法定代表人、主要负责人，或者其授权代表签字或者盖章，并加盖公章。</w:t>
      </w:r>
    </w:p>
    <w:p w14:paraId="33AD45A6">
      <w:pPr>
        <w:spacing w:line="360" w:lineRule="auto"/>
        <w:rPr>
          <w:rFonts w:ascii="宋体" w:hAnsi="宋体" w:cs="宋体"/>
          <w:color w:val="000000"/>
          <w:sz w:val="28"/>
          <w:szCs w:val="28"/>
        </w:rPr>
      </w:pPr>
      <w:r>
        <w:rPr>
          <w:rFonts w:ascii="宋体" w:hAnsi="宋体" w:cs="宋体"/>
          <w:color w:val="000000"/>
          <w:sz w:val="28"/>
          <w:szCs w:val="28"/>
        </w:rPr>
        <w:br w:type="page"/>
      </w:r>
      <w:r>
        <w:rPr>
          <w:rFonts w:ascii="宋体" w:hAnsi="宋体" w:eastAsia="宋体" w:cs="宋体"/>
          <w:b/>
          <w:color w:val="000000"/>
          <w:sz w:val="28"/>
          <w:szCs w:val="28"/>
        </w:rPr>
        <w:t>附件</w:t>
      </w:r>
      <w:r>
        <w:rPr>
          <w:rFonts w:hint="default" w:ascii="宋体" w:hAnsi="宋体" w:eastAsia="宋体" w:cs="宋体"/>
          <w:b/>
          <w:color w:val="000000"/>
          <w:sz w:val="28"/>
          <w:szCs w:val="28"/>
        </w:rPr>
        <w:t>②</w:t>
      </w:r>
    </w:p>
    <w:p w14:paraId="23A4F1DE">
      <w:pPr>
        <w:spacing w:line="360" w:lineRule="auto"/>
        <w:jc w:val="center"/>
        <w:rPr>
          <w:rFonts w:ascii="宋体" w:hAnsi="宋体" w:cs="宋体"/>
          <w:b/>
          <w:color w:val="000000"/>
          <w:sz w:val="28"/>
          <w:szCs w:val="28"/>
        </w:rPr>
      </w:pPr>
      <w:r>
        <w:rPr>
          <w:rFonts w:ascii="宋体" w:hAnsi="宋体" w:cs="宋体"/>
          <w:b/>
          <w:color w:val="000000"/>
          <w:sz w:val="28"/>
          <w:szCs w:val="28"/>
        </w:rPr>
        <w:t>投诉书范本</w:t>
      </w:r>
    </w:p>
    <w:p w14:paraId="253A57F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一、投诉相关主体基本情况</w:t>
      </w:r>
    </w:p>
    <w:p w14:paraId="57C46BB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投诉人：</w:t>
      </w:r>
      <w:r>
        <w:rPr>
          <w:rFonts w:ascii="宋体" w:hAnsi="宋体" w:cs="宋体"/>
          <w:color w:val="000000"/>
          <w:sz w:val="28"/>
          <w:szCs w:val="28"/>
          <w:u w:val="single"/>
        </w:rPr>
        <w:t xml:space="preserve">                                               </w:t>
      </w:r>
    </w:p>
    <w:p w14:paraId="1FDD0BD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5FF0AC26">
      <w:pPr>
        <w:keepNext w:val="0"/>
        <w:keepLines w:val="0"/>
        <w:pageBreakBefore w:val="0"/>
        <w:widowControl w:val="0"/>
        <w:tabs>
          <w:tab w:val="left" w:pos="6510"/>
        </w:tabs>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法定代表人/主要负责人：</w:t>
      </w:r>
      <w:r>
        <w:rPr>
          <w:rFonts w:ascii="宋体" w:hAnsi="宋体" w:cs="宋体"/>
          <w:color w:val="000000"/>
          <w:sz w:val="28"/>
          <w:szCs w:val="28"/>
          <w:u w:val="single"/>
        </w:rPr>
        <w:t xml:space="preserve">                                </w:t>
      </w:r>
    </w:p>
    <w:p w14:paraId="1199EB3A">
      <w:pPr>
        <w:keepNext w:val="0"/>
        <w:keepLines w:val="0"/>
        <w:pageBreakBefore w:val="0"/>
        <w:widowControl w:val="0"/>
        <w:tabs>
          <w:tab w:val="left" w:pos="6510"/>
        </w:tabs>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联系电话：</w:t>
      </w:r>
      <w:r>
        <w:rPr>
          <w:rFonts w:ascii="宋体" w:hAnsi="宋体" w:cs="宋体"/>
          <w:color w:val="000000"/>
          <w:sz w:val="28"/>
          <w:szCs w:val="28"/>
          <w:u w:val="single"/>
        </w:rPr>
        <w:t xml:space="preserve">                                             </w:t>
      </w:r>
    </w:p>
    <w:p w14:paraId="0BCC304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授权代表：</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14A4CC8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0F87E9E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被投诉人1：</w:t>
      </w:r>
      <w:r>
        <w:rPr>
          <w:rFonts w:ascii="宋体" w:hAnsi="宋体" w:cs="宋体"/>
          <w:color w:val="000000"/>
          <w:sz w:val="28"/>
          <w:szCs w:val="28"/>
          <w:u w:val="single"/>
        </w:rPr>
        <w:t xml:space="preserve">                                            </w:t>
      </w:r>
    </w:p>
    <w:p w14:paraId="5E6D6EA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0A753F0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68F9C37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被投诉人2</w:t>
      </w:r>
    </w:p>
    <w:p w14:paraId="70538E7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w:t>
      </w:r>
    </w:p>
    <w:p w14:paraId="6BF902D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相关供应商：</w:t>
      </w:r>
      <w:r>
        <w:rPr>
          <w:rFonts w:ascii="宋体" w:hAnsi="宋体" w:cs="宋体"/>
          <w:color w:val="000000"/>
          <w:sz w:val="28"/>
          <w:szCs w:val="28"/>
          <w:u w:val="single"/>
        </w:rPr>
        <w:t xml:space="preserve">                                           </w:t>
      </w:r>
    </w:p>
    <w:p w14:paraId="682E45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3C4C6A6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2C89447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二、投诉项目基本情况</w:t>
      </w:r>
    </w:p>
    <w:p w14:paraId="7585BB0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采购项目名称：</w:t>
      </w:r>
      <w:r>
        <w:rPr>
          <w:rFonts w:ascii="宋体" w:hAnsi="宋体" w:cs="宋体"/>
          <w:color w:val="000000"/>
          <w:sz w:val="28"/>
          <w:szCs w:val="28"/>
          <w:u w:val="single"/>
        </w:rPr>
        <w:t xml:space="preserve">                                         </w:t>
      </w:r>
    </w:p>
    <w:p w14:paraId="6B5C704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采购项目编号：</w:t>
      </w:r>
      <w:r>
        <w:rPr>
          <w:rFonts w:ascii="宋体" w:hAnsi="宋体" w:cs="宋体"/>
          <w:color w:val="000000"/>
          <w:sz w:val="28"/>
          <w:szCs w:val="28"/>
          <w:u w:val="single"/>
        </w:rPr>
        <w:t xml:space="preserve">                                        </w:t>
      </w:r>
    </w:p>
    <w:p w14:paraId="5EAAFD5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采购人名称：</w:t>
      </w:r>
      <w:r>
        <w:rPr>
          <w:rFonts w:ascii="宋体" w:hAnsi="宋体" w:cs="宋体"/>
          <w:color w:val="000000"/>
          <w:sz w:val="28"/>
          <w:szCs w:val="28"/>
          <w:u w:val="single"/>
        </w:rPr>
        <w:t xml:space="preserve">                                           </w:t>
      </w:r>
    </w:p>
    <w:p w14:paraId="49CD28D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代理机构名称：</w:t>
      </w:r>
      <w:r>
        <w:rPr>
          <w:rFonts w:ascii="宋体" w:hAnsi="宋体" w:cs="宋体"/>
          <w:color w:val="000000"/>
          <w:sz w:val="28"/>
          <w:szCs w:val="28"/>
          <w:u w:val="single"/>
        </w:rPr>
        <w:t xml:space="preserve">                                         </w:t>
      </w:r>
    </w:p>
    <w:p w14:paraId="5DFDBEB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采购文件公告:</w:t>
      </w:r>
      <w:r>
        <w:rPr>
          <w:rFonts w:ascii="宋体" w:hAnsi="宋体" w:cs="宋体"/>
          <w:color w:val="000000"/>
          <w:sz w:val="28"/>
          <w:szCs w:val="28"/>
          <w:u w:val="single"/>
        </w:rPr>
        <w:t xml:space="preserve">是/否 </w:t>
      </w:r>
      <w:r>
        <w:rPr>
          <w:rFonts w:ascii="宋体" w:hAnsi="宋体" w:cs="宋体"/>
          <w:color w:val="000000"/>
          <w:sz w:val="28"/>
          <w:szCs w:val="28"/>
        </w:rPr>
        <w:t xml:space="preserve">    公告期限：</w:t>
      </w:r>
      <w:r>
        <w:rPr>
          <w:rFonts w:ascii="宋体" w:hAnsi="宋体" w:cs="宋体"/>
          <w:color w:val="000000"/>
          <w:sz w:val="28"/>
          <w:szCs w:val="28"/>
          <w:u w:val="single"/>
        </w:rPr>
        <w:t xml:space="preserve">                      </w:t>
      </w:r>
    </w:p>
    <w:p w14:paraId="240E74A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采购结果公告:</w:t>
      </w:r>
      <w:r>
        <w:rPr>
          <w:rFonts w:ascii="宋体" w:hAnsi="宋体" w:cs="宋体"/>
          <w:color w:val="000000"/>
          <w:sz w:val="28"/>
          <w:szCs w:val="28"/>
          <w:u w:val="single"/>
        </w:rPr>
        <w:t xml:space="preserve">是/否 </w:t>
      </w:r>
      <w:r>
        <w:rPr>
          <w:rFonts w:ascii="宋体" w:hAnsi="宋体" w:cs="宋体"/>
          <w:color w:val="000000"/>
          <w:sz w:val="28"/>
          <w:szCs w:val="28"/>
        </w:rPr>
        <w:t xml:space="preserve">    公告期限：</w:t>
      </w:r>
      <w:r>
        <w:rPr>
          <w:rFonts w:ascii="宋体" w:hAnsi="宋体" w:cs="宋体"/>
          <w:color w:val="000000"/>
          <w:sz w:val="28"/>
          <w:szCs w:val="28"/>
          <w:u w:val="single"/>
        </w:rPr>
        <w:t xml:space="preserve">                      </w:t>
      </w:r>
    </w:p>
    <w:p w14:paraId="0D40621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三、质疑基本情况</w:t>
      </w:r>
    </w:p>
    <w:p w14:paraId="4AFD1BF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投诉人于</w:t>
      </w:r>
      <w:r>
        <w:rPr>
          <w:rFonts w:ascii="宋体" w:hAnsi="宋体" w:cs="宋体"/>
          <w:color w:val="000000"/>
          <w:sz w:val="28"/>
          <w:szCs w:val="28"/>
          <w:u w:val="single"/>
        </w:rPr>
        <w:t xml:space="preserve">       </w:t>
      </w:r>
      <w:r>
        <w:rPr>
          <w:rFonts w:ascii="宋体" w:hAnsi="宋体" w:cs="宋体"/>
          <w:color w:val="000000"/>
          <w:sz w:val="28"/>
          <w:szCs w:val="28"/>
        </w:rPr>
        <w:t>年</w:t>
      </w:r>
      <w:r>
        <w:rPr>
          <w:rFonts w:ascii="宋体" w:hAnsi="宋体" w:cs="宋体"/>
          <w:color w:val="000000"/>
          <w:sz w:val="28"/>
          <w:szCs w:val="28"/>
          <w:u w:val="single"/>
        </w:rPr>
        <w:t xml:space="preserve">   </w:t>
      </w:r>
      <w:r>
        <w:rPr>
          <w:rFonts w:ascii="宋体" w:hAnsi="宋体" w:cs="宋体"/>
          <w:color w:val="000000"/>
          <w:sz w:val="28"/>
          <w:szCs w:val="28"/>
        </w:rPr>
        <w:t>月</w:t>
      </w:r>
      <w:r>
        <w:rPr>
          <w:rFonts w:ascii="宋体" w:hAnsi="宋体" w:cs="宋体"/>
          <w:color w:val="000000"/>
          <w:sz w:val="28"/>
          <w:szCs w:val="28"/>
          <w:u w:val="single"/>
        </w:rPr>
        <w:t xml:space="preserve">  </w:t>
      </w:r>
      <w:r>
        <w:rPr>
          <w:rFonts w:ascii="宋体" w:hAnsi="宋体" w:cs="宋体"/>
          <w:color w:val="000000"/>
          <w:sz w:val="28"/>
          <w:szCs w:val="28"/>
        </w:rPr>
        <w:t>日,向</w:t>
      </w:r>
      <w:r>
        <w:rPr>
          <w:rFonts w:ascii="宋体" w:hAnsi="宋体" w:cs="宋体"/>
          <w:color w:val="000000"/>
          <w:sz w:val="28"/>
          <w:szCs w:val="28"/>
          <w:u w:val="single"/>
        </w:rPr>
        <w:t xml:space="preserve">                        </w:t>
      </w:r>
      <w:r>
        <w:rPr>
          <w:rFonts w:ascii="宋体" w:hAnsi="宋体" w:cs="宋体"/>
          <w:color w:val="000000"/>
          <w:sz w:val="28"/>
          <w:szCs w:val="28"/>
        </w:rPr>
        <w:t>提出质疑，质疑事项为：</w:t>
      </w:r>
      <w:r>
        <w:rPr>
          <w:rFonts w:ascii="宋体" w:hAnsi="宋体" w:cs="宋体"/>
          <w:color w:val="000000"/>
          <w:sz w:val="28"/>
          <w:szCs w:val="28"/>
          <w:u w:val="single"/>
        </w:rPr>
        <w:t xml:space="preserve">                                </w:t>
      </w:r>
    </w:p>
    <w:p w14:paraId="6E58684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u w:val="single"/>
        </w:rPr>
        <w:t>采购人/代理机构</w:t>
      </w:r>
      <w:r>
        <w:rPr>
          <w:rFonts w:ascii="宋体" w:hAnsi="宋体" w:cs="宋体"/>
          <w:color w:val="000000"/>
          <w:sz w:val="28"/>
          <w:szCs w:val="28"/>
        </w:rPr>
        <w:t>于</w:t>
      </w:r>
      <w:r>
        <w:rPr>
          <w:rFonts w:ascii="宋体" w:hAnsi="宋体" w:cs="宋体"/>
          <w:color w:val="000000"/>
          <w:sz w:val="28"/>
          <w:szCs w:val="28"/>
          <w:u w:val="single"/>
        </w:rPr>
        <w:t xml:space="preserve">      </w:t>
      </w:r>
      <w:r>
        <w:rPr>
          <w:rFonts w:ascii="宋体" w:hAnsi="宋体" w:cs="宋体"/>
          <w:color w:val="000000"/>
          <w:sz w:val="28"/>
          <w:szCs w:val="28"/>
        </w:rPr>
        <w:t>年</w:t>
      </w:r>
      <w:r>
        <w:rPr>
          <w:rFonts w:ascii="宋体" w:hAnsi="宋体" w:cs="宋体"/>
          <w:color w:val="000000"/>
          <w:sz w:val="28"/>
          <w:szCs w:val="28"/>
          <w:u w:val="single"/>
        </w:rPr>
        <w:t xml:space="preserve">   </w:t>
      </w:r>
      <w:r>
        <w:rPr>
          <w:rFonts w:ascii="宋体" w:hAnsi="宋体" w:cs="宋体"/>
          <w:color w:val="000000"/>
          <w:sz w:val="28"/>
          <w:szCs w:val="28"/>
        </w:rPr>
        <w:t>月</w:t>
      </w:r>
      <w:r>
        <w:rPr>
          <w:rFonts w:ascii="宋体" w:hAnsi="宋体" w:cs="宋体"/>
          <w:color w:val="000000"/>
          <w:sz w:val="28"/>
          <w:szCs w:val="28"/>
          <w:u w:val="single"/>
        </w:rPr>
        <w:t xml:space="preserve">   </w:t>
      </w:r>
      <w:r>
        <w:rPr>
          <w:rFonts w:ascii="宋体" w:hAnsi="宋体" w:cs="宋体"/>
          <w:color w:val="000000"/>
          <w:sz w:val="28"/>
          <w:szCs w:val="28"/>
        </w:rPr>
        <w:t>日,就质疑事项作出了答复/没有在法定期限内作出答复。</w:t>
      </w:r>
    </w:p>
    <w:p w14:paraId="78A2EEA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四、投诉事项具体内容</w:t>
      </w:r>
    </w:p>
    <w:p w14:paraId="64A7C25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投诉事项 1：</w:t>
      </w:r>
      <w:r>
        <w:rPr>
          <w:rFonts w:ascii="宋体" w:hAnsi="宋体" w:cs="宋体"/>
          <w:color w:val="000000"/>
          <w:sz w:val="28"/>
          <w:szCs w:val="28"/>
          <w:u w:val="single"/>
        </w:rPr>
        <w:t xml:space="preserve">                                       </w:t>
      </w:r>
    </w:p>
    <w:p w14:paraId="7069252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事实依据：</w:t>
      </w:r>
      <w:r>
        <w:rPr>
          <w:rFonts w:ascii="宋体" w:hAnsi="宋体" w:cs="宋体"/>
          <w:color w:val="000000"/>
          <w:sz w:val="28"/>
          <w:szCs w:val="28"/>
          <w:u w:val="single"/>
        </w:rPr>
        <w:t xml:space="preserve">                                         </w:t>
      </w:r>
    </w:p>
    <w:p w14:paraId="1EECD3C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法律依据：</w:t>
      </w:r>
      <w:r>
        <w:rPr>
          <w:rFonts w:ascii="宋体" w:hAnsi="宋体" w:cs="宋体"/>
          <w:color w:val="000000"/>
          <w:sz w:val="28"/>
          <w:szCs w:val="28"/>
          <w:u w:val="single"/>
        </w:rPr>
        <w:t xml:space="preserve">                                         </w:t>
      </w:r>
    </w:p>
    <w:p w14:paraId="51790F2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投诉事项2</w:t>
      </w:r>
    </w:p>
    <w:p w14:paraId="071AF7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w:t>
      </w:r>
    </w:p>
    <w:p w14:paraId="02DEC34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五、与投诉事项相关的投诉请求</w:t>
      </w:r>
    </w:p>
    <w:p w14:paraId="153B136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请求：</w:t>
      </w:r>
      <w:r>
        <w:rPr>
          <w:rFonts w:ascii="宋体" w:hAnsi="宋体" w:cs="宋体"/>
          <w:color w:val="000000"/>
          <w:sz w:val="28"/>
          <w:szCs w:val="28"/>
          <w:u w:val="single"/>
        </w:rPr>
        <w:t xml:space="preserve">                                             </w:t>
      </w:r>
    </w:p>
    <w:p w14:paraId="70670AC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p>
    <w:p w14:paraId="5CC1B75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p>
    <w:p w14:paraId="5B803CE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签字(签章)：</w:t>
      </w:r>
      <w:r>
        <w:rPr>
          <w:rFonts w:ascii="宋体" w:hAnsi="宋体" w:cs="宋体"/>
          <w:color w:val="000000"/>
          <w:sz w:val="28"/>
          <w:szCs w:val="28"/>
          <w:u w:val="single"/>
        </w:rPr>
        <w:t xml:space="preserve">                  </w:t>
      </w:r>
      <w:r>
        <w:rPr>
          <w:rFonts w:ascii="宋体" w:hAnsi="宋体" w:cs="宋体"/>
          <w:color w:val="000000"/>
          <w:sz w:val="28"/>
          <w:szCs w:val="28"/>
        </w:rPr>
        <w:t xml:space="preserve"> 公章：</w:t>
      </w:r>
      <w:r>
        <w:rPr>
          <w:rFonts w:ascii="宋体" w:hAnsi="宋体" w:cs="宋体"/>
          <w:color w:val="000000"/>
          <w:sz w:val="28"/>
          <w:szCs w:val="28"/>
          <w:u w:val="single"/>
        </w:rPr>
        <w:t xml:space="preserve">                      </w:t>
      </w:r>
    </w:p>
    <w:p w14:paraId="2227AA1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p>
    <w:p w14:paraId="398DA79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b/>
          <w:color w:val="000000"/>
          <w:sz w:val="28"/>
          <w:szCs w:val="28"/>
        </w:rPr>
      </w:pPr>
      <w:r>
        <w:rPr>
          <w:rFonts w:ascii="宋体" w:hAnsi="宋体" w:cs="宋体"/>
          <w:color w:val="000000"/>
          <w:sz w:val="28"/>
          <w:szCs w:val="28"/>
        </w:rPr>
        <w:t>日期：</w:t>
      </w:r>
      <w:r>
        <w:rPr>
          <w:rFonts w:ascii="宋体" w:hAnsi="宋体" w:cs="宋体"/>
          <w:color w:val="000000"/>
          <w:sz w:val="28"/>
          <w:szCs w:val="28"/>
          <w:u w:val="single"/>
        </w:rPr>
        <w:t xml:space="preserve">                </w:t>
      </w:r>
    </w:p>
    <w:p w14:paraId="0829F0F0">
      <w:pPr>
        <w:spacing w:line="360" w:lineRule="auto"/>
        <w:rPr>
          <w:rFonts w:ascii="宋体" w:hAnsi="宋体" w:cs="宋体"/>
          <w:b/>
          <w:color w:val="000000"/>
          <w:sz w:val="28"/>
          <w:szCs w:val="28"/>
        </w:rPr>
      </w:pPr>
    </w:p>
    <w:p w14:paraId="7DE7E0D8">
      <w:pPr>
        <w:spacing w:line="360" w:lineRule="auto"/>
        <w:rPr>
          <w:rFonts w:ascii="宋体" w:hAnsi="宋体" w:cs="宋体"/>
          <w:b/>
          <w:color w:val="000000"/>
          <w:sz w:val="28"/>
          <w:szCs w:val="28"/>
        </w:rPr>
      </w:pPr>
    </w:p>
    <w:p w14:paraId="266FD9EC">
      <w:pPr>
        <w:spacing w:line="360" w:lineRule="auto"/>
        <w:rPr>
          <w:rFonts w:ascii="宋体" w:hAnsi="宋体" w:cs="宋体"/>
          <w:b/>
          <w:color w:val="000000"/>
          <w:sz w:val="28"/>
          <w:szCs w:val="28"/>
        </w:rPr>
      </w:pPr>
    </w:p>
    <w:p w14:paraId="605666C1">
      <w:pPr>
        <w:spacing w:line="360" w:lineRule="auto"/>
        <w:rPr>
          <w:rFonts w:ascii="宋体" w:hAnsi="宋体" w:cs="宋体"/>
          <w:b/>
          <w:color w:val="000000"/>
          <w:sz w:val="28"/>
          <w:szCs w:val="28"/>
        </w:rPr>
      </w:pPr>
    </w:p>
    <w:p w14:paraId="07A85AF2">
      <w:pPr>
        <w:spacing w:line="360" w:lineRule="auto"/>
        <w:rPr>
          <w:rFonts w:ascii="宋体" w:hAnsi="宋体" w:cs="宋体"/>
          <w:b/>
          <w:color w:val="000000"/>
          <w:sz w:val="28"/>
          <w:szCs w:val="28"/>
        </w:rPr>
      </w:pPr>
    </w:p>
    <w:p w14:paraId="5393695B">
      <w:pPr>
        <w:spacing w:line="360" w:lineRule="auto"/>
        <w:rPr>
          <w:rFonts w:ascii="宋体" w:hAnsi="宋体" w:cs="宋体"/>
          <w:b/>
          <w:color w:val="000000"/>
          <w:sz w:val="28"/>
          <w:szCs w:val="28"/>
        </w:rPr>
      </w:pPr>
    </w:p>
    <w:p w14:paraId="7E733547">
      <w:pPr>
        <w:spacing w:line="360" w:lineRule="auto"/>
        <w:rPr>
          <w:rFonts w:ascii="宋体" w:hAnsi="宋体" w:cs="宋体"/>
          <w:b/>
          <w:color w:val="000000"/>
          <w:sz w:val="28"/>
          <w:szCs w:val="28"/>
        </w:rPr>
      </w:pPr>
    </w:p>
    <w:p w14:paraId="1BD82708">
      <w:pPr>
        <w:spacing w:line="360" w:lineRule="auto"/>
        <w:rPr>
          <w:rFonts w:ascii="宋体" w:hAnsi="宋体" w:cs="宋体"/>
          <w:b/>
          <w:color w:val="000000"/>
          <w:sz w:val="28"/>
          <w:szCs w:val="28"/>
        </w:rPr>
      </w:pPr>
    </w:p>
    <w:p w14:paraId="30C5CA84">
      <w:pPr>
        <w:spacing w:line="360" w:lineRule="auto"/>
        <w:rPr>
          <w:rFonts w:ascii="宋体" w:hAnsi="宋体" w:cs="宋体"/>
          <w:b/>
          <w:color w:val="000000"/>
          <w:sz w:val="28"/>
          <w:szCs w:val="28"/>
        </w:rPr>
      </w:pPr>
      <w:r>
        <w:rPr>
          <w:rFonts w:ascii="宋体" w:hAnsi="宋体" w:cs="宋体"/>
          <w:b/>
          <w:color w:val="000000"/>
          <w:sz w:val="28"/>
          <w:szCs w:val="28"/>
        </w:rPr>
        <w:t>投诉书制作说明：</w:t>
      </w:r>
    </w:p>
    <w:p w14:paraId="715AAAA2">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kern w:val="0"/>
          <w:sz w:val="28"/>
          <w:szCs w:val="28"/>
        </w:rPr>
      </w:pPr>
      <w:r>
        <w:rPr>
          <w:rFonts w:ascii="宋体" w:hAnsi="宋体" w:cs="宋体"/>
          <w:color w:val="000000"/>
          <w:sz w:val="28"/>
          <w:szCs w:val="28"/>
        </w:rPr>
        <w:t>1.投诉人提起投诉时，应当提交投诉书和必要的证明材料，并按照被投诉人和与投诉事项有关的供应商数量提供投诉书副本。</w:t>
      </w:r>
    </w:p>
    <w:p w14:paraId="31283D80">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kern w:val="0"/>
          <w:sz w:val="28"/>
          <w:szCs w:val="28"/>
        </w:rPr>
      </w:pPr>
      <w:r>
        <w:rPr>
          <w:rFonts w:ascii="宋体" w:hAnsi="宋体" w:cs="宋体"/>
          <w:color w:val="000000"/>
          <w:sz w:val="28"/>
          <w:szCs w:val="28"/>
        </w:rPr>
        <w:t>2.投诉人若委托代理人进行投诉的，投诉书应按照要求列明“授权代表”的有关内容，并在附件中提交由</w:t>
      </w:r>
      <w:r>
        <w:rPr>
          <w:rFonts w:ascii="宋体" w:hAnsi="宋体" w:cs="宋体"/>
          <w:color w:val="000000"/>
          <w:kern w:val="0"/>
          <w:sz w:val="28"/>
          <w:szCs w:val="28"/>
        </w:rPr>
        <w:t>投诉人签署的授权委托书。授权委托书应当载明代理人的姓名或者名称、代理事项、具体权限、期限和相关事项。</w:t>
      </w:r>
    </w:p>
    <w:p w14:paraId="16C4133F">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3.投诉人若对项目的某一分包进行投诉，投诉书应列明具体分包号。</w:t>
      </w:r>
    </w:p>
    <w:p w14:paraId="7FE063EC">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4.投诉书应简要列明质疑事项，质疑函、质疑答复等作为附件材料提供。</w:t>
      </w:r>
    </w:p>
    <w:p w14:paraId="21362B9C">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5.投诉书的投诉事项应具体、明确，并有必要的事实依据和法律依据。</w:t>
      </w:r>
    </w:p>
    <w:p w14:paraId="34D96847">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6.投诉书的投诉请求应与投诉事项相关。</w:t>
      </w:r>
    </w:p>
    <w:p w14:paraId="1C45B1A4">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7.投诉人为自然人的，投诉书应当由本人签字；投诉人为法人或者其他组织的，投诉书应当由法定代表人、主要负责人，或者其授权代表签字或者盖章，并加盖公章。</w:t>
      </w:r>
    </w:p>
    <w:p w14:paraId="679599AA">
      <w:pPr>
        <w:spacing w:line="360" w:lineRule="auto"/>
        <w:ind w:firstLine="560" w:firstLineChars="200"/>
        <w:rPr>
          <w:rFonts w:ascii="宋体" w:hAnsi="宋体" w:cs="宋体"/>
          <w:color w:val="000000"/>
          <w:sz w:val="28"/>
          <w:szCs w:val="28"/>
        </w:rPr>
      </w:pPr>
    </w:p>
    <w:p w14:paraId="69D6F79D">
      <w:pPr>
        <w:pStyle w:val="17"/>
        <w:spacing w:line="360" w:lineRule="auto"/>
        <w:jc w:val="left"/>
        <w:rPr>
          <w:rFonts w:hint="eastAsia" w:ascii="宋体" w:hAnsi="宋体" w:cs="宋体"/>
          <w:sz w:val="28"/>
          <w:szCs w:val="28"/>
        </w:rPr>
        <w:sectPr>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764BC2DB">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ascii="宋体" w:hAnsi="宋体" w:cs="宋体"/>
          <w:b/>
          <w:color w:val="000000"/>
          <w:sz w:val="28"/>
          <w:szCs w:val="28"/>
        </w:rPr>
      </w:pPr>
      <w:bookmarkStart w:id="101" w:name="_Toc6968"/>
      <w:bookmarkStart w:id="102" w:name="_Toc5779"/>
      <w:bookmarkStart w:id="103" w:name="_Toc29229"/>
      <w:bookmarkStart w:id="104" w:name="_Toc421778374"/>
      <w:bookmarkStart w:id="105" w:name="_Toc420591652"/>
      <w:bookmarkStart w:id="106" w:name="_Toc425240473"/>
      <w:r>
        <w:rPr>
          <w:rFonts w:hint="eastAsia" w:ascii="宋体" w:hAnsi="宋体" w:cs="宋体"/>
          <w:b/>
          <w:color w:val="000000"/>
          <w:sz w:val="28"/>
          <w:szCs w:val="28"/>
          <w:lang w:val="en-US" w:eastAsia="zh-CN"/>
        </w:rPr>
        <w:t>10</w:t>
      </w:r>
      <w:r>
        <w:rPr>
          <w:rFonts w:ascii="宋体" w:hAnsi="宋体" w:cs="宋体"/>
          <w:b/>
          <w:color w:val="000000"/>
          <w:sz w:val="28"/>
          <w:szCs w:val="28"/>
        </w:rPr>
        <w:t>、需要补充的其他内容</w:t>
      </w:r>
      <w:bookmarkEnd w:id="101"/>
      <w:bookmarkEnd w:id="102"/>
      <w:bookmarkEnd w:id="103"/>
      <w:bookmarkStart w:id="107" w:name="_Toc356305901"/>
    </w:p>
    <w:bookmarkEnd w:id="104"/>
    <w:bookmarkEnd w:id="105"/>
    <w:bookmarkEnd w:id="106"/>
    <w:bookmarkEnd w:id="107"/>
    <w:p w14:paraId="45ED514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bookmarkStart w:id="108" w:name="_Hlk525811728"/>
      <w:r>
        <w:rPr>
          <w:rFonts w:hint="eastAsia" w:ascii="宋体" w:hAnsi="宋体" w:cs="宋体"/>
          <w:b/>
          <w:color w:val="000000"/>
          <w:sz w:val="28"/>
          <w:szCs w:val="28"/>
          <w:lang w:val="en-US" w:eastAsia="zh-CN"/>
        </w:rPr>
        <w:t>10</w:t>
      </w:r>
      <w:r>
        <w:rPr>
          <w:rFonts w:ascii="宋体" w:hAnsi="宋体" w:cs="宋体"/>
          <w:b/>
          <w:color w:val="000000"/>
          <w:sz w:val="28"/>
          <w:szCs w:val="28"/>
        </w:rPr>
        <w:t>.1合格供应商（社会资本）不足3家的有关法律条文</w:t>
      </w:r>
    </w:p>
    <w:bookmarkEnd w:id="108"/>
    <w:p w14:paraId="78B7DD3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w:t>
      </w:r>
      <w:bookmarkStart w:id="109" w:name="_Toc525798436"/>
      <w:r>
        <w:rPr>
          <w:rFonts w:ascii="宋体" w:hAnsi="宋体" w:cs="宋体"/>
          <w:b/>
          <w:color w:val="000000"/>
          <w:sz w:val="28"/>
          <w:szCs w:val="28"/>
        </w:rPr>
        <w:t>财政部关于政府采购竞争性磋商采购方式管理暂行办法有关问题的补充通知</w:t>
      </w:r>
      <w:bookmarkEnd w:id="109"/>
      <w:r>
        <w:rPr>
          <w:rFonts w:ascii="宋体" w:hAnsi="宋体" w:cs="宋体"/>
          <w:b/>
          <w:color w:val="000000"/>
          <w:sz w:val="28"/>
          <w:szCs w:val="28"/>
        </w:rPr>
        <w:t>--财库〔2015〕124号</w:t>
      </w:r>
    </w:p>
    <w:p w14:paraId="0ACDF60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66F7C16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（2）财政部关于印发《政府采购竞争性磋商采购方式管理暂行办法》的通知--财库〔2014〕214号</w:t>
      </w:r>
    </w:p>
    <w:p w14:paraId="2C4EA98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第二十一条磋商文件能够详细列明采购标的的技术、服务要求的，磋商结束后，磋商小组应当要求所有实质性响应的供应商在规定时间内提交最后报价，提交最后报价的供应商不得少于3家。</w:t>
      </w:r>
    </w:p>
    <w:p w14:paraId="4D7048B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DF8CB7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最后报价是供应商响应文件的有效组成部分。符合本办法第三条第四项情形的，提交最后报价的供应商可以为2家。</w:t>
      </w:r>
    </w:p>
    <w:p w14:paraId="4DBAC72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10</w:t>
      </w:r>
      <w:r>
        <w:rPr>
          <w:rFonts w:ascii="宋体" w:hAnsi="宋体" w:cs="宋体"/>
          <w:color w:val="000000"/>
          <w:sz w:val="28"/>
          <w:szCs w:val="28"/>
        </w:rPr>
        <w:t>.2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494E020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10</w:t>
      </w:r>
      <w:r>
        <w:rPr>
          <w:rFonts w:ascii="宋体" w:hAnsi="宋体" w:cs="宋体"/>
          <w:color w:val="000000"/>
          <w:sz w:val="28"/>
          <w:szCs w:val="28"/>
        </w:rPr>
        <w:t>.3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谈判。</w:t>
      </w:r>
    </w:p>
    <w:p w14:paraId="6996A1D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10</w:t>
      </w:r>
      <w:r>
        <w:rPr>
          <w:rFonts w:ascii="宋体" w:hAnsi="宋体" w:cs="宋体"/>
          <w:color w:val="000000"/>
          <w:sz w:val="28"/>
          <w:szCs w:val="28"/>
        </w:rPr>
        <w:t>.</w:t>
      </w:r>
      <w:r>
        <w:rPr>
          <w:rFonts w:hint="eastAsia" w:ascii="宋体" w:hAnsi="宋体" w:cs="宋体"/>
          <w:color w:val="000000"/>
          <w:sz w:val="28"/>
          <w:szCs w:val="28"/>
          <w:lang w:val="en-US" w:eastAsia="zh-CN"/>
        </w:rPr>
        <w:t>4</w:t>
      </w:r>
      <w:r>
        <w:rPr>
          <w:rFonts w:ascii="宋体" w:hAnsi="宋体" w:cs="宋体"/>
          <w:color w:val="000000"/>
          <w:sz w:val="28"/>
          <w:szCs w:val="28"/>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6A3FF8AF">
      <w:pPr>
        <w:spacing w:line="360" w:lineRule="auto"/>
        <w:ind w:firstLine="560" w:firstLineChars="200"/>
        <w:rPr>
          <w:rFonts w:ascii="宋体" w:hAnsi="宋体" w:cs="宋体"/>
          <w:sz w:val="28"/>
          <w:szCs w:val="28"/>
        </w:rPr>
      </w:pPr>
    </w:p>
    <w:p w14:paraId="5392D6C7">
      <w:pPr>
        <w:spacing w:line="360" w:lineRule="auto"/>
        <w:ind w:firstLine="560" w:firstLineChars="200"/>
        <w:rPr>
          <w:rFonts w:ascii="宋体" w:hAnsi="宋体" w:cs="宋体"/>
          <w:sz w:val="28"/>
          <w:szCs w:val="28"/>
        </w:rPr>
        <w:sectPr>
          <w:footerReference r:id="rId10"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08E4F4C7">
      <w:pPr>
        <w:pStyle w:val="2"/>
        <w:jc w:val="center"/>
        <w:rPr>
          <w:rFonts w:ascii="宋体" w:hAnsi="宋体" w:cs="宋体"/>
          <w:sz w:val="28"/>
          <w:szCs w:val="28"/>
        </w:rPr>
      </w:pPr>
      <w:bookmarkStart w:id="110" w:name="_Toc20951"/>
      <w:r>
        <w:rPr>
          <w:rFonts w:ascii="宋体" w:hAnsi="宋体" w:cs="宋体"/>
          <w:sz w:val="28"/>
          <w:szCs w:val="28"/>
        </w:rPr>
        <w:t>第三章 评标办法</w:t>
      </w:r>
      <w:bookmarkEnd w:id="93"/>
      <w:bookmarkEnd w:id="110"/>
    </w:p>
    <w:p w14:paraId="31D9E274">
      <w:pPr>
        <w:pStyle w:val="4"/>
        <w:spacing w:before="0" w:after="0" w:line="360" w:lineRule="auto"/>
        <w:jc w:val="center"/>
        <w:rPr>
          <w:rFonts w:ascii="宋体" w:hAnsi="宋体" w:cs="宋体"/>
          <w:sz w:val="28"/>
          <w:szCs w:val="28"/>
        </w:rPr>
      </w:pPr>
      <w:bookmarkStart w:id="111" w:name="_Toc500323096"/>
      <w:bookmarkStart w:id="112" w:name="_Toc19901"/>
      <w:bookmarkStart w:id="113" w:name="_Toc11367"/>
      <w:bookmarkStart w:id="114" w:name="_Toc526842106"/>
      <w:bookmarkStart w:id="115" w:name="_Toc487726875"/>
      <w:bookmarkStart w:id="116" w:name="_Toc873"/>
      <w:bookmarkStart w:id="117" w:name="_Toc246996985"/>
      <w:bookmarkStart w:id="118" w:name="_Toc361406429"/>
      <w:bookmarkStart w:id="119" w:name="_Toc395711817"/>
      <w:bookmarkStart w:id="120" w:name="_Toc247085757"/>
      <w:bookmarkStart w:id="121" w:name="_Toc397585236"/>
      <w:bookmarkStart w:id="122" w:name="_Toc123211617"/>
      <w:bookmarkStart w:id="123" w:name="_Toc397410469"/>
      <w:bookmarkStart w:id="124" w:name="_Toc112236889"/>
      <w:bookmarkStart w:id="125" w:name="_Toc456197085"/>
      <w:bookmarkStart w:id="126" w:name="_Toc152045599"/>
      <w:bookmarkStart w:id="127" w:name="_Toc18142"/>
      <w:bookmarkStart w:id="128" w:name="_Toc397410656"/>
      <w:bookmarkStart w:id="129" w:name="_Toc179632617"/>
      <w:bookmarkStart w:id="130" w:name="_Toc144974566"/>
      <w:bookmarkStart w:id="131" w:name="_Toc145989485"/>
      <w:bookmarkStart w:id="132" w:name="_Toc169940988"/>
      <w:bookmarkStart w:id="133" w:name="_Toc343511682"/>
      <w:bookmarkStart w:id="134" w:name="_Toc394320898"/>
      <w:bookmarkStart w:id="135" w:name="_Toc361406350"/>
      <w:bookmarkStart w:id="136" w:name="_Toc221523517"/>
      <w:bookmarkStart w:id="137" w:name="_Toc246996242"/>
      <w:bookmarkStart w:id="138" w:name="_Toc132684599"/>
      <w:bookmarkStart w:id="139" w:name="_Toc225592722"/>
      <w:bookmarkStart w:id="140" w:name="_Toc152042376"/>
      <w:bookmarkStart w:id="141" w:name="_Toc397585167"/>
      <w:r>
        <w:rPr>
          <w:rFonts w:ascii="宋体" w:hAnsi="宋体" w:cs="宋体"/>
          <w:sz w:val="28"/>
          <w:szCs w:val="28"/>
        </w:rPr>
        <w:t>评标办法前附表</w:t>
      </w:r>
      <w:bookmarkEnd w:id="111"/>
      <w:bookmarkEnd w:id="112"/>
      <w:bookmarkEnd w:id="113"/>
      <w:bookmarkEnd w:id="114"/>
      <w:bookmarkEnd w:id="115"/>
      <w:bookmarkEnd w:id="116"/>
    </w:p>
    <w:tbl>
      <w:tblPr>
        <w:tblStyle w:val="38"/>
        <w:tblW w:w="94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539"/>
        <w:gridCol w:w="2154"/>
        <w:gridCol w:w="6051"/>
      </w:tblGrid>
      <w:tr w14:paraId="3179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2D67FE4A">
            <w:pPr>
              <w:spacing w:line="360" w:lineRule="auto"/>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条款号</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DAF4CC0">
            <w:pPr>
              <w:spacing w:line="360" w:lineRule="auto"/>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评审因素</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01DB9A6D">
            <w:pPr>
              <w:spacing w:line="360" w:lineRule="auto"/>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评审标准</w:t>
            </w:r>
          </w:p>
        </w:tc>
      </w:tr>
      <w:tr w14:paraId="7CA4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1" w:type="dxa"/>
            <w:vMerge w:val="restart"/>
            <w:tcBorders>
              <w:top w:val="single" w:color="auto" w:sz="4" w:space="0"/>
              <w:left w:val="single" w:color="auto" w:sz="4" w:space="0"/>
              <w:right w:val="single" w:color="auto" w:sz="4" w:space="0"/>
            </w:tcBorders>
            <w:noWrap w:val="0"/>
            <w:vAlign w:val="center"/>
          </w:tcPr>
          <w:p w14:paraId="1A8FBA37">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2.1.1</w:t>
            </w:r>
          </w:p>
        </w:tc>
        <w:tc>
          <w:tcPr>
            <w:tcW w:w="539" w:type="dxa"/>
            <w:vMerge w:val="restart"/>
            <w:tcBorders>
              <w:top w:val="single" w:color="auto" w:sz="4" w:space="0"/>
              <w:left w:val="single" w:color="auto" w:sz="4" w:space="0"/>
              <w:right w:val="single" w:color="auto" w:sz="4" w:space="0"/>
            </w:tcBorders>
            <w:noWrap w:val="0"/>
            <w:vAlign w:val="center"/>
          </w:tcPr>
          <w:p w14:paraId="1163E707">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符合性审查</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8426339">
            <w:pPr>
              <w:spacing w:line="360" w:lineRule="auto"/>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响应</w:t>
            </w:r>
            <w:r>
              <w:rPr>
                <w:rFonts w:hint="eastAsia" w:asciiTheme="minorEastAsia" w:hAnsiTheme="minorEastAsia" w:eastAsiaTheme="minorEastAsia" w:cstheme="minorEastAsia"/>
                <w:color w:val="000000"/>
                <w:sz w:val="24"/>
                <w:szCs w:val="24"/>
              </w:rPr>
              <w:t>文件语言</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4293C114">
            <w:pPr>
              <w:spacing w:line="360" w:lineRule="auto"/>
              <w:jc w:val="both"/>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响应文件语言符合磋商文件要求。</w:t>
            </w:r>
          </w:p>
        </w:tc>
      </w:tr>
      <w:tr w14:paraId="2DEE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1" w:type="dxa"/>
            <w:vMerge w:val="continue"/>
            <w:tcBorders>
              <w:left w:val="single" w:color="auto" w:sz="4" w:space="0"/>
              <w:right w:val="single" w:color="auto" w:sz="4" w:space="0"/>
            </w:tcBorders>
            <w:noWrap w:val="0"/>
            <w:vAlign w:val="center"/>
          </w:tcPr>
          <w:p w14:paraId="1CA5C476">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1DC30D37">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8325145">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响应文件封面、响应函、法定代表人授权委托书三处的项目名称、项目编号、标段号</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064409E4">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rPr>
              <w:t>三处均无遗漏，且与所投项目名称、项目编号、标段</w:t>
            </w:r>
            <w:r>
              <w:rPr>
                <w:rFonts w:hint="eastAsia" w:asciiTheme="minorEastAsia" w:hAnsiTheme="minorEastAsia" w:eastAsiaTheme="minorEastAsia" w:cstheme="minorEastAsia"/>
                <w:color w:val="000000"/>
                <w:sz w:val="24"/>
                <w:szCs w:val="24"/>
                <w:lang w:val="en-US" w:eastAsia="zh-CN"/>
              </w:rPr>
              <w:t>号</w:t>
            </w:r>
            <w:r>
              <w:rPr>
                <w:rFonts w:hint="eastAsia" w:asciiTheme="minorEastAsia" w:hAnsiTheme="minorEastAsia" w:eastAsiaTheme="minorEastAsia" w:cstheme="minorEastAsia"/>
                <w:color w:val="000000"/>
                <w:sz w:val="24"/>
                <w:szCs w:val="24"/>
              </w:rPr>
              <w:t>完全一致。</w:t>
            </w:r>
          </w:p>
        </w:tc>
      </w:tr>
      <w:tr w14:paraId="5112B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1" w:type="dxa"/>
            <w:vMerge w:val="continue"/>
            <w:tcBorders>
              <w:left w:val="single" w:color="auto" w:sz="4" w:space="0"/>
              <w:right w:val="single" w:color="auto" w:sz="4" w:space="0"/>
            </w:tcBorders>
            <w:noWrap w:val="0"/>
            <w:vAlign w:val="center"/>
          </w:tcPr>
          <w:p w14:paraId="6ADA4983">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6F79E3E5">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28E16BC">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响应</w:t>
            </w:r>
            <w:r>
              <w:rPr>
                <w:rFonts w:hint="eastAsia" w:asciiTheme="minorEastAsia" w:hAnsiTheme="minorEastAsia" w:eastAsiaTheme="minorEastAsia" w:cstheme="minorEastAsia"/>
                <w:color w:val="000000"/>
                <w:sz w:val="24"/>
                <w:szCs w:val="24"/>
              </w:rPr>
              <w:t>文件签署、盖章</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7169A7FC">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均按磋商文件要求签字、盖章 （评分标准中要求提供的证明材料除外）。</w:t>
            </w:r>
          </w:p>
        </w:tc>
      </w:tr>
      <w:tr w14:paraId="6ACA3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1" w:type="dxa"/>
            <w:vMerge w:val="continue"/>
            <w:tcBorders>
              <w:left w:val="single" w:color="auto" w:sz="4" w:space="0"/>
              <w:right w:val="single" w:color="auto" w:sz="4" w:space="0"/>
            </w:tcBorders>
            <w:noWrap w:val="0"/>
            <w:vAlign w:val="center"/>
          </w:tcPr>
          <w:p w14:paraId="0DDB8066">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1D290EBB">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0BB96D4">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响应</w:t>
            </w:r>
            <w:r>
              <w:rPr>
                <w:rFonts w:hint="eastAsia" w:asciiTheme="minorEastAsia" w:hAnsiTheme="minorEastAsia" w:eastAsiaTheme="minorEastAsia" w:cstheme="minorEastAsia"/>
                <w:color w:val="000000"/>
                <w:sz w:val="24"/>
                <w:szCs w:val="24"/>
              </w:rPr>
              <w:t>文件组成</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2865178E">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符合“</w:t>
            </w:r>
            <w:r>
              <w:rPr>
                <w:rFonts w:hint="eastAsia" w:asciiTheme="minorEastAsia" w:hAnsiTheme="minorEastAsia" w:eastAsiaTheme="minorEastAsia" w:cstheme="minorEastAsia"/>
                <w:color w:val="000000"/>
                <w:sz w:val="24"/>
                <w:szCs w:val="24"/>
              </w:rPr>
              <w:t>第</w:t>
            </w:r>
            <w:r>
              <w:rPr>
                <w:rFonts w:hint="eastAsia" w:asciiTheme="minorEastAsia" w:hAnsiTheme="minorEastAsia" w:eastAsiaTheme="minorEastAsia" w:cstheme="minorEastAsia"/>
                <w:color w:val="000000"/>
                <w:sz w:val="24"/>
                <w:szCs w:val="24"/>
                <w:lang w:val="en-US" w:eastAsia="zh-CN"/>
              </w:rPr>
              <w:t>六</w:t>
            </w:r>
            <w:r>
              <w:rPr>
                <w:rFonts w:hint="eastAsia" w:asciiTheme="minorEastAsia" w:hAnsiTheme="minorEastAsia" w:eastAsiaTheme="minorEastAsia" w:cstheme="minorEastAsia"/>
                <w:color w:val="000000"/>
                <w:sz w:val="24"/>
                <w:szCs w:val="24"/>
              </w:rPr>
              <w:t>章 磋商响应文件格式</w:t>
            </w:r>
            <w:r>
              <w:rPr>
                <w:rFonts w:hint="eastAsia" w:asciiTheme="minorEastAsia" w:hAnsiTheme="minorEastAsia" w:eastAsiaTheme="minorEastAsia" w:cstheme="minorEastAsia"/>
                <w:color w:val="000000"/>
                <w:sz w:val="24"/>
                <w:szCs w:val="24"/>
                <w:lang w:val="en-US" w:eastAsia="zh-CN"/>
              </w:rPr>
              <w:t>”。</w:t>
            </w:r>
          </w:p>
        </w:tc>
      </w:tr>
      <w:tr w14:paraId="478C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1" w:type="dxa"/>
            <w:vMerge w:val="continue"/>
            <w:tcBorders>
              <w:left w:val="single" w:color="auto" w:sz="4" w:space="0"/>
              <w:right w:val="single" w:color="auto" w:sz="4" w:space="0"/>
            </w:tcBorders>
            <w:noWrap w:val="0"/>
            <w:vAlign w:val="center"/>
          </w:tcPr>
          <w:p w14:paraId="5FFAE085">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72A0FCF6">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C8C9CC2">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磋商</w:t>
            </w:r>
            <w:r>
              <w:rPr>
                <w:rFonts w:hint="eastAsia" w:asciiTheme="minorEastAsia" w:hAnsiTheme="minorEastAsia" w:eastAsiaTheme="minorEastAsia" w:cstheme="minorEastAsia"/>
                <w:color w:val="000000"/>
                <w:sz w:val="24"/>
                <w:szCs w:val="24"/>
              </w:rPr>
              <w:t>保证金的有效性</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4F752A0C">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rPr>
              <w:t>以转账、网银等方式交纳的，保证金从</w:t>
            </w:r>
            <w:r>
              <w:rPr>
                <w:rFonts w:hint="eastAsia" w:asciiTheme="minorEastAsia" w:hAnsiTheme="minorEastAsia" w:eastAsiaTheme="minorEastAsia" w:cstheme="minorEastAsia"/>
                <w:color w:val="000000"/>
                <w:sz w:val="24"/>
                <w:szCs w:val="24"/>
                <w:lang w:val="en-US" w:eastAsia="zh-CN"/>
              </w:rPr>
              <w:t>本公司</w:t>
            </w:r>
            <w:r>
              <w:rPr>
                <w:rFonts w:hint="eastAsia" w:asciiTheme="minorEastAsia" w:hAnsiTheme="minorEastAsia" w:eastAsiaTheme="minorEastAsia" w:cstheme="minorEastAsia"/>
                <w:color w:val="000000"/>
                <w:sz w:val="24"/>
                <w:szCs w:val="24"/>
              </w:rPr>
              <w:t>账户足额交纳；</w:t>
            </w:r>
            <w:r>
              <w:rPr>
                <w:rFonts w:hint="eastAsia" w:asciiTheme="minorEastAsia" w:hAnsiTheme="minorEastAsia" w:eastAsiaTheme="minorEastAsia" w:cstheme="minorEastAsia"/>
                <w:color w:val="000000"/>
                <w:sz w:val="24"/>
                <w:szCs w:val="24"/>
                <w:lang w:val="en-US" w:eastAsia="zh-CN"/>
              </w:rPr>
              <w:t>或以</w:t>
            </w:r>
            <w:r>
              <w:rPr>
                <w:rFonts w:hint="eastAsia" w:asciiTheme="minorEastAsia" w:hAnsiTheme="minorEastAsia" w:eastAsiaTheme="minorEastAsia" w:cstheme="minorEastAsia"/>
                <w:color w:val="000000"/>
                <w:sz w:val="24"/>
                <w:szCs w:val="24"/>
              </w:rPr>
              <w:t>金融机构、担保机构出具的保函等非现金形式交纳。提交形式符合</w:t>
            </w:r>
            <w:r>
              <w:rPr>
                <w:rFonts w:hint="eastAsia" w:asciiTheme="minorEastAsia" w:hAnsiTheme="minorEastAsia" w:eastAsiaTheme="minorEastAsia" w:cstheme="minorEastAsia"/>
                <w:color w:val="000000"/>
                <w:sz w:val="24"/>
                <w:szCs w:val="24"/>
                <w:lang w:val="en-US" w:eastAsia="zh-CN"/>
              </w:rPr>
              <w:t>磋商</w:t>
            </w:r>
            <w:r>
              <w:rPr>
                <w:rFonts w:hint="eastAsia" w:asciiTheme="minorEastAsia" w:hAnsiTheme="minorEastAsia" w:eastAsiaTheme="minorEastAsia" w:cstheme="minorEastAsia"/>
                <w:color w:val="000000"/>
                <w:sz w:val="24"/>
                <w:szCs w:val="24"/>
              </w:rPr>
              <w:t>文件要求</w:t>
            </w:r>
            <w:r>
              <w:rPr>
                <w:rFonts w:hint="eastAsia" w:asciiTheme="minorEastAsia" w:hAnsiTheme="minorEastAsia" w:eastAsiaTheme="minorEastAsia" w:cstheme="minorEastAsia"/>
                <w:color w:val="000000"/>
                <w:sz w:val="24"/>
                <w:szCs w:val="24"/>
                <w:lang w:eastAsia="zh-CN"/>
              </w:rPr>
              <w:t>。</w:t>
            </w:r>
          </w:p>
        </w:tc>
      </w:tr>
      <w:tr w14:paraId="44C2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721" w:type="dxa"/>
            <w:vMerge w:val="continue"/>
            <w:tcBorders>
              <w:left w:val="single" w:color="auto" w:sz="4" w:space="0"/>
              <w:right w:val="single" w:color="auto" w:sz="4" w:space="0"/>
            </w:tcBorders>
            <w:noWrap w:val="0"/>
            <w:vAlign w:val="center"/>
          </w:tcPr>
          <w:p w14:paraId="085AFBCE">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6946D805">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21ED0F4">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第一次磋商报价表</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53184B0F">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（1）第一次磋商报价表填写符合要求；</w:t>
            </w:r>
          </w:p>
          <w:p w14:paraId="29B0D46A">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（2）计量单位、报价货币均符合磋商文件要求；</w:t>
            </w:r>
          </w:p>
          <w:p w14:paraId="2A858267">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（3）第一次磋商报价未超出采购预算或磋商文件规定的最高限价。</w:t>
            </w:r>
          </w:p>
        </w:tc>
      </w:tr>
      <w:tr w14:paraId="5438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721" w:type="dxa"/>
            <w:vMerge w:val="continue"/>
            <w:tcBorders>
              <w:left w:val="single" w:color="auto" w:sz="4" w:space="0"/>
              <w:right w:val="single" w:color="auto" w:sz="4" w:space="0"/>
            </w:tcBorders>
            <w:noWrap w:val="0"/>
            <w:vAlign w:val="center"/>
          </w:tcPr>
          <w:p w14:paraId="12713AAD">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5E93ACE3">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3522AB6">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eastAsia="zh-CN"/>
              </w:rPr>
              <w:t> 技术/服务要求</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42199053">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rPr>
              <w:t>完全理解并接受对合格</w:t>
            </w:r>
            <w:r>
              <w:rPr>
                <w:rFonts w:hint="eastAsia" w:asciiTheme="minorEastAsia" w:hAnsiTheme="minorEastAsia" w:eastAsiaTheme="minorEastAsia" w:cstheme="minorEastAsia"/>
                <w:color w:val="000000"/>
                <w:sz w:val="24"/>
                <w:szCs w:val="24"/>
                <w:lang w:val="en-US" w:eastAsia="zh-CN"/>
              </w:rPr>
              <w:t>供应商</w:t>
            </w:r>
            <w:r>
              <w:rPr>
                <w:rFonts w:hint="eastAsia" w:asciiTheme="minorEastAsia" w:hAnsiTheme="minorEastAsia" w:eastAsiaTheme="minorEastAsia" w:cstheme="minorEastAsia"/>
                <w:color w:val="000000"/>
                <w:sz w:val="24"/>
                <w:szCs w:val="24"/>
              </w:rPr>
              <w:t>、合格的货物、工程或服务要求，技术/服务没有重大偏离和保留。</w:t>
            </w:r>
          </w:p>
        </w:tc>
      </w:tr>
      <w:tr w14:paraId="3158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1" w:type="dxa"/>
            <w:vMerge w:val="continue"/>
            <w:tcBorders>
              <w:left w:val="single" w:color="auto" w:sz="4" w:space="0"/>
              <w:right w:val="single" w:color="auto" w:sz="4" w:space="0"/>
            </w:tcBorders>
            <w:noWrap w:val="0"/>
            <w:vAlign w:val="center"/>
          </w:tcPr>
          <w:p w14:paraId="15AF5264">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7DC1DC38">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D231863">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服务期</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1CEC198C">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rPr>
              <w:t>符合</w:t>
            </w:r>
            <w:r>
              <w:rPr>
                <w:rFonts w:hint="eastAsia" w:asciiTheme="minorEastAsia" w:hAnsiTheme="minorEastAsia" w:eastAsiaTheme="minorEastAsia" w:cstheme="minorEastAsia"/>
                <w:color w:val="000000"/>
                <w:sz w:val="24"/>
                <w:szCs w:val="24"/>
                <w:lang w:val="en-US" w:eastAsia="zh-CN"/>
              </w:rPr>
              <w:t>磋商</w:t>
            </w:r>
            <w:r>
              <w:rPr>
                <w:rFonts w:hint="eastAsia" w:asciiTheme="minorEastAsia" w:hAnsiTheme="minorEastAsia" w:eastAsiaTheme="minorEastAsia" w:cstheme="minorEastAsia"/>
                <w:color w:val="000000"/>
                <w:sz w:val="24"/>
                <w:szCs w:val="24"/>
              </w:rPr>
              <w:t>文件要求</w:t>
            </w:r>
            <w:r>
              <w:rPr>
                <w:rFonts w:hint="eastAsia" w:asciiTheme="minorEastAsia" w:hAnsiTheme="minorEastAsia" w:eastAsiaTheme="minorEastAsia" w:cstheme="minorEastAsia"/>
                <w:color w:val="000000"/>
                <w:sz w:val="24"/>
                <w:szCs w:val="24"/>
                <w:lang w:eastAsia="zh-CN"/>
              </w:rPr>
              <w:t>。</w:t>
            </w:r>
          </w:p>
        </w:tc>
      </w:tr>
      <w:tr w14:paraId="129DF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1" w:type="dxa"/>
            <w:vMerge w:val="continue"/>
            <w:tcBorders>
              <w:left w:val="single" w:color="auto" w:sz="4" w:space="0"/>
              <w:right w:val="single" w:color="auto" w:sz="4" w:space="0"/>
            </w:tcBorders>
            <w:noWrap w:val="0"/>
            <w:vAlign w:val="center"/>
          </w:tcPr>
          <w:p w14:paraId="508E444C">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183466F4">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23E4159">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无其他磋商文件或法规明确规定响应无效的事项</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04C4571B">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没有不符合磋商文件规定的被视为无效响应的其他条款。</w:t>
            </w:r>
          </w:p>
        </w:tc>
      </w:tr>
      <w:tr w14:paraId="51CE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1" w:type="dxa"/>
            <w:vMerge w:val="continue"/>
            <w:tcBorders>
              <w:left w:val="single" w:color="auto" w:sz="4" w:space="0"/>
              <w:bottom w:val="single" w:color="auto" w:sz="4" w:space="0"/>
              <w:right w:val="single" w:color="auto" w:sz="4" w:space="0"/>
            </w:tcBorders>
            <w:noWrap w:val="0"/>
            <w:vAlign w:val="center"/>
          </w:tcPr>
          <w:p w14:paraId="379EDD62">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bottom w:val="single" w:color="auto" w:sz="4" w:space="0"/>
              <w:right w:val="single" w:color="auto" w:sz="4" w:space="0"/>
            </w:tcBorders>
            <w:noWrap w:val="0"/>
            <w:vAlign w:val="center"/>
          </w:tcPr>
          <w:p w14:paraId="1E6B317F">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0F6AA00">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磋商</w:t>
            </w:r>
            <w:r>
              <w:rPr>
                <w:rFonts w:hint="eastAsia" w:asciiTheme="minorEastAsia" w:hAnsiTheme="minorEastAsia" w:eastAsiaTheme="minorEastAsia" w:cstheme="minorEastAsia"/>
                <w:color w:val="000000"/>
                <w:sz w:val="24"/>
                <w:szCs w:val="24"/>
              </w:rPr>
              <w:t>有效期</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2ECE4AC5">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响应文件有效期符合磋商文件的要求。</w:t>
            </w:r>
          </w:p>
        </w:tc>
      </w:tr>
      <w:tr w14:paraId="75F0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56F3B6C1">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条款号</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3B34C55">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条款内容</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055F2E1E">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编列内容</w:t>
            </w:r>
          </w:p>
        </w:tc>
      </w:tr>
      <w:tr w14:paraId="43C31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3DB18D8B">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2.2.1</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03D051E">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分值构成</w:t>
            </w:r>
          </w:p>
          <w:p w14:paraId="2AA2D48E">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(总分100分)</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164B42E8">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磋商报价：10分</w:t>
            </w:r>
          </w:p>
          <w:p w14:paraId="160D1B1B">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技术评价：</w:t>
            </w:r>
            <w:r>
              <w:rPr>
                <w:rFonts w:hint="eastAsia" w:asciiTheme="minorEastAsia" w:hAnsiTheme="minorEastAsia" w:eastAsiaTheme="minorEastAsia" w:cstheme="minorEastAsia"/>
                <w:color w:val="000000"/>
                <w:sz w:val="24"/>
                <w:szCs w:val="24"/>
                <w:highlight w:val="none"/>
                <w:lang w:val="en-US" w:eastAsia="zh-CN"/>
              </w:rPr>
              <w:t>61</w:t>
            </w:r>
            <w:r>
              <w:rPr>
                <w:rFonts w:hint="eastAsia" w:asciiTheme="minorEastAsia" w:hAnsiTheme="minorEastAsia" w:eastAsiaTheme="minorEastAsia" w:cstheme="minorEastAsia"/>
                <w:color w:val="000000"/>
                <w:sz w:val="24"/>
                <w:szCs w:val="24"/>
                <w:highlight w:val="none"/>
              </w:rPr>
              <w:t>分</w:t>
            </w:r>
          </w:p>
          <w:p w14:paraId="217C6AC4">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商务评价：</w:t>
            </w:r>
            <w:r>
              <w:rPr>
                <w:rFonts w:hint="eastAsia" w:asciiTheme="minorEastAsia" w:hAnsiTheme="minorEastAsia" w:eastAsiaTheme="minorEastAsia" w:cstheme="minorEastAsia"/>
                <w:color w:val="000000"/>
                <w:sz w:val="24"/>
                <w:szCs w:val="24"/>
                <w:highlight w:val="none"/>
                <w:lang w:val="en-US" w:eastAsia="zh-CN"/>
              </w:rPr>
              <w:t>29</w:t>
            </w:r>
            <w:r>
              <w:rPr>
                <w:rFonts w:hint="eastAsia" w:asciiTheme="minorEastAsia" w:hAnsiTheme="minorEastAsia" w:eastAsiaTheme="minorEastAsia" w:cstheme="minorEastAsia"/>
                <w:color w:val="000000"/>
                <w:sz w:val="24"/>
                <w:szCs w:val="24"/>
                <w:highlight w:val="none"/>
              </w:rPr>
              <w:t>分</w:t>
            </w:r>
          </w:p>
        </w:tc>
      </w:tr>
    </w:tbl>
    <w:p w14:paraId="5A00E3B6"/>
    <w:tbl>
      <w:tblPr>
        <w:tblStyle w:val="39"/>
        <w:tblW w:w="9479"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5"/>
        <w:gridCol w:w="1630"/>
        <w:gridCol w:w="5230"/>
        <w:gridCol w:w="1244"/>
      </w:tblGrid>
      <w:tr w14:paraId="0FD57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375" w:type="dxa"/>
            <w:noWrap w:val="0"/>
            <w:vAlign w:val="center"/>
          </w:tcPr>
          <w:p w14:paraId="21A1CE3A">
            <w:pPr>
              <w:pStyle w:val="36"/>
              <w:keepNext w:val="0"/>
              <w:keepLines w:val="0"/>
              <w:pageBreakBefore w:val="0"/>
              <w:widowControl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b/>
                <w:bCs/>
                <w:color w:val="auto"/>
                <w:sz w:val="24"/>
                <w:szCs w:val="24"/>
                <w:highlight w:val="none"/>
                <w:vertAlign w:val="baseline"/>
                <w:lang w:val="en-US" w:eastAsia="zh-CN"/>
              </w:rPr>
              <w:t>评分项</w:t>
            </w:r>
          </w:p>
        </w:tc>
        <w:tc>
          <w:tcPr>
            <w:tcW w:w="6860" w:type="dxa"/>
            <w:gridSpan w:val="2"/>
            <w:noWrap w:val="0"/>
            <w:vAlign w:val="center"/>
          </w:tcPr>
          <w:p w14:paraId="3E101D18">
            <w:pPr>
              <w:pStyle w:val="36"/>
              <w:keepNext w:val="0"/>
              <w:keepLines w:val="0"/>
              <w:pageBreakBefore w:val="0"/>
              <w:widowControl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b/>
                <w:bCs/>
                <w:color w:val="auto"/>
                <w:sz w:val="24"/>
                <w:szCs w:val="24"/>
                <w:highlight w:val="none"/>
                <w:vertAlign w:val="baseline"/>
                <w:lang w:val="en-US" w:eastAsia="zh-CN"/>
              </w:rPr>
              <w:t>评分标准</w:t>
            </w:r>
          </w:p>
        </w:tc>
        <w:tc>
          <w:tcPr>
            <w:tcW w:w="1244" w:type="dxa"/>
            <w:noWrap w:val="0"/>
            <w:vAlign w:val="center"/>
          </w:tcPr>
          <w:p w14:paraId="38099CF7">
            <w:pPr>
              <w:pStyle w:val="36"/>
              <w:keepNext w:val="0"/>
              <w:keepLines w:val="0"/>
              <w:pageBreakBefore w:val="0"/>
              <w:widowControl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b/>
                <w:bCs/>
                <w:color w:val="auto"/>
                <w:sz w:val="24"/>
                <w:szCs w:val="24"/>
                <w:highlight w:val="none"/>
                <w:vertAlign w:val="baseline"/>
                <w:lang w:val="en-US" w:eastAsia="zh-CN"/>
              </w:rPr>
              <w:t>分值</w:t>
            </w:r>
          </w:p>
        </w:tc>
      </w:tr>
      <w:tr w14:paraId="1CC4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6" w:hRule="atLeast"/>
        </w:trPr>
        <w:tc>
          <w:tcPr>
            <w:tcW w:w="1375" w:type="dxa"/>
            <w:noWrap w:val="0"/>
            <w:vAlign w:val="center"/>
          </w:tcPr>
          <w:p w14:paraId="2BB5C3AB">
            <w:pPr>
              <w:pStyle w:val="36"/>
              <w:keepNext w:val="0"/>
              <w:keepLines w:val="0"/>
              <w:pageBreakBefore w:val="0"/>
              <w:widowControl w:val="0"/>
              <w:kinsoku/>
              <w:wordWrap/>
              <w:overflowPunct/>
              <w:topLinePunct w:val="0"/>
              <w:bidi w:val="0"/>
              <w:adjustRightInd/>
              <w:snapToGrid/>
              <w:spacing w:line="360" w:lineRule="auto"/>
              <w:ind w:left="0" w:leftChars="0" w:firstLine="0" w:firstLineChars="0"/>
              <w:jc w:val="both"/>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价格部分（10 分）</w:t>
            </w:r>
          </w:p>
        </w:tc>
        <w:tc>
          <w:tcPr>
            <w:tcW w:w="6860" w:type="dxa"/>
            <w:gridSpan w:val="2"/>
            <w:noWrap w:val="0"/>
            <w:vAlign w:val="top"/>
          </w:tcPr>
          <w:p w14:paraId="7370341A">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1.本次磋商设最高投标限价（采购预算）。供应商的磋商报价超过最高投标限价的视为废标，不再参与下一步评审。</w:t>
            </w:r>
          </w:p>
          <w:p w14:paraId="27ADEB90">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2.未超出采购预算，实质性满足磋商文件要求且最后报价最低的报价为磋商基准价，其价格分为满分10分。其它供应商的价格分统一按照下列公式计算：磋商报价得分=（磋商基准价/最后磋商报价）×价格分值×100%。</w:t>
            </w:r>
          </w:p>
          <w:p w14:paraId="5F528393">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3.磋商报价不完整的，不进入评标基准价的计算，本项得0分。</w:t>
            </w:r>
          </w:p>
        </w:tc>
        <w:tc>
          <w:tcPr>
            <w:tcW w:w="1244" w:type="dxa"/>
            <w:noWrap w:val="0"/>
            <w:vAlign w:val="center"/>
          </w:tcPr>
          <w:p w14:paraId="2BF20D53">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10分</w:t>
            </w:r>
          </w:p>
        </w:tc>
      </w:tr>
      <w:tr w14:paraId="57C3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restart"/>
            <w:noWrap w:val="0"/>
            <w:vAlign w:val="center"/>
          </w:tcPr>
          <w:p w14:paraId="094B341E">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技术部分（61分）</w:t>
            </w:r>
          </w:p>
        </w:tc>
        <w:tc>
          <w:tcPr>
            <w:tcW w:w="1630" w:type="dxa"/>
            <w:noWrap w:val="0"/>
            <w:vAlign w:val="center"/>
          </w:tcPr>
          <w:p w14:paraId="6BF22FD6">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服务方案</w:t>
            </w:r>
          </w:p>
          <w:p w14:paraId="070CFC3F">
            <w:pPr>
              <w:spacing w:line="360" w:lineRule="auto"/>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（满分</w:t>
            </w:r>
            <w:r>
              <w:rPr>
                <w:rFonts w:hint="eastAsia" w:asciiTheme="minorEastAsia" w:hAnsiTheme="minorEastAsia" w:eastAsiaTheme="minorEastAsia" w:cstheme="minorEastAsia"/>
                <w:color w:val="000000"/>
                <w:sz w:val="24"/>
                <w:szCs w:val="24"/>
                <w:highlight w:val="none"/>
                <w:lang w:val="en-US" w:eastAsia="zh-CN"/>
              </w:rPr>
              <w:t>18</w:t>
            </w:r>
            <w:r>
              <w:rPr>
                <w:rFonts w:hint="eastAsia" w:asciiTheme="minorEastAsia" w:hAnsiTheme="minorEastAsia" w:eastAsiaTheme="minorEastAsia" w:cstheme="minorEastAsia"/>
                <w:color w:val="000000"/>
                <w:sz w:val="24"/>
                <w:szCs w:val="24"/>
                <w:highlight w:val="none"/>
              </w:rPr>
              <w:t>分）</w:t>
            </w:r>
          </w:p>
        </w:tc>
        <w:tc>
          <w:tcPr>
            <w:tcW w:w="5230" w:type="dxa"/>
            <w:noWrap w:val="0"/>
            <w:vAlign w:val="center"/>
          </w:tcPr>
          <w:p w14:paraId="1FC15EC0">
            <w:pPr>
              <w:spacing w:line="360" w:lineRule="auto"/>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一、评审内容</w:t>
            </w:r>
          </w:p>
          <w:p w14:paraId="67026F34">
            <w:pPr>
              <w:spacing w:line="360" w:lineRule="auto"/>
              <w:ind w:firstLine="480" w:firstLineChars="200"/>
              <w:jc w:val="left"/>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供应商根据本项目特点提出服务方案，内容包括：①对项目需求的理解②技术路线及流程③技术方案④重点难点分析⑤应急方案。</w:t>
            </w:r>
          </w:p>
          <w:p w14:paraId="0CA22801">
            <w:pPr>
              <w:spacing w:line="360" w:lineRule="auto"/>
              <w:ind w:firstLine="482" w:firstLineChars="200"/>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二、评审标准</w:t>
            </w:r>
          </w:p>
          <w:p w14:paraId="45192436">
            <w:pPr>
              <w:spacing w:line="360" w:lineRule="auto"/>
              <w:ind w:firstLine="480" w:firstLineChars="200"/>
              <w:jc w:val="left"/>
              <w:rPr>
                <w:rFonts w:hint="eastAsia" w:asciiTheme="minorEastAsia" w:hAnsiTheme="minorEastAsia" w:eastAsiaTheme="minorEastAsia" w:cstheme="minorEastAsia"/>
                <w:color w:val="000000"/>
                <w:sz w:val="24"/>
                <w:szCs w:val="24"/>
                <w:highlight w:val="none"/>
                <w:lang w:val="zh-CN" w:eastAsia="zh-CN"/>
              </w:rPr>
            </w:pPr>
            <w:r>
              <w:rPr>
                <w:rFonts w:hint="eastAsia" w:asciiTheme="minorEastAsia" w:hAnsiTheme="minorEastAsia" w:eastAsiaTheme="minorEastAsia" w:cstheme="minorEastAsia"/>
                <w:color w:val="000000"/>
                <w:sz w:val="24"/>
                <w:szCs w:val="24"/>
                <w:highlight w:val="none"/>
              </w:rPr>
              <w:t>1.完整性：切合本项目实际情况，方案内容全面，有详细描述及其他内容的补充；</w:t>
            </w:r>
            <w:r>
              <w:rPr>
                <w:rFonts w:hint="eastAsia" w:asciiTheme="minorEastAsia" w:hAnsiTheme="minorEastAsia" w:eastAsiaTheme="minorEastAsia" w:cstheme="minorEastAsia"/>
                <w:color w:val="000000"/>
                <w:sz w:val="24"/>
                <w:szCs w:val="24"/>
                <w:highlight w:val="none"/>
              </w:rPr>
              <w:br w:type="textWrapping"/>
            </w:r>
            <w:r>
              <w:rPr>
                <w:rFonts w:hint="eastAsia" w:asciiTheme="minorEastAsia" w:hAnsiTheme="minorEastAsia" w:eastAsiaTheme="minorEastAsia" w:cstheme="minorEastAsia"/>
                <w:color w:val="000000"/>
                <w:sz w:val="24"/>
                <w:szCs w:val="24"/>
                <w:highlight w:val="none"/>
              </w:rPr>
              <w:t xml:space="preserve">    2.合理性：方案分析符合项目实际特点，合理、恰当；</w:t>
            </w:r>
            <w:r>
              <w:rPr>
                <w:rFonts w:hint="eastAsia" w:asciiTheme="minorEastAsia" w:hAnsiTheme="minorEastAsia" w:eastAsiaTheme="minorEastAsia" w:cstheme="minorEastAsia"/>
                <w:color w:val="000000"/>
                <w:sz w:val="24"/>
                <w:szCs w:val="24"/>
                <w:highlight w:val="none"/>
              </w:rPr>
              <w:br w:type="textWrapping"/>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3</w:t>
            </w:r>
            <w:r>
              <w:rPr>
                <w:rFonts w:hint="eastAsia" w:asciiTheme="minorEastAsia" w:hAnsiTheme="minorEastAsia" w:eastAsiaTheme="minorEastAsia" w:cstheme="minorEastAsia"/>
                <w:color w:val="000000"/>
                <w:sz w:val="24"/>
                <w:szCs w:val="24"/>
                <w:highlight w:val="none"/>
                <w:lang w:val="zh-CN" w:eastAsia="zh-CN"/>
              </w:rPr>
              <w:t>.针对性：切合本项目实际情况，根据招标文件要求提出针对本项目实际操作性强的方案。</w:t>
            </w:r>
          </w:p>
          <w:p w14:paraId="2A667AAC">
            <w:pPr>
              <w:spacing w:line="360" w:lineRule="auto"/>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三、赋分标准（满分</w:t>
            </w:r>
            <w:r>
              <w:rPr>
                <w:rFonts w:hint="eastAsia" w:asciiTheme="minorEastAsia" w:hAnsiTheme="minorEastAsia" w:eastAsiaTheme="minorEastAsia" w:cstheme="minorEastAsia"/>
                <w:b/>
                <w:bCs/>
                <w:color w:val="000000"/>
                <w:sz w:val="24"/>
                <w:szCs w:val="24"/>
                <w:highlight w:val="none"/>
                <w:lang w:val="en-US" w:eastAsia="zh-CN"/>
              </w:rPr>
              <w:t>18</w:t>
            </w:r>
            <w:r>
              <w:rPr>
                <w:rFonts w:hint="eastAsia" w:asciiTheme="minorEastAsia" w:hAnsiTheme="minorEastAsia" w:eastAsiaTheme="minorEastAsia" w:cstheme="minorEastAsia"/>
                <w:b/>
                <w:bCs/>
                <w:color w:val="000000"/>
                <w:sz w:val="24"/>
                <w:szCs w:val="24"/>
                <w:highlight w:val="none"/>
              </w:rPr>
              <w:t>分）</w:t>
            </w:r>
          </w:p>
          <w:p w14:paraId="460C8414">
            <w:pPr>
              <w:spacing w:line="360" w:lineRule="auto"/>
              <w:ind w:firstLine="480" w:firstLineChars="20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highlight w:val="none"/>
                <w:lang w:val="zh-CN" w:eastAsia="zh-CN"/>
              </w:rPr>
              <w:t>①对项目需求的理解</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color w:val="000000"/>
                <w:sz w:val="24"/>
                <w:szCs w:val="24"/>
                <w:highlight w:val="none"/>
              </w:rPr>
              <w:t>每完全满足一个评审标准</w:t>
            </w: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w:t>
            </w:r>
          </w:p>
          <w:p w14:paraId="1768FD79">
            <w:pPr>
              <w:spacing w:line="360" w:lineRule="auto"/>
              <w:ind w:firstLine="480" w:firstLineChars="20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②技术路线及流程</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w:t>
            </w:r>
          </w:p>
          <w:p w14:paraId="0C4E9B23">
            <w:pPr>
              <w:spacing w:line="360" w:lineRule="auto"/>
              <w:ind w:firstLine="480" w:firstLineChars="20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③技术方案</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分；</w:t>
            </w:r>
          </w:p>
          <w:p w14:paraId="7B6633FB">
            <w:pPr>
              <w:spacing w:line="360" w:lineRule="auto"/>
              <w:ind w:firstLine="480" w:firstLineChars="20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④</w:t>
            </w:r>
            <w:r>
              <w:rPr>
                <w:rFonts w:hint="eastAsia" w:asciiTheme="minorEastAsia" w:hAnsiTheme="minorEastAsia" w:eastAsiaTheme="minorEastAsia" w:cstheme="minorEastAsia"/>
                <w:b w:val="0"/>
                <w:bCs w:val="0"/>
                <w:color w:val="000000"/>
                <w:sz w:val="24"/>
                <w:szCs w:val="24"/>
                <w:highlight w:val="none"/>
                <w:lang w:val="en-US" w:eastAsia="zh-CN"/>
              </w:rPr>
              <w:t>重点难点分析</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w:t>
            </w:r>
          </w:p>
          <w:p w14:paraId="6834E9CC">
            <w:pPr>
              <w:spacing w:line="360" w:lineRule="auto"/>
              <w:ind w:firstLine="480" w:firstLineChars="200"/>
              <w:jc w:val="left"/>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⑤应急方案</w:t>
            </w:r>
            <w:r>
              <w:rPr>
                <w:rFonts w:hint="eastAsia" w:asciiTheme="minorEastAsia" w:hAnsiTheme="minorEastAsia" w:eastAsiaTheme="minorEastAsia" w:cstheme="minorEastAsia"/>
                <w:color w:val="000000"/>
                <w:sz w:val="24"/>
                <w:szCs w:val="24"/>
                <w:highlight w:val="none"/>
                <w:lang w:val="en-US" w:eastAsia="zh-CN"/>
              </w:rPr>
              <w:t>：每完全满足一个评审标准得1</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w:t>
            </w:r>
          </w:p>
        </w:tc>
        <w:tc>
          <w:tcPr>
            <w:tcW w:w="1244" w:type="dxa"/>
            <w:noWrap w:val="0"/>
            <w:vAlign w:val="center"/>
          </w:tcPr>
          <w:p w14:paraId="050908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18分</w:t>
            </w:r>
          </w:p>
        </w:tc>
      </w:tr>
      <w:tr w14:paraId="479B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55681875">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2C2E11A0">
            <w:pPr>
              <w:spacing w:line="360" w:lineRule="auto"/>
              <w:jc w:val="cente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质量保障</w:t>
            </w:r>
          </w:p>
          <w:p w14:paraId="590FAF42">
            <w:pPr>
              <w:spacing w:line="360" w:lineRule="auto"/>
              <w:jc w:val="both"/>
              <w:rPr>
                <w:rFonts w:hint="eastAsia" w:asciiTheme="minorEastAsia" w:hAnsiTheme="minorEastAsia" w:eastAsiaTheme="minorEastAsia" w:cstheme="minorEastAsia"/>
                <w:color w:val="auto"/>
                <w:kern w:val="0"/>
                <w:sz w:val="24"/>
                <w:szCs w:val="24"/>
                <w:highlight w:val="none"/>
                <w:lang w:val="zh-CN" w:eastAsia="zh-CN" w:bidi="ar-SA"/>
              </w:rPr>
            </w:pPr>
            <w:r>
              <w:rPr>
                <w:rFonts w:hint="eastAsia" w:asciiTheme="minorEastAsia" w:hAnsiTheme="minorEastAsia" w:eastAsiaTheme="minorEastAsia" w:cstheme="minorEastAsia"/>
                <w:color w:val="000000"/>
                <w:sz w:val="24"/>
                <w:szCs w:val="24"/>
              </w:rPr>
              <w:t>（满分</w:t>
            </w:r>
            <w:r>
              <w:rPr>
                <w:rFonts w:hint="eastAsia" w:asciiTheme="minorEastAsia" w:hAnsiTheme="minorEastAsia" w:eastAsiaTheme="minorEastAsia" w:cstheme="minorEastAsia"/>
                <w:color w:val="000000"/>
                <w:sz w:val="24"/>
                <w:szCs w:val="24"/>
                <w:lang w:val="en-US" w:eastAsia="zh-CN"/>
              </w:rPr>
              <w:t>8</w:t>
            </w:r>
            <w:r>
              <w:rPr>
                <w:rFonts w:hint="eastAsia" w:asciiTheme="minorEastAsia" w:hAnsiTheme="minorEastAsia" w:eastAsiaTheme="minorEastAsia" w:cstheme="minorEastAsia"/>
                <w:color w:val="000000"/>
                <w:sz w:val="24"/>
                <w:szCs w:val="24"/>
              </w:rPr>
              <w:t>分）</w:t>
            </w:r>
          </w:p>
        </w:tc>
        <w:tc>
          <w:tcPr>
            <w:tcW w:w="5230" w:type="dxa"/>
            <w:noWrap w:val="0"/>
            <w:vAlign w:val="center"/>
          </w:tcPr>
          <w:p w14:paraId="4B68A247">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一、评审内容</w:t>
            </w:r>
          </w:p>
          <w:p w14:paraId="1E7BC59E">
            <w:pPr>
              <w:spacing w:line="360" w:lineRule="auto"/>
              <w:ind w:firstLine="480" w:firstLineChars="200"/>
              <w:jc w:val="left"/>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供应商根据本项目特点提出质量保障方案，内容包括：①</w:t>
            </w:r>
            <w:r>
              <w:rPr>
                <w:rFonts w:hint="eastAsia" w:asciiTheme="minorEastAsia" w:hAnsiTheme="minorEastAsia" w:eastAsiaTheme="minorEastAsia" w:cstheme="minorEastAsia"/>
                <w:sz w:val="24"/>
                <w:szCs w:val="24"/>
                <w:highlight w:val="none"/>
                <w:lang w:val="zh-CN" w:eastAsia="zh-CN"/>
              </w:rPr>
              <w:t>质量目标</w:t>
            </w:r>
            <w:r>
              <w:rPr>
                <w:rFonts w:hint="eastAsia" w:asciiTheme="minorEastAsia" w:hAnsiTheme="minorEastAsia" w:eastAsiaTheme="minorEastAsia" w:cstheme="minorEastAsia"/>
                <w:sz w:val="24"/>
                <w:szCs w:val="24"/>
                <w:highlight w:val="none"/>
                <w:lang w:val="en-US" w:eastAsia="zh-CN"/>
              </w:rPr>
              <w:t>及</w:t>
            </w:r>
            <w:r>
              <w:rPr>
                <w:rFonts w:hint="eastAsia" w:asciiTheme="minorEastAsia" w:hAnsiTheme="minorEastAsia" w:eastAsiaTheme="minorEastAsia" w:cstheme="minorEastAsia"/>
                <w:b w:val="0"/>
                <w:bCs w:val="0"/>
                <w:color w:val="000000"/>
                <w:sz w:val="24"/>
                <w:szCs w:val="24"/>
                <w:lang w:val="en-US" w:eastAsia="zh-CN"/>
              </w:rPr>
              <w:t>保障措施②进度计划及措施。</w:t>
            </w:r>
          </w:p>
          <w:p w14:paraId="5F826E4F">
            <w:pPr>
              <w:spacing w:line="360" w:lineRule="auto"/>
              <w:jc w:val="left"/>
              <w:rPr>
                <w:rFonts w:hint="eastAsia" w:asciiTheme="minorEastAsia" w:hAnsiTheme="minorEastAsia" w:eastAsiaTheme="minorEastAsia" w:cstheme="minorEastAsia"/>
                <w:color w:val="000000"/>
                <w:sz w:val="24"/>
                <w:szCs w:val="24"/>
                <w:lang w:val="zh-CN" w:eastAsia="zh-CN"/>
              </w:rPr>
            </w:pPr>
            <w:r>
              <w:rPr>
                <w:rFonts w:hint="eastAsia" w:asciiTheme="minorEastAsia" w:hAnsiTheme="minorEastAsia" w:eastAsiaTheme="minorEastAsia" w:cstheme="minorEastAsia"/>
                <w:b/>
                <w:bCs/>
                <w:color w:val="000000"/>
                <w:sz w:val="24"/>
                <w:szCs w:val="24"/>
              </w:rPr>
              <w:t>二、评审标准</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.合理性：方案分析符合项目实际特点，合理、恰当；</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lang w:val="en-US" w:eastAsia="zh-CN"/>
              </w:rPr>
              <w:t xml:space="preserve"> 2</w:t>
            </w:r>
            <w:r>
              <w:rPr>
                <w:rFonts w:hint="eastAsia" w:asciiTheme="minorEastAsia" w:hAnsiTheme="minorEastAsia" w:eastAsiaTheme="minorEastAsia" w:cstheme="minorEastAsia"/>
                <w:color w:val="000000"/>
                <w:sz w:val="24"/>
                <w:szCs w:val="24"/>
                <w:lang w:val="zh-CN" w:eastAsia="zh-CN"/>
              </w:rPr>
              <w:t>.针对性：切合本项目实际情况，根据招标文件要求提出针对本项目实际操作性强的措施方案。</w:t>
            </w:r>
          </w:p>
          <w:p w14:paraId="7EC8DF60">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三、赋分标准（满分</w:t>
            </w:r>
            <w:r>
              <w:rPr>
                <w:rFonts w:hint="eastAsia" w:asciiTheme="minorEastAsia" w:hAnsiTheme="minorEastAsia" w:eastAsiaTheme="minorEastAsia" w:cstheme="minorEastAsia"/>
                <w:b/>
                <w:bCs/>
                <w:color w:val="000000"/>
                <w:sz w:val="24"/>
                <w:szCs w:val="24"/>
                <w:lang w:val="en-US" w:eastAsia="zh-CN"/>
              </w:rPr>
              <w:t>8</w:t>
            </w:r>
            <w:r>
              <w:rPr>
                <w:rFonts w:hint="eastAsia" w:asciiTheme="minorEastAsia" w:hAnsiTheme="minorEastAsia" w:eastAsiaTheme="minorEastAsia" w:cstheme="minorEastAsia"/>
                <w:b/>
                <w:bCs/>
                <w:color w:val="000000"/>
                <w:sz w:val="24"/>
                <w:szCs w:val="24"/>
              </w:rPr>
              <w:t>分）</w:t>
            </w:r>
          </w:p>
          <w:p w14:paraId="689CE185">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lang w:val="zh-CN" w:eastAsia="zh-CN"/>
              </w:rPr>
              <w:t>①质量目标及保障措施</w:t>
            </w:r>
            <w:r>
              <w:rPr>
                <w:rFonts w:hint="eastAsia" w:asciiTheme="minorEastAsia" w:hAnsiTheme="minorEastAsia" w:eastAsiaTheme="minorEastAsia" w:cstheme="minorEastAsia"/>
                <w:sz w:val="24"/>
                <w:lang w:val="zh-CN"/>
              </w:rPr>
              <w:t>：</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分；</w:t>
            </w:r>
          </w:p>
          <w:p w14:paraId="110F6733">
            <w:pPr>
              <w:spacing w:line="360" w:lineRule="auto"/>
              <w:ind w:firstLine="480" w:firstLineChars="200"/>
              <w:jc w:val="left"/>
              <w:rPr>
                <w:rFonts w:hint="eastAsia" w:asciiTheme="minorEastAsia" w:hAnsiTheme="minorEastAsia" w:eastAsiaTheme="minorEastAsia" w:cstheme="minorEastAsia"/>
                <w:b/>
                <w:bCs/>
                <w:color w:val="auto"/>
                <w:kern w:val="0"/>
                <w:sz w:val="24"/>
                <w:szCs w:val="24"/>
                <w:highlight w:val="none"/>
                <w:lang w:val="zh-CN" w:eastAsia="zh-CN" w:bidi="ar-SA"/>
              </w:rPr>
            </w:pPr>
            <w:r>
              <w:rPr>
                <w:rFonts w:hint="eastAsia" w:asciiTheme="minorEastAsia" w:hAnsiTheme="minorEastAsia" w:eastAsiaTheme="minorEastAsia" w:cstheme="minorEastAsia"/>
                <w:color w:val="000000"/>
                <w:sz w:val="24"/>
                <w:szCs w:val="24"/>
              </w:rPr>
              <w:t>②</w:t>
            </w:r>
            <w:r>
              <w:rPr>
                <w:rFonts w:hint="eastAsia" w:asciiTheme="minorEastAsia" w:hAnsiTheme="minorEastAsia" w:eastAsiaTheme="minorEastAsia" w:cstheme="minorEastAsia"/>
                <w:color w:val="000000"/>
                <w:sz w:val="24"/>
                <w:szCs w:val="24"/>
                <w:lang w:val="en-US" w:eastAsia="zh-CN"/>
              </w:rPr>
              <w:t>进度计划及措施</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分；</w:t>
            </w:r>
          </w:p>
        </w:tc>
        <w:tc>
          <w:tcPr>
            <w:tcW w:w="1244" w:type="dxa"/>
            <w:noWrap w:val="0"/>
            <w:vAlign w:val="center"/>
          </w:tcPr>
          <w:p w14:paraId="3B2E8A5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000000"/>
                <w:sz w:val="24"/>
                <w:szCs w:val="24"/>
                <w:lang w:val="en-US" w:eastAsia="zh-CN"/>
              </w:rPr>
              <w:t>8分</w:t>
            </w:r>
          </w:p>
        </w:tc>
      </w:tr>
      <w:tr w14:paraId="2D49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2811CD84">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5EE466C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保密措施 </w:t>
            </w:r>
          </w:p>
          <w:p w14:paraId="497B4AC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（满分6分）</w:t>
            </w:r>
          </w:p>
        </w:tc>
        <w:tc>
          <w:tcPr>
            <w:tcW w:w="5230" w:type="dxa"/>
            <w:noWrap w:val="0"/>
            <w:vAlign w:val="center"/>
          </w:tcPr>
          <w:p w14:paraId="79133B76">
            <w:pPr>
              <w:keepNext w:val="0"/>
              <w:keepLines w:val="0"/>
              <w:pageBreakBefore w:val="0"/>
              <w:widowControl w:val="0"/>
              <w:numPr>
                <w:ilvl w:val="0"/>
                <w:numId w:val="0"/>
              </w:numPr>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b/>
                <w:bCs/>
                <w:snapToGrid w:val="0"/>
                <w:kern w:val="0"/>
                <w:sz w:val="24"/>
                <w:szCs w:val="24"/>
                <w:lang w:val="en-US" w:eastAsia="zh-CN"/>
              </w:rPr>
              <w:t>一、评审内容</w:t>
            </w:r>
          </w:p>
          <w:p w14:paraId="2FB7973B">
            <w:pPr>
              <w:keepNext w:val="0"/>
              <w:keepLines w:val="0"/>
              <w:pageBreakBefore w:val="0"/>
              <w:numPr>
                <w:ilvl w:val="0"/>
                <w:numId w:val="0"/>
              </w:numPr>
              <w:kinsoku/>
              <w:wordWrap/>
              <w:overflowPunct/>
              <w:topLinePunct w:val="0"/>
              <w:bidi w:val="0"/>
              <w:adjustRightInd/>
              <w:snapToGrid/>
              <w:spacing w:line="360" w:lineRule="auto"/>
              <w:ind w:firstLine="480" w:firstLineChars="200"/>
              <w:jc w:val="left"/>
              <w:textAlignment w:val="auto"/>
              <w:rPr>
                <w:rFonts w:hint="eastAsia" w:asciiTheme="minorEastAsia" w:hAnsiTheme="minorEastAsia" w:eastAsiaTheme="minorEastAsia" w:cstheme="minorEastAsia"/>
                <w:b w:val="0"/>
                <w:bCs w:val="0"/>
                <w:snapToGrid w:val="0"/>
                <w:kern w:val="0"/>
                <w:sz w:val="24"/>
                <w:szCs w:val="24"/>
                <w:lang w:val="en-US" w:eastAsia="zh-CN"/>
              </w:rPr>
            </w:pPr>
            <w:r>
              <w:rPr>
                <w:rFonts w:hint="eastAsia" w:asciiTheme="minorEastAsia" w:hAnsiTheme="minorEastAsia" w:eastAsiaTheme="minorEastAsia" w:cstheme="minorEastAsia"/>
                <w:color w:val="000000"/>
                <w:sz w:val="24"/>
                <w:szCs w:val="24"/>
                <w:lang w:val="en-US" w:eastAsia="zh-CN"/>
              </w:rPr>
              <w:t>供应商根据本项目特点，提供保密措施，内容包括：①测绘成果保密制度②保密管理措施③保密承诺书</w:t>
            </w:r>
            <w:r>
              <w:rPr>
                <w:rFonts w:hint="eastAsia" w:asciiTheme="minorEastAsia" w:hAnsiTheme="minorEastAsia" w:eastAsiaTheme="minorEastAsia" w:cstheme="minorEastAsia"/>
                <w:b w:val="0"/>
                <w:bCs w:val="0"/>
                <w:snapToGrid w:val="0"/>
                <w:kern w:val="0"/>
                <w:sz w:val="24"/>
                <w:szCs w:val="24"/>
                <w:lang w:val="en-US" w:eastAsia="zh-CN"/>
              </w:rPr>
              <w:t>。</w:t>
            </w:r>
          </w:p>
          <w:p w14:paraId="33634B56">
            <w:pPr>
              <w:keepNext w:val="0"/>
              <w:keepLines w:val="0"/>
              <w:pageBreakBefore w:val="0"/>
              <w:widowControl w:val="0"/>
              <w:numPr>
                <w:ilvl w:val="0"/>
                <w:numId w:val="0"/>
              </w:numPr>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b/>
                <w:bCs/>
                <w:snapToGrid w:val="0"/>
                <w:kern w:val="0"/>
                <w:sz w:val="24"/>
                <w:szCs w:val="24"/>
                <w:lang w:val="zh-CN" w:eastAsia="zh-CN"/>
              </w:rPr>
            </w:pPr>
            <w:r>
              <w:rPr>
                <w:rFonts w:hint="eastAsia" w:asciiTheme="minorEastAsia" w:hAnsiTheme="minorEastAsia" w:eastAsiaTheme="minorEastAsia" w:cstheme="minorEastAsia"/>
                <w:b/>
                <w:bCs/>
                <w:snapToGrid w:val="0"/>
                <w:kern w:val="0"/>
                <w:sz w:val="24"/>
                <w:szCs w:val="24"/>
                <w:lang w:val="zh-CN" w:eastAsia="zh-CN"/>
              </w:rPr>
              <w:t>二、评审标准</w:t>
            </w:r>
          </w:p>
          <w:p w14:paraId="650D7907">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asciiTheme="minorEastAsia" w:hAnsiTheme="minorEastAsia" w:eastAsiaTheme="minorEastAsia" w:cstheme="minorEastAsia"/>
                <w:b w:val="0"/>
                <w:bCs w:val="0"/>
                <w:color w:val="auto"/>
                <w:kern w:val="0"/>
                <w:sz w:val="24"/>
                <w:szCs w:val="24"/>
                <w:highlight w:val="none"/>
                <w:lang w:val="zh-CN"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1</w:t>
            </w:r>
            <w:r>
              <w:rPr>
                <w:rFonts w:hint="eastAsia" w:asciiTheme="minorEastAsia" w:hAnsiTheme="minorEastAsia" w:eastAsiaTheme="minorEastAsia" w:cstheme="minorEastAsia"/>
                <w:b w:val="0"/>
                <w:bCs w:val="0"/>
                <w:color w:val="auto"/>
                <w:kern w:val="0"/>
                <w:sz w:val="24"/>
                <w:szCs w:val="24"/>
                <w:highlight w:val="none"/>
                <w:lang w:val="zh-CN" w:eastAsia="zh-CN" w:bidi="ar-SA"/>
              </w:rPr>
              <w:t>.科学性：切合本项目实际情况，叙述清楚，符合客观实际情况；</w:t>
            </w:r>
          </w:p>
          <w:p w14:paraId="2C89FF4E">
            <w:pPr>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zh-CN"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2</w:t>
            </w:r>
            <w:r>
              <w:rPr>
                <w:rFonts w:hint="eastAsia" w:asciiTheme="minorEastAsia" w:hAnsiTheme="minorEastAsia" w:eastAsiaTheme="minorEastAsia" w:cstheme="minorEastAsia"/>
                <w:b w:val="0"/>
                <w:bCs w:val="0"/>
                <w:color w:val="auto"/>
                <w:kern w:val="0"/>
                <w:sz w:val="24"/>
                <w:szCs w:val="24"/>
                <w:highlight w:val="none"/>
                <w:lang w:val="zh-CN" w:eastAsia="zh-CN" w:bidi="ar-SA"/>
              </w:rPr>
              <w:t>.</w:t>
            </w:r>
            <w:r>
              <w:rPr>
                <w:rFonts w:hint="eastAsia" w:asciiTheme="minorEastAsia" w:hAnsiTheme="minorEastAsia" w:eastAsiaTheme="minorEastAsia" w:cstheme="minorEastAsia"/>
                <w:color w:val="000000"/>
                <w:sz w:val="24"/>
                <w:szCs w:val="24"/>
                <w:lang w:val="zh-CN" w:eastAsia="zh-CN"/>
              </w:rPr>
              <w:t>针对性：切合本项目实际情况，根据招标文件要求提出针对本项目实际操作性强的措施方案。</w:t>
            </w:r>
          </w:p>
          <w:p w14:paraId="67399054">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三、赋分标准（满分</w:t>
            </w:r>
            <w:r>
              <w:rPr>
                <w:rFonts w:hint="eastAsia" w:asciiTheme="minorEastAsia" w:hAnsiTheme="minorEastAsia" w:eastAsiaTheme="minorEastAsia" w:cstheme="minorEastAsia"/>
                <w:b/>
                <w:bCs/>
                <w:color w:val="000000"/>
                <w:sz w:val="24"/>
                <w:szCs w:val="24"/>
                <w:lang w:val="en-US" w:eastAsia="zh-CN"/>
              </w:rPr>
              <w:t>6</w:t>
            </w:r>
            <w:r>
              <w:rPr>
                <w:rFonts w:hint="eastAsia" w:asciiTheme="minorEastAsia" w:hAnsiTheme="minorEastAsia" w:eastAsiaTheme="minorEastAsia" w:cstheme="minorEastAsia"/>
                <w:b/>
                <w:bCs/>
                <w:color w:val="000000"/>
                <w:sz w:val="24"/>
                <w:szCs w:val="24"/>
              </w:rPr>
              <w:t>分）</w:t>
            </w:r>
          </w:p>
          <w:p w14:paraId="7E109D44">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lang w:val="zh-CN" w:eastAsia="zh-CN"/>
              </w:rPr>
              <w:t>①测绘成果保密制度</w:t>
            </w:r>
            <w:r>
              <w:rPr>
                <w:rFonts w:hint="eastAsia" w:asciiTheme="minorEastAsia" w:hAnsiTheme="minorEastAsia" w:eastAsiaTheme="minorEastAsia" w:cstheme="minorEastAsia"/>
                <w:sz w:val="24"/>
                <w:lang w:val="zh-CN"/>
              </w:rPr>
              <w:t>：</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p>
          <w:p w14:paraId="54EE39E5">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lang w:val="zh-CN" w:eastAsia="zh-CN"/>
              </w:rPr>
              <w:t>②保密管理措施</w:t>
            </w:r>
            <w:r>
              <w:rPr>
                <w:rFonts w:hint="eastAsia" w:asciiTheme="minorEastAsia" w:hAnsiTheme="minorEastAsia" w:eastAsiaTheme="minorEastAsia" w:cstheme="minorEastAsia"/>
                <w:sz w:val="24"/>
                <w:lang w:val="zh-CN"/>
              </w:rPr>
              <w:t>：</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p>
          <w:p w14:paraId="2420E3DF">
            <w:pPr>
              <w:spacing w:line="360" w:lineRule="auto"/>
              <w:ind w:firstLine="480" w:firstLineChars="200"/>
              <w:jc w:val="left"/>
              <w:rPr>
                <w:rFonts w:hint="eastAsia" w:asciiTheme="minorEastAsia" w:hAnsiTheme="minorEastAsia" w:eastAsiaTheme="minorEastAsia" w:cstheme="minorEastAsia"/>
                <w:b w:val="0"/>
                <w:bCs/>
                <w:color w:val="auto"/>
                <w:kern w:val="0"/>
                <w:sz w:val="24"/>
                <w:szCs w:val="24"/>
                <w:highlight w:val="none"/>
                <w:lang w:val="zh-CN" w:eastAsia="zh-CN" w:bidi="ar-SA"/>
              </w:rPr>
            </w:pPr>
            <w:r>
              <w:rPr>
                <w:rFonts w:hint="eastAsia" w:asciiTheme="minorEastAsia" w:hAnsiTheme="minorEastAsia" w:eastAsiaTheme="minorEastAsia" w:cstheme="minorEastAsia"/>
                <w:color w:val="000000"/>
                <w:sz w:val="24"/>
                <w:szCs w:val="24"/>
                <w:lang w:val="en-US" w:eastAsia="zh-CN"/>
              </w:rPr>
              <w:t>③保密承诺书</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p>
        </w:tc>
        <w:tc>
          <w:tcPr>
            <w:tcW w:w="1244" w:type="dxa"/>
            <w:noWrap w:val="0"/>
            <w:vAlign w:val="center"/>
          </w:tcPr>
          <w:p w14:paraId="7D0259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6分</w:t>
            </w:r>
          </w:p>
        </w:tc>
      </w:tr>
      <w:tr w14:paraId="4171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472BBF6D">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69B75064">
            <w:pPr>
              <w:pStyle w:val="37"/>
              <w:spacing w:line="360" w:lineRule="auto"/>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安全、文明措施</w:t>
            </w:r>
          </w:p>
          <w:p w14:paraId="5B512360">
            <w:pPr>
              <w:pStyle w:val="37"/>
              <w:spacing w:line="360" w:lineRule="auto"/>
              <w:ind w:left="0" w:leftChars="0" w:firstLine="0" w:firstLineChars="0"/>
              <w:jc w:val="center"/>
              <w:rPr>
                <w:rFonts w:hint="eastAsia" w:asciiTheme="minorEastAsia" w:hAnsiTheme="minorEastAsia" w:eastAsiaTheme="minorEastAsia" w:cstheme="minorEastAsia"/>
                <w:b/>
                <w:color w:val="000000"/>
                <w:kern w:val="2"/>
                <w:sz w:val="24"/>
                <w:szCs w:val="24"/>
                <w:highlight w:val="none"/>
                <w:lang w:val="en-US" w:eastAsia="zh-CN" w:bidi="zh-CN"/>
              </w:rPr>
            </w:pPr>
            <w:r>
              <w:rPr>
                <w:rFonts w:hint="eastAsia" w:asciiTheme="minorEastAsia" w:hAnsiTheme="minorEastAsia" w:eastAsiaTheme="minorEastAsia" w:cstheme="minorEastAsia"/>
                <w:color w:val="000000"/>
                <w:sz w:val="24"/>
                <w:szCs w:val="24"/>
                <w:lang w:val="en-US" w:eastAsia="zh-CN"/>
              </w:rPr>
              <w:t>（满分6分）</w:t>
            </w:r>
          </w:p>
        </w:tc>
        <w:tc>
          <w:tcPr>
            <w:tcW w:w="5230" w:type="dxa"/>
            <w:noWrap w:val="0"/>
            <w:vAlign w:val="center"/>
          </w:tcPr>
          <w:p w14:paraId="5A46831E">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一、评审内容</w:t>
            </w:r>
          </w:p>
          <w:p w14:paraId="57AD4C3F">
            <w:pPr>
              <w:spacing w:line="360" w:lineRule="auto"/>
              <w:ind w:firstLine="480" w:firstLineChars="200"/>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val="0"/>
                <w:bCs w:val="0"/>
                <w:color w:val="000000"/>
                <w:sz w:val="24"/>
                <w:szCs w:val="24"/>
                <w:lang w:val="en-US" w:eastAsia="zh-CN"/>
              </w:rPr>
              <w:t>根据供应商提供的安全、环境保护等方案，内容包括：①安全文明措施②环境保护方案③安全上岗培训、定期安全教育和培训。</w:t>
            </w:r>
            <w:r>
              <w:rPr>
                <w:rFonts w:hint="eastAsia" w:asciiTheme="minorEastAsia" w:hAnsiTheme="minorEastAsia" w:eastAsiaTheme="minorEastAsia" w:cstheme="minorEastAsia"/>
                <w:b/>
                <w:bCs/>
                <w:color w:val="000000"/>
                <w:sz w:val="24"/>
                <w:szCs w:val="24"/>
              </w:rPr>
              <w:br w:type="textWrapping"/>
            </w:r>
            <w:r>
              <w:rPr>
                <w:rFonts w:hint="eastAsia" w:asciiTheme="minorEastAsia" w:hAnsiTheme="minorEastAsia" w:eastAsiaTheme="minorEastAsia" w:cstheme="minorEastAsia"/>
                <w:b/>
                <w:bCs/>
                <w:color w:val="000000"/>
                <w:sz w:val="24"/>
                <w:szCs w:val="24"/>
              </w:rPr>
              <w:t>二、评审标准</w:t>
            </w:r>
          </w:p>
          <w:p w14:paraId="640251ED">
            <w:pPr>
              <w:spacing w:line="360" w:lineRule="auto"/>
              <w:ind w:firstLine="480" w:firstLineChars="200"/>
              <w:jc w:val="left"/>
              <w:rPr>
                <w:rFonts w:hint="eastAsia" w:asciiTheme="minorEastAsia" w:hAnsiTheme="minorEastAsia" w:eastAsiaTheme="minorEastAsia" w:cstheme="minorEastAsia"/>
                <w:color w:val="000000"/>
                <w:sz w:val="24"/>
                <w:szCs w:val="24"/>
                <w:lang w:val="zh-CN" w:eastAsia="zh-CN"/>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.合理性：方案分析符合项目实际特点，合理、恰当；</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 xml:space="preserve">  2</w:t>
            </w:r>
            <w:r>
              <w:rPr>
                <w:rFonts w:hint="eastAsia" w:asciiTheme="minorEastAsia" w:hAnsiTheme="minorEastAsia" w:eastAsiaTheme="minorEastAsia" w:cstheme="minorEastAsia"/>
                <w:color w:val="000000"/>
                <w:sz w:val="24"/>
                <w:szCs w:val="24"/>
                <w:lang w:val="zh-CN" w:eastAsia="zh-CN"/>
              </w:rPr>
              <w:t>.科学性：切合本项目实际情况，叙述清楚，符合客观实际情况；</w:t>
            </w:r>
          </w:p>
          <w:p w14:paraId="766F543F">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三、赋分标准（满分</w:t>
            </w:r>
            <w:r>
              <w:rPr>
                <w:rFonts w:hint="eastAsia" w:asciiTheme="minorEastAsia" w:hAnsiTheme="minorEastAsia" w:eastAsiaTheme="minorEastAsia" w:cstheme="minorEastAsia"/>
                <w:b/>
                <w:bCs/>
                <w:color w:val="000000"/>
                <w:sz w:val="24"/>
                <w:szCs w:val="24"/>
                <w:lang w:val="en-US" w:eastAsia="zh-CN"/>
              </w:rPr>
              <w:t>6</w:t>
            </w:r>
            <w:r>
              <w:rPr>
                <w:rFonts w:hint="eastAsia" w:asciiTheme="minorEastAsia" w:hAnsiTheme="minorEastAsia" w:eastAsiaTheme="minorEastAsia" w:cstheme="minorEastAsia"/>
                <w:b/>
                <w:bCs/>
                <w:color w:val="000000"/>
                <w:sz w:val="24"/>
                <w:szCs w:val="24"/>
              </w:rPr>
              <w:t>分）</w:t>
            </w:r>
          </w:p>
          <w:p w14:paraId="546CF748">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val="0"/>
                <w:bCs w:val="0"/>
                <w:color w:val="000000"/>
                <w:sz w:val="24"/>
                <w:szCs w:val="24"/>
                <w:lang w:val="en-US" w:eastAsia="zh-CN"/>
              </w:rPr>
              <w:t>①安全文明措施</w:t>
            </w:r>
            <w:r>
              <w:rPr>
                <w:rFonts w:hint="eastAsia" w:asciiTheme="minorEastAsia" w:hAnsiTheme="minorEastAsia" w:eastAsiaTheme="minorEastAsia" w:cstheme="minorEastAsia"/>
                <w:sz w:val="24"/>
                <w:lang w:val="zh-CN"/>
              </w:rPr>
              <w:t>：</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p>
          <w:p w14:paraId="249EA425">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②环境保护方案</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p>
          <w:p w14:paraId="1937CE11">
            <w:pPr>
              <w:spacing w:line="360" w:lineRule="auto"/>
              <w:ind w:firstLine="480" w:firstLineChars="200"/>
              <w:jc w:val="left"/>
              <w:rPr>
                <w:rFonts w:hint="eastAsia" w:asciiTheme="minorEastAsia" w:hAnsiTheme="minorEastAsia" w:eastAsiaTheme="minorEastAsia" w:cstheme="minorEastAsia"/>
                <w:b/>
                <w:bCs/>
                <w:snapToGrid w:val="0"/>
                <w:kern w:val="0"/>
                <w:sz w:val="24"/>
                <w:szCs w:val="24"/>
                <w:lang w:val="zh-CN" w:eastAsia="zh-CN" w:bidi="ar-SA"/>
              </w:rPr>
            </w:pPr>
            <w:r>
              <w:rPr>
                <w:rFonts w:hint="eastAsia" w:asciiTheme="minorEastAsia" w:hAnsiTheme="minorEastAsia" w:eastAsiaTheme="minorEastAsia" w:cstheme="minorEastAsia"/>
                <w:color w:val="000000"/>
                <w:sz w:val="24"/>
                <w:szCs w:val="24"/>
                <w:lang w:val="en-US" w:eastAsia="zh-CN"/>
              </w:rPr>
              <w:t>③安全上岗培训、定期安全教育和培训</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p>
        </w:tc>
        <w:tc>
          <w:tcPr>
            <w:tcW w:w="1244" w:type="dxa"/>
            <w:noWrap w:val="0"/>
            <w:vAlign w:val="center"/>
          </w:tcPr>
          <w:p w14:paraId="7D71D2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6分</w:t>
            </w:r>
          </w:p>
        </w:tc>
      </w:tr>
      <w:tr w14:paraId="3546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199F830F">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34734154">
            <w:pPr>
              <w:pStyle w:val="37"/>
              <w:spacing w:line="360" w:lineRule="auto"/>
              <w:ind w:left="0" w:leftChars="0" w:firstLine="240" w:firstLineChars="10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项目团队</w:t>
            </w:r>
          </w:p>
          <w:p w14:paraId="1352AEDE">
            <w:pPr>
              <w:pStyle w:val="37"/>
              <w:spacing w:line="360" w:lineRule="auto"/>
              <w:ind w:left="0" w:leftChars="0" w:firstLine="0" w:firstLineChars="0"/>
              <w:rPr>
                <w:rFonts w:hint="eastAsia" w:asciiTheme="minorEastAsia" w:hAnsiTheme="minorEastAsia" w:eastAsiaTheme="minorEastAsia" w:cstheme="minorEastAsia"/>
                <w:color w:val="000000"/>
                <w:kern w:val="0"/>
                <w:sz w:val="24"/>
                <w:szCs w:val="24"/>
                <w:lang w:val="zh-CN" w:eastAsia="zh-CN"/>
              </w:rPr>
            </w:pPr>
            <w:r>
              <w:rPr>
                <w:rFonts w:hint="eastAsia" w:asciiTheme="minorEastAsia" w:hAnsiTheme="minorEastAsia" w:eastAsiaTheme="minorEastAsia" w:cstheme="minorEastAsia"/>
                <w:color w:val="000000"/>
                <w:sz w:val="24"/>
                <w:szCs w:val="24"/>
                <w:lang w:val="en-US" w:eastAsia="zh-CN"/>
              </w:rPr>
              <w:t>（满分23分）</w:t>
            </w:r>
          </w:p>
        </w:tc>
        <w:tc>
          <w:tcPr>
            <w:tcW w:w="5230" w:type="dxa"/>
            <w:noWrap w:val="0"/>
            <w:vAlign w:val="center"/>
          </w:tcPr>
          <w:p w14:paraId="7517DB05">
            <w:pPr>
              <w:spacing w:line="360" w:lineRule="auto"/>
              <w:ind w:firstLine="480" w:firstLineChars="200"/>
              <w:jc w:val="left"/>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 xml:space="preserve">1、拟派项目负责人：具有相关专业高级职称得 4分，中级职称得 2分，否则本项不得分。 </w:t>
            </w:r>
          </w:p>
          <w:p w14:paraId="7AD883B8">
            <w:pPr>
              <w:spacing w:line="360" w:lineRule="auto"/>
              <w:ind w:firstLine="480" w:firstLineChars="200"/>
              <w:jc w:val="left"/>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 xml:space="preserve">2、拟派技术负责人：具有相关专业高级职称得 3分，中级职称得 1 分，否则本项不得分。 </w:t>
            </w:r>
          </w:p>
          <w:p w14:paraId="5D7F581C">
            <w:pPr>
              <w:spacing w:line="360" w:lineRule="auto"/>
              <w:ind w:firstLine="480" w:firstLineChars="200"/>
              <w:jc w:val="left"/>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3、项目组成员：针对本项目每提供1名具有相关专业高级技术职称证得3分，中级技术职称得2分，初级职称或注册测绘师证等相关资格证得1分，本项最高16分。</w:t>
            </w:r>
          </w:p>
          <w:p w14:paraId="1F32917E">
            <w:pPr>
              <w:spacing w:line="360" w:lineRule="auto"/>
              <w:ind w:firstLine="482"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lang w:val="en-US" w:eastAsia="zh-CN"/>
              </w:rPr>
              <w:t>注：须提供人员身份证复印件、职称证书复印件及相关证明材料</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b/>
                <w:bCs/>
                <w:snapToGrid w:val="0"/>
                <w:color w:val="auto"/>
                <w:kern w:val="0"/>
                <w:sz w:val="24"/>
                <w:szCs w:val="24"/>
                <w:highlight w:val="none"/>
                <w:lang w:val="zh-CN"/>
              </w:rPr>
              <w:t>提供在本单位</w:t>
            </w:r>
            <w:r>
              <w:rPr>
                <w:rFonts w:hint="eastAsia" w:asciiTheme="minorEastAsia" w:hAnsiTheme="minorEastAsia" w:eastAsiaTheme="minorEastAsia" w:cstheme="minorEastAsia"/>
                <w:b/>
                <w:bCs/>
                <w:snapToGrid w:val="0"/>
                <w:color w:val="auto"/>
                <w:kern w:val="0"/>
                <w:sz w:val="24"/>
                <w:szCs w:val="24"/>
                <w:highlight w:val="none"/>
                <w:lang w:val="zh-CN" w:eastAsia="zh-CN"/>
              </w:rPr>
              <w:t>近半年内任意</w:t>
            </w:r>
            <w:r>
              <w:rPr>
                <w:rFonts w:hint="eastAsia" w:asciiTheme="minorEastAsia" w:hAnsiTheme="minorEastAsia" w:eastAsiaTheme="minorEastAsia" w:cstheme="minorEastAsia"/>
                <w:b/>
                <w:bCs/>
                <w:snapToGrid w:val="0"/>
                <w:color w:val="auto"/>
                <w:kern w:val="0"/>
                <w:sz w:val="24"/>
                <w:szCs w:val="24"/>
                <w:highlight w:val="none"/>
                <w:lang w:val="en-US" w:eastAsia="zh-CN"/>
              </w:rPr>
              <w:t>一个</w:t>
            </w:r>
            <w:r>
              <w:rPr>
                <w:rFonts w:hint="eastAsia" w:asciiTheme="minorEastAsia" w:hAnsiTheme="minorEastAsia" w:eastAsiaTheme="minorEastAsia" w:cstheme="minorEastAsia"/>
                <w:b/>
                <w:bCs/>
                <w:snapToGrid w:val="0"/>
                <w:color w:val="auto"/>
                <w:kern w:val="0"/>
                <w:sz w:val="24"/>
                <w:szCs w:val="24"/>
                <w:highlight w:val="none"/>
                <w:lang w:val="zh-CN" w:eastAsia="zh-CN"/>
              </w:rPr>
              <w:t>月</w:t>
            </w:r>
            <w:r>
              <w:rPr>
                <w:rFonts w:hint="eastAsia" w:asciiTheme="minorEastAsia" w:hAnsiTheme="minorEastAsia" w:eastAsiaTheme="minorEastAsia" w:cstheme="minorEastAsia"/>
                <w:b/>
                <w:bCs/>
                <w:snapToGrid w:val="0"/>
                <w:color w:val="auto"/>
                <w:kern w:val="0"/>
                <w:sz w:val="24"/>
                <w:szCs w:val="24"/>
                <w:highlight w:val="none"/>
                <w:lang w:val="en-US" w:eastAsia="zh-CN"/>
              </w:rPr>
              <w:t>的</w:t>
            </w:r>
            <w:r>
              <w:rPr>
                <w:rFonts w:hint="eastAsia" w:asciiTheme="minorEastAsia" w:hAnsiTheme="minorEastAsia" w:eastAsiaTheme="minorEastAsia" w:cstheme="minorEastAsia"/>
                <w:b/>
                <w:bCs/>
                <w:snapToGrid w:val="0"/>
                <w:color w:val="auto"/>
                <w:kern w:val="0"/>
                <w:sz w:val="24"/>
                <w:szCs w:val="24"/>
                <w:highlight w:val="none"/>
                <w:lang w:val="zh-CN" w:eastAsia="zh-CN"/>
              </w:rPr>
              <w:t>社保</w:t>
            </w:r>
            <w:r>
              <w:rPr>
                <w:rFonts w:hint="eastAsia" w:asciiTheme="minorEastAsia" w:hAnsiTheme="minorEastAsia" w:eastAsiaTheme="minorEastAsia" w:cstheme="minorEastAsia"/>
                <w:b/>
                <w:bCs/>
                <w:snapToGrid w:val="0"/>
                <w:color w:val="auto"/>
                <w:kern w:val="0"/>
                <w:sz w:val="24"/>
                <w:szCs w:val="24"/>
                <w:highlight w:val="none"/>
                <w:lang w:val="en-US" w:eastAsia="zh-CN"/>
              </w:rPr>
              <w:t>缴纳</w:t>
            </w:r>
            <w:r>
              <w:rPr>
                <w:rFonts w:hint="eastAsia" w:asciiTheme="minorEastAsia" w:hAnsiTheme="minorEastAsia" w:eastAsiaTheme="minorEastAsia" w:cstheme="minorEastAsia"/>
                <w:b/>
                <w:bCs/>
                <w:snapToGrid w:val="0"/>
                <w:color w:val="auto"/>
                <w:kern w:val="0"/>
                <w:sz w:val="24"/>
                <w:szCs w:val="24"/>
                <w:highlight w:val="none"/>
                <w:lang w:val="zh-CN" w:eastAsia="zh-CN"/>
              </w:rPr>
              <w:t>证明或劳动合同</w:t>
            </w:r>
            <w:r>
              <w:rPr>
                <w:rFonts w:hint="eastAsia" w:asciiTheme="minorEastAsia" w:hAnsiTheme="minorEastAsia" w:eastAsiaTheme="minorEastAsia" w:cstheme="minorEastAsia"/>
                <w:b/>
                <w:bCs/>
                <w:snapToGrid w:val="0"/>
                <w:color w:val="auto"/>
                <w:kern w:val="0"/>
                <w:sz w:val="24"/>
                <w:szCs w:val="24"/>
                <w:highlight w:val="none"/>
                <w:lang w:val="zh-CN"/>
              </w:rPr>
              <w:t>。</w:t>
            </w:r>
          </w:p>
        </w:tc>
        <w:tc>
          <w:tcPr>
            <w:tcW w:w="1244" w:type="dxa"/>
            <w:noWrap w:val="0"/>
            <w:vAlign w:val="center"/>
          </w:tcPr>
          <w:p w14:paraId="234AD29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23分</w:t>
            </w:r>
          </w:p>
        </w:tc>
      </w:tr>
      <w:tr w14:paraId="7C2CD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2" w:hRule="atLeast"/>
        </w:trPr>
        <w:tc>
          <w:tcPr>
            <w:tcW w:w="1375" w:type="dxa"/>
            <w:vMerge w:val="restart"/>
            <w:noWrap w:val="0"/>
            <w:vAlign w:val="center"/>
          </w:tcPr>
          <w:p w14:paraId="1BF68519">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商务部分</w:t>
            </w:r>
            <w:r>
              <w:rPr>
                <w:rFonts w:hint="eastAsia" w:asciiTheme="minorEastAsia" w:hAnsiTheme="minorEastAsia" w:eastAsiaTheme="minorEastAsia" w:cstheme="minorEastAsia"/>
                <w:color w:val="000000"/>
                <w:kern w:val="2"/>
                <w:sz w:val="24"/>
                <w:szCs w:val="24"/>
                <w:highlight w:val="none"/>
                <w:lang w:val="en-US" w:eastAsia="zh-CN" w:bidi="ar-SA"/>
              </w:rPr>
              <w:t>（29分）</w:t>
            </w:r>
          </w:p>
        </w:tc>
        <w:tc>
          <w:tcPr>
            <w:tcW w:w="1630" w:type="dxa"/>
            <w:noWrap w:val="0"/>
            <w:vAlign w:val="center"/>
          </w:tcPr>
          <w:p w14:paraId="0F25DC5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业绩</w:t>
            </w:r>
          </w:p>
          <w:p w14:paraId="07E4920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Theme="minorEastAsia" w:hAnsiTheme="minorEastAsia" w:eastAsiaTheme="minorEastAsia" w:cstheme="minorEastAsia"/>
                <w:color w:val="000000"/>
                <w:sz w:val="24"/>
                <w:szCs w:val="24"/>
                <w:highlight w:val="none"/>
                <w:lang w:val="en-US" w:eastAsia="zh-CN"/>
              </w:rPr>
              <w:t>（满分9分）</w:t>
            </w:r>
          </w:p>
        </w:tc>
        <w:tc>
          <w:tcPr>
            <w:tcW w:w="5230" w:type="dxa"/>
            <w:noWrap w:val="0"/>
            <w:vAlign w:val="top"/>
          </w:tcPr>
          <w:p w14:paraId="5121A6C2">
            <w:pPr>
              <w:keepLines/>
              <w:adjustRightInd w:val="0"/>
              <w:snapToGrid w:val="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 供应商提供自2023年3月1日至今类似项目业绩（以合同签订日期为准），每提供一个业绩得3分，最高9分。</w:t>
            </w:r>
          </w:p>
          <w:p w14:paraId="56F53885">
            <w:pPr>
              <w:spacing w:line="360" w:lineRule="auto"/>
              <w:ind w:firstLine="482" w:firstLineChars="200"/>
              <w:jc w:val="left"/>
              <w:rPr>
                <w:rFonts w:hint="eastAsia" w:asciiTheme="minorEastAsia" w:hAnsiTheme="minorEastAsia" w:eastAsiaTheme="minorEastAsia" w:cstheme="minorEastAsia"/>
                <w:b/>
                <w:bCs/>
                <w:color w:val="000000"/>
                <w:kern w:val="2"/>
                <w:sz w:val="24"/>
                <w:szCs w:val="24"/>
                <w:highlight w:val="none"/>
                <w:lang w:val="en-US" w:eastAsia="zh-CN" w:bidi="ar-SA"/>
              </w:rPr>
            </w:pPr>
            <w:r>
              <w:rPr>
                <w:rFonts w:hint="eastAsia" w:asciiTheme="minorEastAsia" w:hAnsiTheme="minorEastAsia" w:eastAsiaTheme="minorEastAsia" w:cstheme="minorEastAsia"/>
                <w:b/>
                <w:bCs/>
                <w:color w:val="000000"/>
                <w:sz w:val="24"/>
                <w:szCs w:val="24"/>
                <w:highlight w:val="none"/>
                <w:lang w:val="en-US" w:eastAsia="zh-CN"/>
              </w:rPr>
              <w:t>注：以响应文件中所附业绩合同或中标通知书复印件或扫描件加盖公章为准。</w:t>
            </w:r>
          </w:p>
        </w:tc>
        <w:tc>
          <w:tcPr>
            <w:tcW w:w="1244" w:type="dxa"/>
            <w:noWrap w:val="0"/>
            <w:vAlign w:val="center"/>
          </w:tcPr>
          <w:p w14:paraId="6C60D871">
            <w:pPr>
              <w:pStyle w:val="36"/>
              <w:keepNext w:val="0"/>
              <w:keepLines w:val="0"/>
              <w:pageBreakBefore w:val="0"/>
              <w:widowControl w:val="0"/>
              <w:suppressLineNumbers w:val="0"/>
              <w:kinsoku/>
              <w:wordWrap/>
              <w:overflowPunct/>
              <w:topLinePunct w:val="0"/>
              <w:bidi w:val="0"/>
              <w:adjustRightInd/>
              <w:snapToGrid/>
              <w:spacing w:before="0" w:beforeAutospacing="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9分</w:t>
            </w:r>
          </w:p>
        </w:tc>
      </w:tr>
      <w:tr w14:paraId="14CA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2" w:hRule="atLeast"/>
        </w:trPr>
        <w:tc>
          <w:tcPr>
            <w:tcW w:w="1375" w:type="dxa"/>
            <w:vMerge w:val="continue"/>
            <w:noWrap w:val="0"/>
            <w:vAlign w:val="center"/>
          </w:tcPr>
          <w:p w14:paraId="6D090A89">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p>
        </w:tc>
        <w:tc>
          <w:tcPr>
            <w:tcW w:w="1630" w:type="dxa"/>
            <w:noWrap w:val="0"/>
            <w:vAlign w:val="center"/>
          </w:tcPr>
          <w:p w14:paraId="1104527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设备配备</w:t>
            </w:r>
          </w:p>
          <w:p w14:paraId="07B695A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（满分8分）</w:t>
            </w:r>
          </w:p>
        </w:tc>
        <w:tc>
          <w:tcPr>
            <w:tcW w:w="5230" w:type="dxa"/>
            <w:noWrap w:val="0"/>
            <w:vAlign w:val="top"/>
          </w:tcPr>
          <w:p w14:paraId="29D73F2B">
            <w:pPr>
              <w:spacing w:line="360"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 xml:space="preserve">1. 每配备车辆 1 辆得 1分，满分 </w:t>
            </w:r>
            <w:r>
              <w:rPr>
                <w:rFonts w:hint="eastAsia" w:asciiTheme="minorEastAsia" w:hAnsiTheme="minorEastAsia" w:eastAsiaTheme="minorEastAsia" w:cstheme="minorEastAsia"/>
                <w:spacing w:val="-4"/>
                <w:sz w:val="24"/>
                <w:szCs w:val="24"/>
                <w:highlight w:val="none"/>
                <w:lang w:val="en-US" w:eastAsia="zh-CN"/>
              </w:rPr>
              <w:t>2</w:t>
            </w:r>
            <w:r>
              <w:rPr>
                <w:rFonts w:hint="eastAsia" w:asciiTheme="minorEastAsia" w:hAnsiTheme="minorEastAsia" w:eastAsiaTheme="minorEastAsia" w:cstheme="minorEastAsia"/>
                <w:spacing w:val="-4"/>
                <w:sz w:val="24"/>
                <w:szCs w:val="24"/>
                <w:highlight w:val="none"/>
              </w:rPr>
              <w:t xml:space="preserve"> 分；</w:t>
            </w:r>
          </w:p>
          <w:p w14:paraId="13E9DE40">
            <w:pPr>
              <w:spacing w:line="360"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2.</w:t>
            </w:r>
            <w:r>
              <w:rPr>
                <w:rFonts w:hint="eastAsia" w:asciiTheme="minorEastAsia" w:hAnsiTheme="minorEastAsia" w:eastAsiaTheme="minorEastAsia" w:cstheme="minorEastAsia"/>
                <w:spacing w:val="-4"/>
                <w:sz w:val="24"/>
                <w:szCs w:val="24"/>
                <w:highlight w:val="none"/>
                <w:lang w:val="en-US" w:eastAsia="zh-CN"/>
              </w:rPr>
              <w:t xml:space="preserve"> </w:t>
            </w:r>
            <w:r>
              <w:rPr>
                <w:rFonts w:hint="eastAsia" w:asciiTheme="minorEastAsia" w:hAnsiTheme="minorEastAsia" w:eastAsiaTheme="minorEastAsia" w:cstheme="minorEastAsia"/>
                <w:spacing w:val="-4"/>
                <w:sz w:val="24"/>
                <w:szCs w:val="24"/>
                <w:highlight w:val="none"/>
              </w:rPr>
              <w:t>每配备</w:t>
            </w:r>
            <w:r>
              <w:rPr>
                <w:rFonts w:hint="eastAsia" w:asciiTheme="minorEastAsia" w:hAnsiTheme="minorEastAsia" w:eastAsiaTheme="minorEastAsia" w:cstheme="minorEastAsia"/>
                <w:spacing w:val="-4"/>
                <w:sz w:val="24"/>
                <w:szCs w:val="24"/>
                <w:highlight w:val="none"/>
                <w:lang w:val="en-US" w:eastAsia="zh-CN"/>
              </w:rPr>
              <w:t>GNSS/</w:t>
            </w:r>
            <w:r>
              <w:rPr>
                <w:rFonts w:hint="eastAsia" w:asciiTheme="minorEastAsia" w:hAnsiTheme="minorEastAsia" w:eastAsiaTheme="minorEastAsia" w:cstheme="minorEastAsia"/>
                <w:spacing w:val="-4"/>
                <w:sz w:val="24"/>
                <w:szCs w:val="24"/>
                <w:highlight w:val="none"/>
              </w:rPr>
              <w:t>GPS</w:t>
            </w:r>
            <w:r>
              <w:rPr>
                <w:rFonts w:hint="eastAsia" w:asciiTheme="minorEastAsia" w:hAnsiTheme="minorEastAsia" w:eastAsiaTheme="minorEastAsia" w:cstheme="minorEastAsia"/>
                <w:spacing w:val="-4"/>
                <w:sz w:val="24"/>
                <w:szCs w:val="24"/>
                <w:highlight w:val="none"/>
                <w:lang w:val="en-US" w:eastAsia="zh-CN"/>
              </w:rPr>
              <w:t xml:space="preserve"> </w:t>
            </w:r>
            <w:r>
              <w:rPr>
                <w:rFonts w:hint="eastAsia" w:asciiTheme="minorEastAsia" w:hAnsiTheme="minorEastAsia" w:eastAsiaTheme="minorEastAsia" w:cstheme="minorEastAsia"/>
                <w:spacing w:val="-4"/>
                <w:sz w:val="24"/>
                <w:szCs w:val="24"/>
                <w:highlight w:val="none"/>
              </w:rPr>
              <w:t xml:space="preserve">1 台得 1分，满分 </w:t>
            </w:r>
            <w:r>
              <w:rPr>
                <w:rFonts w:hint="eastAsia" w:asciiTheme="minorEastAsia" w:hAnsiTheme="minorEastAsia" w:eastAsiaTheme="minorEastAsia" w:cstheme="minorEastAsia"/>
                <w:spacing w:val="-4"/>
                <w:sz w:val="24"/>
                <w:szCs w:val="24"/>
                <w:highlight w:val="none"/>
                <w:lang w:val="en-US" w:eastAsia="zh-CN"/>
              </w:rPr>
              <w:t>2</w:t>
            </w:r>
            <w:r>
              <w:rPr>
                <w:rFonts w:hint="eastAsia" w:asciiTheme="minorEastAsia" w:hAnsiTheme="minorEastAsia" w:eastAsiaTheme="minorEastAsia" w:cstheme="minorEastAsia"/>
                <w:spacing w:val="-4"/>
                <w:sz w:val="24"/>
                <w:szCs w:val="24"/>
                <w:highlight w:val="none"/>
              </w:rPr>
              <w:t>分；</w:t>
            </w:r>
          </w:p>
          <w:p w14:paraId="1D6F9617">
            <w:pPr>
              <w:spacing w:line="360"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 xml:space="preserve">3. 每配备全站仪 1 台得1 分，满分 </w:t>
            </w:r>
            <w:r>
              <w:rPr>
                <w:rFonts w:hint="eastAsia" w:asciiTheme="minorEastAsia" w:hAnsiTheme="minorEastAsia" w:eastAsiaTheme="minorEastAsia" w:cstheme="minorEastAsia"/>
                <w:spacing w:val="-4"/>
                <w:sz w:val="24"/>
                <w:szCs w:val="24"/>
                <w:highlight w:val="none"/>
                <w:lang w:val="en-US" w:eastAsia="zh-CN"/>
              </w:rPr>
              <w:t>2</w:t>
            </w:r>
            <w:r>
              <w:rPr>
                <w:rFonts w:hint="eastAsia" w:asciiTheme="minorEastAsia" w:hAnsiTheme="minorEastAsia" w:eastAsiaTheme="minorEastAsia" w:cstheme="minorEastAsia"/>
                <w:spacing w:val="-4"/>
                <w:sz w:val="24"/>
                <w:szCs w:val="24"/>
                <w:highlight w:val="none"/>
              </w:rPr>
              <w:t>分；</w:t>
            </w:r>
          </w:p>
          <w:p w14:paraId="7C0469B2">
            <w:pPr>
              <w:spacing w:line="360"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4. 每配备无人机 1 台得1 分，满分</w:t>
            </w:r>
            <w:r>
              <w:rPr>
                <w:rFonts w:hint="eastAsia" w:asciiTheme="minorEastAsia" w:hAnsiTheme="minorEastAsia" w:eastAsiaTheme="minorEastAsia" w:cstheme="minorEastAsia"/>
                <w:spacing w:val="-4"/>
                <w:sz w:val="24"/>
                <w:szCs w:val="24"/>
                <w:highlight w:val="none"/>
                <w:lang w:val="en-US" w:eastAsia="zh-CN"/>
              </w:rPr>
              <w:t>2</w:t>
            </w:r>
            <w:r>
              <w:rPr>
                <w:rFonts w:hint="eastAsia" w:asciiTheme="minorEastAsia" w:hAnsiTheme="minorEastAsia" w:eastAsiaTheme="minorEastAsia" w:cstheme="minorEastAsia"/>
                <w:spacing w:val="-4"/>
                <w:sz w:val="24"/>
                <w:szCs w:val="24"/>
                <w:highlight w:val="none"/>
              </w:rPr>
              <w:t>分。</w:t>
            </w:r>
          </w:p>
          <w:p w14:paraId="20B24FF0">
            <w:pPr>
              <w:spacing w:line="360" w:lineRule="auto"/>
              <w:ind w:firstLine="482" w:firstLineChars="200"/>
              <w:jc w:val="left"/>
              <w:rPr>
                <w:rFonts w:hint="eastAsia" w:asciiTheme="minorEastAsia" w:hAnsiTheme="minorEastAsia" w:eastAsiaTheme="minorEastAsia" w:cstheme="minorEastAsia"/>
                <w:spacing w:val="-4"/>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注：投标人需提供设备的相关购置发票扫描件（如设备为供应商自有），或提供设备租赁合同扫描件及设备所有权证明（如出租方购置发票或其他合法获取的有效证明）（如设备为租赁），并加盖公章，未按要求提供相关证明的，本项不计分。</w:t>
            </w:r>
          </w:p>
        </w:tc>
        <w:tc>
          <w:tcPr>
            <w:tcW w:w="1244" w:type="dxa"/>
            <w:noWrap w:val="0"/>
            <w:vAlign w:val="center"/>
          </w:tcPr>
          <w:p w14:paraId="43F04E71">
            <w:pPr>
              <w:pStyle w:val="36"/>
              <w:keepNext w:val="0"/>
              <w:keepLines w:val="0"/>
              <w:pageBreakBefore w:val="0"/>
              <w:widowControl w:val="0"/>
              <w:suppressLineNumbers w:val="0"/>
              <w:kinsoku/>
              <w:wordWrap/>
              <w:overflowPunct/>
              <w:topLinePunct w:val="0"/>
              <w:bidi w:val="0"/>
              <w:adjustRightInd/>
              <w:snapToGrid/>
              <w:spacing w:before="0" w:beforeAutospacing="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8分</w:t>
            </w:r>
          </w:p>
        </w:tc>
      </w:tr>
      <w:tr w14:paraId="2BA86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375" w:type="dxa"/>
            <w:vMerge w:val="continue"/>
            <w:noWrap w:val="0"/>
            <w:vAlign w:val="center"/>
          </w:tcPr>
          <w:p w14:paraId="591BBDD3">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p>
        </w:tc>
        <w:tc>
          <w:tcPr>
            <w:tcW w:w="1630" w:type="dxa"/>
            <w:noWrap w:val="0"/>
            <w:vAlign w:val="center"/>
          </w:tcPr>
          <w:p w14:paraId="5494B44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商务响应</w:t>
            </w:r>
          </w:p>
          <w:p w14:paraId="113D5DB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（满分4分）</w:t>
            </w:r>
          </w:p>
        </w:tc>
        <w:tc>
          <w:tcPr>
            <w:tcW w:w="5230" w:type="dxa"/>
            <w:noWrap w:val="0"/>
            <w:vAlign w:val="top"/>
          </w:tcPr>
          <w:p w14:paraId="430E64E3">
            <w:pPr>
              <w:spacing w:line="360" w:lineRule="auto"/>
              <w:ind w:firstLine="480" w:firstLineChars="200"/>
              <w:jc w:val="left"/>
              <w:rPr>
                <w:rFonts w:hint="eastAsia" w:asciiTheme="minorEastAsia" w:hAnsiTheme="minorEastAsia" w:eastAsiaTheme="minorEastAsia" w:cstheme="minorEastAsia"/>
                <w:b/>
                <w:bCs/>
                <w:color w:val="000000"/>
                <w:spacing w:val="0"/>
                <w:sz w:val="24"/>
                <w:szCs w:val="24"/>
                <w:highlight w:val="none"/>
                <w:lang w:val="en-US" w:eastAsia="zh-CN"/>
              </w:rPr>
            </w:pPr>
            <w:r>
              <w:rPr>
                <w:rFonts w:hint="eastAsia" w:asciiTheme="minorEastAsia" w:hAnsiTheme="minorEastAsia" w:eastAsiaTheme="minorEastAsia" w:cstheme="minorEastAsia"/>
                <w:b w:val="0"/>
                <w:bCs w:val="0"/>
                <w:color w:val="000000"/>
                <w:spacing w:val="0"/>
                <w:sz w:val="24"/>
                <w:szCs w:val="24"/>
                <w:highlight w:val="none"/>
                <w:lang w:val="en-US" w:eastAsia="zh-CN"/>
              </w:rPr>
              <w:t>工期满足招标文件要求，且每提前一周得1分，满分4分。</w:t>
            </w:r>
          </w:p>
        </w:tc>
        <w:tc>
          <w:tcPr>
            <w:tcW w:w="1244" w:type="dxa"/>
            <w:noWrap w:val="0"/>
            <w:vAlign w:val="center"/>
          </w:tcPr>
          <w:p w14:paraId="0890578D">
            <w:pPr>
              <w:pStyle w:val="36"/>
              <w:keepNext w:val="0"/>
              <w:keepLines w:val="0"/>
              <w:pageBreakBefore w:val="0"/>
              <w:widowControl w:val="0"/>
              <w:suppressLineNumbers w:val="0"/>
              <w:kinsoku/>
              <w:wordWrap/>
              <w:overflowPunct/>
              <w:topLinePunct w:val="0"/>
              <w:bidi w:val="0"/>
              <w:adjustRightInd/>
              <w:snapToGrid/>
              <w:spacing w:before="0" w:beforeAutospacing="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4分</w:t>
            </w:r>
          </w:p>
        </w:tc>
      </w:tr>
      <w:tr w14:paraId="12EA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25FF4AB2">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1E4A6FF7">
            <w:pPr>
              <w:pStyle w:val="37"/>
              <w:spacing w:line="360" w:lineRule="auto"/>
              <w:ind w:left="0" w:leftChars="0" w:firstLine="0" w:firstLineChars="0"/>
              <w:jc w:val="center"/>
              <w:rPr>
                <w:rFonts w:hint="eastAsia" w:asciiTheme="minorEastAsia" w:hAnsiTheme="minorEastAsia" w:eastAsiaTheme="minorEastAsia" w:cstheme="minorEastAsia"/>
                <w:sz w:val="24"/>
                <w:szCs w:val="24"/>
                <w:highlight w:val="none"/>
                <w:lang w:val="en-US" w:eastAsia="zh-CN"/>
              </w:rPr>
            </w:pPr>
          </w:p>
          <w:p w14:paraId="0820EC58">
            <w:pPr>
              <w:pStyle w:val="37"/>
              <w:spacing w:line="360" w:lineRule="auto"/>
              <w:ind w:left="0" w:leftChars="0" w:firstLine="0" w:firstLineChars="0"/>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售后服务</w:t>
            </w:r>
          </w:p>
          <w:p w14:paraId="7CA162DF">
            <w:pPr>
              <w:pStyle w:val="37"/>
              <w:spacing w:line="360" w:lineRule="auto"/>
              <w:ind w:left="0" w:leftChars="0" w:firstLine="0" w:firstLineChars="0"/>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（满分8分）</w:t>
            </w:r>
          </w:p>
        </w:tc>
        <w:tc>
          <w:tcPr>
            <w:tcW w:w="5230" w:type="dxa"/>
            <w:noWrap w:val="0"/>
            <w:vAlign w:val="center"/>
          </w:tcPr>
          <w:p w14:paraId="0EF5720F">
            <w:pPr>
              <w:pStyle w:val="8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一、评审内容</w:t>
            </w:r>
          </w:p>
          <w:p w14:paraId="0B438E04">
            <w:pPr>
              <w:pStyle w:val="8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b w:val="0"/>
                <w:bCs w:val="0"/>
                <w:snapToGrid w:val="0"/>
                <w:kern w:val="0"/>
                <w:sz w:val="24"/>
                <w:szCs w:val="24"/>
                <w:highlight w:val="none"/>
                <w:lang w:val="en-US" w:eastAsia="zh-CN"/>
              </w:rPr>
            </w:pPr>
            <w:r>
              <w:rPr>
                <w:rFonts w:hint="eastAsia" w:asciiTheme="minorEastAsia" w:hAnsiTheme="minorEastAsia" w:eastAsiaTheme="minorEastAsia" w:cstheme="minorEastAsia"/>
                <w:b w:val="0"/>
                <w:bCs w:val="0"/>
                <w:snapToGrid w:val="0"/>
                <w:kern w:val="0"/>
                <w:sz w:val="24"/>
                <w:szCs w:val="24"/>
                <w:highlight w:val="none"/>
              </w:rPr>
              <w:t>根据项目实际需求</w:t>
            </w:r>
            <w:r>
              <w:rPr>
                <w:rFonts w:hint="eastAsia" w:asciiTheme="minorEastAsia" w:hAnsiTheme="minorEastAsia" w:eastAsia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lang w:val="en-US" w:eastAsia="zh-CN"/>
              </w:rPr>
              <w:t>提供</w:t>
            </w:r>
            <w:r>
              <w:rPr>
                <w:rFonts w:hint="eastAsia" w:asciiTheme="minorEastAsia" w:hAnsiTheme="minorEastAsia" w:eastAsiaTheme="minorEastAsia" w:cstheme="minorEastAsia"/>
                <w:b w:val="0"/>
                <w:bCs w:val="0"/>
                <w:snapToGrid w:val="0"/>
                <w:kern w:val="0"/>
                <w:sz w:val="24"/>
                <w:szCs w:val="24"/>
                <w:highlight w:val="none"/>
              </w:rPr>
              <w:t>针对本项目</w:t>
            </w:r>
            <w:r>
              <w:rPr>
                <w:rFonts w:hint="eastAsia" w:asciiTheme="minorEastAsia" w:hAnsiTheme="minorEastAsia" w:eastAsiaTheme="minorEastAsia" w:cstheme="minorEastAsia"/>
                <w:b w:val="0"/>
                <w:bCs w:val="0"/>
                <w:snapToGrid w:val="0"/>
                <w:kern w:val="0"/>
                <w:sz w:val="24"/>
                <w:szCs w:val="24"/>
                <w:highlight w:val="none"/>
                <w:lang w:val="en-US" w:eastAsia="zh-CN"/>
              </w:rPr>
              <w:t>的</w:t>
            </w:r>
            <w:r>
              <w:rPr>
                <w:rFonts w:hint="eastAsia" w:asciiTheme="minorEastAsia" w:hAnsiTheme="minorEastAsia" w:eastAsiaTheme="minorEastAsia" w:cstheme="minorEastAsia"/>
                <w:b w:val="0"/>
                <w:bCs w:val="0"/>
                <w:snapToGrid w:val="0"/>
                <w:kern w:val="0"/>
                <w:sz w:val="24"/>
                <w:szCs w:val="24"/>
                <w:highlight w:val="none"/>
              </w:rPr>
              <w:t>售后服务方案，</w:t>
            </w:r>
            <w:r>
              <w:rPr>
                <w:rFonts w:hint="eastAsia" w:asciiTheme="minorEastAsia" w:hAnsiTheme="minorEastAsia" w:eastAsiaTheme="minorEastAsia" w:cstheme="minorEastAsia"/>
                <w:b w:val="0"/>
                <w:bCs w:val="0"/>
                <w:snapToGrid w:val="0"/>
                <w:kern w:val="0"/>
                <w:sz w:val="24"/>
                <w:szCs w:val="24"/>
                <w:highlight w:val="none"/>
                <w:lang w:val="en-US" w:eastAsia="zh-CN"/>
              </w:rPr>
              <w:t>内容包括①售后服务计划及承诺②后续服务响应时间、响应速度及响应方式。</w:t>
            </w:r>
          </w:p>
          <w:p w14:paraId="7DDFCD36">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二、评审标准</w:t>
            </w:r>
          </w:p>
          <w:p w14:paraId="76C4C818">
            <w:pPr>
              <w:pStyle w:val="89"/>
              <w:keepNext w:val="0"/>
              <w:keepLines w:val="0"/>
              <w:pageBreakBefore w:val="0"/>
              <w:widowControl w:val="0"/>
              <w:kinsoku/>
              <w:wordWrap/>
              <w:overflowPunct/>
              <w:topLinePunct w:val="0"/>
              <w:autoSpaceDE/>
              <w:autoSpaceDN/>
              <w:bidi w:val="0"/>
              <w:adjustRightInd/>
              <w:snapToGrid/>
              <w:spacing w:before="72" w:line="360" w:lineRule="auto"/>
              <w:ind w:left="107" w:right="99" w:firstLine="472" w:firstLineChars="20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1</w:t>
            </w:r>
            <w:r>
              <w:rPr>
                <w:rFonts w:hint="eastAsia" w:asciiTheme="minorEastAsia" w:hAnsiTheme="minorEastAsia" w:eastAsiaTheme="minorEastAsia" w:cstheme="minorEastAsia"/>
                <w:spacing w:val="-2"/>
                <w:sz w:val="24"/>
                <w:szCs w:val="24"/>
                <w:highlight w:val="none"/>
                <w:lang w:val="en-US" w:eastAsia="zh-CN"/>
              </w:rPr>
              <w:t>.</w:t>
            </w:r>
            <w:r>
              <w:rPr>
                <w:rFonts w:hint="eastAsia" w:asciiTheme="minorEastAsia" w:hAnsiTheme="minorEastAsia" w:eastAsiaTheme="minorEastAsia" w:cstheme="minorEastAsia"/>
                <w:spacing w:val="-2"/>
                <w:sz w:val="24"/>
                <w:szCs w:val="24"/>
                <w:highlight w:val="none"/>
              </w:rPr>
              <w:t>完整性：切合本项目实际情况，方案内容齐</w:t>
            </w:r>
            <w:r>
              <w:rPr>
                <w:rFonts w:hint="eastAsia" w:asciiTheme="minorEastAsia" w:hAnsiTheme="minorEastAsia" w:eastAsiaTheme="minorEastAsia" w:cstheme="minorEastAsia"/>
                <w:spacing w:val="-10"/>
                <w:sz w:val="24"/>
                <w:szCs w:val="24"/>
                <w:highlight w:val="none"/>
              </w:rPr>
              <w:t>全，有详细描述及其他内</w:t>
            </w:r>
            <w:r>
              <w:rPr>
                <w:rFonts w:hint="eastAsia" w:asciiTheme="minorEastAsia" w:hAnsiTheme="minorEastAsia" w:eastAsiaTheme="minorEastAsia" w:cstheme="minorEastAsia"/>
                <w:spacing w:val="-2"/>
                <w:sz w:val="24"/>
                <w:szCs w:val="24"/>
                <w:highlight w:val="none"/>
              </w:rPr>
              <w:t>容的补充；</w:t>
            </w:r>
          </w:p>
          <w:p w14:paraId="20AC27C5">
            <w:pPr>
              <w:pStyle w:val="89"/>
              <w:keepNext w:val="0"/>
              <w:keepLines w:val="0"/>
              <w:pageBreakBefore w:val="0"/>
              <w:widowControl w:val="0"/>
              <w:kinsoku/>
              <w:wordWrap/>
              <w:overflowPunct/>
              <w:topLinePunct w:val="0"/>
              <w:autoSpaceDE/>
              <w:autoSpaceDN/>
              <w:bidi w:val="0"/>
              <w:adjustRightInd/>
              <w:snapToGrid/>
              <w:spacing w:line="360" w:lineRule="auto"/>
              <w:ind w:left="107" w:right="-29" w:firstLine="472" w:firstLineChars="20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lang w:val="en-US" w:eastAsia="zh-CN"/>
              </w:rPr>
              <w:t>2.</w:t>
            </w:r>
            <w:r>
              <w:rPr>
                <w:rFonts w:hint="eastAsia" w:asciiTheme="minorEastAsia" w:hAnsiTheme="minorEastAsia" w:eastAsiaTheme="minorEastAsia" w:cstheme="minorEastAsia"/>
                <w:spacing w:val="-2"/>
                <w:sz w:val="24"/>
                <w:szCs w:val="24"/>
                <w:highlight w:val="none"/>
              </w:rPr>
              <w:t>合理性：方案内容符合项目实际特点，合理、</w:t>
            </w:r>
            <w:r>
              <w:rPr>
                <w:rFonts w:hint="eastAsia" w:asciiTheme="minorEastAsia" w:hAnsiTheme="minorEastAsia" w:eastAsiaTheme="minorEastAsia" w:cstheme="minorEastAsia"/>
                <w:spacing w:val="-4"/>
                <w:sz w:val="24"/>
                <w:szCs w:val="24"/>
                <w:highlight w:val="none"/>
              </w:rPr>
              <w:t>恰当；</w:t>
            </w:r>
          </w:p>
          <w:p w14:paraId="7C665374">
            <w:pPr>
              <w:spacing w:line="360" w:lineRule="auto"/>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三、赋分标准（满分</w:t>
            </w:r>
            <w:r>
              <w:rPr>
                <w:rFonts w:hint="eastAsia" w:asciiTheme="minorEastAsia" w:hAnsiTheme="minorEastAsia" w:eastAsiaTheme="minorEastAsia" w:cstheme="minorEastAsia"/>
                <w:b/>
                <w:bCs/>
                <w:color w:val="000000"/>
                <w:sz w:val="24"/>
                <w:szCs w:val="24"/>
                <w:highlight w:val="none"/>
                <w:lang w:val="en-US" w:eastAsia="zh-CN"/>
              </w:rPr>
              <w:t>8</w:t>
            </w:r>
            <w:r>
              <w:rPr>
                <w:rFonts w:hint="eastAsia" w:asciiTheme="minorEastAsia" w:hAnsiTheme="minorEastAsia" w:eastAsiaTheme="minorEastAsia" w:cstheme="minorEastAsia"/>
                <w:b/>
                <w:bCs/>
                <w:color w:val="000000"/>
                <w:sz w:val="24"/>
                <w:szCs w:val="24"/>
                <w:highlight w:val="none"/>
              </w:rPr>
              <w:t>分）</w:t>
            </w:r>
          </w:p>
          <w:p w14:paraId="0B1BF5A8">
            <w:pPr>
              <w:spacing w:line="360" w:lineRule="auto"/>
              <w:ind w:firstLine="480" w:firstLineChars="20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highlight w:val="none"/>
                <w:lang w:val="zh-CN" w:eastAsia="zh-CN"/>
              </w:rPr>
              <w:t>①</w:t>
            </w:r>
            <w:r>
              <w:rPr>
                <w:rFonts w:hint="eastAsia" w:asciiTheme="minorEastAsia" w:hAnsiTheme="minorEastAsia" w:eastAsiaTheme="minorEastAsia" w:cstheme="minorEastAsia"/>
                <w:sz w:val="24"/>
                <w:highlight w:val="none"/>
                <w:lang w:val="en-US" w:eastAsia="zh-CN"/>
              </w:rPr>
              <w:t>售后服务计划及承诺</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p>
          <w:p w14:paraId="61212800">
            <w:pPr>
              <w:spacing w:line="360" w:lineRule="auto"/>
              <w:ind w:firstLine="480" w:firstLineChars="200"/>
              <w:jc w:val="left"/>
              <w:rPr>
                <w:rFonts w:hint="eastAsia" w:asciiTheme="minorEastAsia" w:hAnsiTheme="minorEastAsia" w:eastAsiaTheme="minorEastAsia" w:cstheme="minorEastAsia"/>
                <w:color w:val="000000"/>
                <w:sz w:val="24"/>
                <w:szCs w:val="24"/>
                <w:highlight w:val="none"/>
                <w:lang w:val="zh-CN" w:eastAsia="zh-CN"/>
              </w:rPr>
            </w:pPr>
            <w:r>
              <w:rPr>
                <w:rFonts w:hint="eastAsia" w:asciiTheme="minorEastAsia" w:hAnsiTheme="minorEastAsia" w:eastAsiaTheme="minorEastAsia" w:cstheme="minorEastAsia"/>
                <w:color w:val="000000"/>
                <w:sz w:val="24"/>
                <w:szCs w:val="24"/>
                <w:highlight w:val="none"/>
              </w:rPr>
              <w:t>②</w:t>
            </w:r>
            <w:r>
              <w:rPr>
                <w:rFonts w:hint="eastAsia" w:asciiTheme="minorEastAsia" w:hAnsiTheme="minorEastAsia" w:eastAsiaTheme="minorEastAsia" w:cstheme="minorEastAsia"/>
                <w:color w:val="000000"/>
                <w:sz w:val="24"/>
                <w:szCs w:val="24"/>
                <w:highlight w:val="none"/>
                <w:lang w:val="en-US" w:eastAsia="zh-CN"/>
              </w:rPr>
              <w:t>后续服务响应时间、响应速度及响应方式</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p>
        </w:tc>
        <w:tc>
          <w:tcPr>
            <w:tcW w:w="1244" w:type="dxa"/>
            <w:noWrap w:val="0"/>
            <w:vAlign w:val="center"/>
          </w:tcPr>
          <w:p w14:paraId="339D3F26">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leftChars="0" w:right="0" w:right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8分</w:t>
            </w:r>
          </w:p>
        </w:tc>
      </w:tr>
    </w:tbl>
    <w:p w14:paraId="6B7804C5">
      <w:pPr>
        <w:pageBreakBefore w:val="0"/>
        <w:widowControl w:val="0"/>
        <w:kinsoku/>
        <w:wordWrap/>
        <w:topLinePunct w:val="0"/>
        <w:autoSpaceDE/>
        <w:autoSpaceDN/>
        <w:bidi w:val="0"/>
        <w:adjustRightInd/>
        <w:spacing w:line="360" w:lineRule="auto"/>
        <w:ind w:firstLine="560" w:firstLineChars="200"/>
        <w:jc w:val="left"/>
        <w:rPr>
          <w:rFonts w:ascii="宋体" w:hAnsi="宋体" w:cs="宋体"/>
          <w:color w:val="000000"/>
          <w:sz w:val="28"/>
          <w:szCs w:val="28"/>
        </w:rPr>
      </w:pPr>
      <w:r>
        <w:rPr>
          <w:rFonts w:hint="eastAsia" w:ascii="宋体" w:hAnsi="宋体" w:cs="宋体"/>
          <w:color w:val="000000"/>
          <w:sz w:val="28"/>
          <w:szCs w:val="28"/>
          <w:lang w:eastAsia="zh-CN"/>
        </w:rPr>
        <w:t>宜川县城市公益性公墓及殡仪馆提升改造项目农用地专用和土地征收组卷报批服务</w:t>
      </w:r>
      <w:r>
        <w:rPr>
          <w:rFonts w:ascii="宋体" w:hAnsi="宋体" w:cs="宋体"/>
          <w:color w:val="000000"/>
          <w:sz w:val="28"/>
          <w:szCs w:val="28"/>
        </w:rPr>
        <w:t>磋商文件，由</w:t>
      </w:r>
      <w:r>
        <w:rPr>
          <w:rFonts w:hint="eastAsia" w:ascii="宋体" w:hAnsi="宋体" w:cs="宋体"/>
          <w:color w:val="000000"/>
          <w:sz w:val="28"/>
          <w:szCs w:val="28"/>
          <w:lang w:eastAsia="zh-CN"/>
        </w:rPr>
        <w:t>陕西宸永项目管理有限公司</w:t>
      </w:r>
      <w:r>
        <w:rPr>
          <w:rFonts w:ascii="宋体" w:hAnsi="宋体" w:cs="宋体"/>
          <w:color w:val="000000"/>
          <w:sz w:val="28"/>
          <w:szCs w:val="28"/>
        </w:rPr>
        <w:t>根据采购人提出的采购要求和商务要求编制，经采购人审定、备案后发售。</w:t>
      </w:r>
    </w:p>
    <w:p w14:paraId="69FA931E">
      <w:pPr>
        <w:pStyle w:val="4"/>
        <w:pageBreakBefore w:val="0"/>
        <w:widowControl w:val="0"/>
        <w:kinsoku/>
        <w:wordWrap/>
        <w:topLinePunct w:val="0"/>
        <w:autoSpaceDE/>
        <w:autoSpaceDN/>
        <w:bidi w:val="0"/>
        <w:adjustRightInd/>
        <w:spacing w:before="0" w:after="0" w:line="360" w:lineRule="auto"/>
        <w:ind w:firstLine="562" w:firstLineChars="200"/>
        <w:rPr>
          <w:rFonts w:ascii="宋体" w:hAnsi="宋体" w:cs="宋体"/>
          <w:color w:val="000000"/>
          <w:sz w:val="28"/>
          <w:szCs w:val="28"/>
        </w:rPr>
      </w:pPr>
      <w:bookmarkStart w:id="142" w:name="_Toc19609"/>
      <w:bookmarkStart w:id="143" w:name="_Toc20224"/>
      <w:bookmarkStart w:id="144" w:name="_Toc6957"/>
      <w:bookmarkStart w:id="145" w:name="_Toc31474"/>
      <w:r>
        <w:rPr>
          <w:rFonts w:ascii="宋体" w:hAnsi="宋体" w:cs="宋体"/>
          <w:color w:val="000000"/>
          <w:sz w:val="28"/>
          <w:szCs w:val="28"/>
        </w:rPr>
        <w:t>1. 评标方法</w:t>
      </w:r>
      <w:bookmarkEnd w:id="142"/>
      <w:bookmarkEnd w:id="143"/>
      <w:bookmarkEnd w:id="144"/>
      <w:bookmarkEnd w:id="145"/>
    </w:p>
    <w:p w14:paraId="3918780A">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1.1评标原则</w:t>
      </w:r>
    </w:p>
    <w:p w14:paraId="79D7531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（1）公平、公正、科学、择优；</w:t>
      </w:r>
    </w:p>
    <w:p w14:paraId="71946951">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（2）方案合理可行；</w:t>
      </w:r>
    </w:p>
    <w:p w14:paraId="418F15F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（3）价格合理,且不低于成本价；</w:t>
      </w:r>
    </w:p>
    <w:p w14:paraId="4C83C4EC">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（4）禁止不正当竞争。</w:t>
      </w:r>
    </w:p>
    <w:p w14:paraId="7505D00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1.2 本次评标采用综合评分法。</w:t>
      </w:r>
    </w:p>
    <w:p w14:paraId="0872FB70">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按照相关规定，本次评标采用“综合评估法”，即在最大限度地满足竞争性磋商文件实质性要求前提下，按照竞争性磋商文件中规定的各项因素和相应的权重分值进行综合评审后，以总得分最高的供应商作为成交候选人并依次排序。</w:t>
      </w:r>
    </w:p>
    <w:p w14:paraId="54F21BFC">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磋商小组对满足磋商文件实质性要求的磋商响应文件，按照本章第2.2款规定的评分标准进行打分。磋商小组对供应商在磋商响应文件中提出的交货期、质量、磋商价格等能否最大限度地满足磋商文件的要求进行评审、赋分，向采购人推荐3名成交候选供应商，标明排列顺序，综合得分最高者为第一成交候选供应商。</w:t>
      </w:r>
    </w:p>
    <w:p w14:paraId="44B16C3E">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1.3在评标过程中，供应商对采购人和磋商小组施加影响的任何行为，都将导致其磋商资格被取消。</w:t>
      </w:r>
      <w:bookmarkStart w:id="146" w:name="_Toc6878"/>
      <w:bookmarkStart w:id="147" w:name="_Toc25029"/>
      <w:bookmarkStart w:id="148" w:name="_Toc12845"/>
      <w:bookmarkStart w:id="149" w:name="_Toc13282"/>
    </w:p>
    <w:p w14:paraId="4CAD7FC4">
      <w:pPr>
        <w:pStyle w:val="4"/>
        <w:pageBreakBefore w:val="0"/>
        <w:widowControl w:val="0"/>
        <w:kinsoku/>
        <w:wordWrap/>
        <w:topLinePunct w:val="0"/>
        <w:autoSpaceDE/>
        <w:autoSpaceDN/>
        <w:bidi w:val="0"/>
        <w:adjustRightInd/>
        <w:spacing w:before="0" w:after="0" w:line="360" w:lineRule="auto"/>
        <w:ind w:firstLine="562" w:firstLineChars="200"/>
        <w:rPr>
          <w:rFonts w:ascii="宋体" w:hAnsi="宋体" w:eastAsia="宋体" w:cs="宋体"/>
          <w:color w:val="000000"/>
          <w:sz w:val="28"/>
          <w:szCs w:val="28"/>
        </w:rPr>
      </w:pPr>
      <w:r>
        <w:rPr>
          <w:rFonts w:ascii="宋体" w:hAnsi="宋体" w:eastAsia="宋体" w:cs="宋体"/>
          <w:color w:val="000000"/>
          <w:sz w:val="28"/>
          <w:szCs w:val="28"/>
        </w:rPr>
        <w:t>2. 评审标准</w:t>
      </w:r>
      <w:bookmarkEnd w:id="146"/>
      <w:bookmarkEnd w:id="147"/>
      <w:bookmarkEnd w:id="148"/>
      <w:bookmarkEnd w:id="149"/>
    </w:p>
    <w:p w14:paraId="312ABF3A">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50" w:name="_Toc23225"/>
      <w:bookmarkStart w:id="151" w:name="_Toc22899"/>
      <w:bookmarkStart w:id="152" w:name="_Toc25676"/>
      <w:bookmarkStart w:id="153" w:name="_Toc29040"/>
      <w:bookmarkStart w:id="154" w:name="_Toc526842697"/>
      <w:r>
        <w:rPr>
          <w:rFonts w:ascii="宋体" w:hAnsi="宋体" w:cs="宋体"/>
          <w:color w:val="000000"/>
          <w:sz w:val="28"/>
          <w:szCs w:val="28"/>
        </w:rPr>
        <w:t>2.1 初步评审标准</w:t>
      </w:r>
      <w:bookmarkEnd w:id="150"/>
      <w:bookmarkEnd w:id="151"/>
      <w:bookmarkEnd w:id="152"/>
      <w:bookmarkEnd w:id="153"/>
      <w:bookmarkEnd w:id="154"/>
    </w:p>
    <w:p w14:paraId="70096744">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2.1.1</w:t>
      </w:r>
      <w:r>
        <w:rPr>
          <w:rFonts w:hint="eastAsia" w:ascii="宋体" w:hAnsi="宋体" w:cs="宋体"/>
          <w:color w:val="000000"/>
          <w:sz w:val="28"/>
          <w:szCs w:val="28"/>
        </w:rPr>
        <w:t>符合性审查</w:t>
      </w:r>
      <w:r>
        <w:rPr>
          <w:rFonts w:ascii="宋体" w:hAnsi="宋体" w:cs="宋体"/>
          <w:color w:val="000000"/>
          <w:sz w:val="28"/>
          <w:szCs w:val="28"/>
        </w:rPr>
        <w:t>标准：见评标办法前附表。</w:t>
      </w:r>
    </w:p>
    <w:p w14:paraId="1CD45238">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55" w:name="_Toc32713"/>
      <w:bookmarkStart w:id="156" w:name="_Toc6245"/>
      <w:bookmarkStart w:id="157" w:name="_Toc526842698"/>
      <w:bookmarkStart w:id="158" w:name="_Toc10913"/>
      <w:bookmarkStart w:id="159" w:name="_Toc5649"/>
      <w:r>
        <w:rPr>
          <w:rFonts w:ascii="宋体" w:hAnsi="宋体" w:cs="宋体"/>
          <w:color w:val="000000"/>
          <w:sz w:val="28"/>
          <w:szCs w:val="28"/>
        </w:rPr>
        <w:t>2.2 详细评审标准</w:t>
      </w:r>
      <w:bookmarkEnd w:id="155"/>
      <w:bookmarkEnd w:id="156"/>
      <w:bookmarkEnd w:id="157"/>
      <w:bookmarkEnd w:id="158"/>
      <w:bookmarkEnd w:id="159"/>
    </w:p>
    <w:p w14:paraId="5E26F9D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2.2.1 分值构成</w:t>
      </w:r>
    </w:p>
    <w:p w14:paraId="1B282A1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（1）技术部分：见评标办法前附表；</w:t>
      </w:r>
    </w:p>
    <w:p w14:paraId="7F791827">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（2）商务部分：见评标办法前附表。</w:t>
      </w:r>
    </w:p>
    <w:p w14:paraId="6C32DE60">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2.2.2评分标准</w:t>
      </w:r>
    </w:p>
    <w:p w14:paraId="052EC8AA">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（1）技术部分评分标准：见评标办法前附表；</w:t>
      </w:r>
    </w:p>
    <w:p w14:paraId="491D139B">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（2）商务部分评分标准：见评标办法前附表。</w:t>
      </w:r>
    </w:p>
    <w:p w14:paraId="472F294C">
      <w:pPr>
        <w:pStyle w:val="4"/>
        <w:pageBreakBefore w:val="0"/>
        <w:widowControl w:val="0"/>
        <w:kinsoku/>
        <w:wordWrap/>
        <w:topLinePunct w:val="0"/>
        <w:autoSpaceDE/>
        <w:autoSpaceDN/>
        <w:bidi w:val="0"/>
        <w:adjustRightInd/>
        <w:spacing w:before="0" w:after="0" w:line="360" w:lineRule="auto"/>
        <w:ind w:firstLine="562" w:firstLineChars="200"/>
        <w:rPr>
          <w:rFonts w:ascii="宋体" w:hAnsi="宋体" w:cs="宋体"/>
          <w:color w:val="000000"/>
          <w:sz w:val="28"/>
          <w:szCs w:val="28"/>
        </w:rPr>
      </w:pPr>
      <w:bookmarkStart w:id="160" w:name="_Toc32418"/>
      <w:bookmarkStart w:id="161" w:name="_Toc26366"/>
      <w:bookmarkStart w:id="162" w:name="_Toc23550"/>
      <w:bookmarkStart w:id="163" w:name="_Toc896"/>
      <w:r>
        <w:rPr>
          <w:rFonts w:ascii="宋体" w:hAnsi="宋体" w:cs="宋体"/>
          <w:color w:val="000000"/>
          <w:sz w:val="28"/>
          <w:szCs w:val="28"/>
        </w:rPr>
        <w:t>3.评标程序</w:t>
      </w:r>
      <w:bookmarkEnd w:id="160"/>
      <w:bookmarkEnd w:id="161"/>
      <w:bookmarkEnd w:id="162"/>
      <w:bookmarkEnd w:id="163"/>
    </w:p>
    <w:p w14:paraId="0F0591B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3.1按照初审、详评、推荐成交候选供应商三个步骤进行评标。在上一步评审中被废标者，不进入下一步的评审。</w:t>
      </w:r>
    </w:p>
    <w:p w14:paraId="13942419">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3.1.1对磋商响应文件的初审:</w:t>
      </w:r>
    </w:p>
    <w:p w14:paraId="22D5C7C3">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按照以下内容对磋商响应文件初审，一项不合格即为废标。</w:t>
      </w:r>
    </w:p>
    <w:p w14:paraId="45F653AA">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（1）磋商响应文件的完整性。磋商响应文件构成是否有重大缺项，是否按照竞争性磋商文件要求的格式编写磋商响应文件。</w:t>
      </w:r>
    </w:p>
    <w:p w14:paraId="0230024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（2）磋商响应文件的有效性。磋商响应文件的签署、加盖印章是否合格、有效；提供的各种证明文件、数据、资料是否齐全。</w:t>
      </w:r>
    </w:p>
    <w:p w14:paraId="0AF17D63">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提供的资格证明文件是否符合磋商文件要求。</w:t>
      </w:r>
    </w:p>
    <w:p w14:paraId="21FFD90F">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磋商响应文件的响应性。磋商有效期是否符合磋商文件要求；是否满足本次磋商的特殊要求；磋商方案是否有重大缺漏项；磋商内容与要求是否有重大偏离；磋商商务条款是否有重大偏离；对合同中规定的双方的权利和义务是否做出了实质性修改。</w:t>
      </w:r>
    </w:p>
    <w:p w14:paraId="51F342D4">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是否按照响应文件的要求提交了有效足额的磋商保证金。</w:t>
      </w:r>
    </w:p>
    <w:p w14:paraId="144E916E">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3.1.2对于磋商响应文件中可能出现的不一致和算术计算错误按以下方法更正:</w:t>
      </w:r>
    </w:p>
    <w:p w14:paraId="679C5888">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（1）磋商响应文件中磋商一览表（首次）（报价表）内容与磋商响应文件中明细表内容不一致的，以磋商一览表（首次）（报价表）为准。</w:t>
      </w:r>
    </w:p>
    <w:p w14:paraId="0612668C">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（2）用数字表示的金额和用文字表示的金额不一致的，以文字表示的金额为准。</w:t>
      </w:r>
    </w:p>
    <w:p w14:paraId="156CA4D9">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（3）总价金额与按单价汇总金额不一致的，以单价金额计算结果为准；但单价金额小数点有明显错位的，以总价为准，并修正单价。</w:t>
      </w:r>
    </w:p>
    <w:p w14:paraId="6A7E2BA7">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磋商小组将按照上述修正错误的方法修正磋商响应文件中的磋商报价，修正后的价格对供应商具有约束力。如果供应商不接受修正后的价格，其磋商将被拒绝。</w:t>
      </w:r>
    </w:p>
    <w:p w14:paraId="614197FB">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3.1.3详评:对于经初审合格的所有响应，由磋商小组各成员按照</w:t>
      </w:r>
      <w:r>
        <w:rPr>
          <w:rFonts w:hint="eastAsia" w:ascii="宋体" w:hAnsi="宋体" w:cs="宋体"/>
          <w:color w:val="000000"/>
          <w:sz w:val="28"/>
          <w:szCs w:val="28"/>
          <w:lang w:val="en-US" w:eastAsia="zh-CN"/>
        </w:rPr>
        <w:t>评分标准</w:t>
      </w:r>
      <w:r>
        <w:rPr>
          <w:rFonts w:ascii="宋体" w:hAnsi="宋体" w:cs="宋体"/>
          <w:color w:val="000000"/>
          <w:sz w:val="28"/>
          <w:szCs w:val="28"/>
        </w:rPr>
        <w:t>规定的内容独立进行综合评价、比较打分，然后汇总每个供应商的得分，按包从高到低依次排序，推荐成交候选供应商。</w:t>
      </w:r>
    </w:p>
    <w:p w14:paraId="7477F360">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64" w:name="_Toc526842700"/>
      <w:bookmarkStart w:id="165" w:name="_Toc14677"/>
      <w:bookmarkStart w:id="166" w:name="_Toc8376"/>
      <w:bookmarkStart w:id="167" w:name="_Toc17519"/>
      <w:bookmarkStart w:id="168" w:name="_Toc24951"/>
      <w:r>
        <w:rPr>
          <w:rFonts w:ascii="宋体" w:hAnsi="宋体" w:cs="宋体"/>
          <w:color w:val="000000"/>
          <w:sz w:val="28"/>
          <w:szCs w:val="28"/>
        </w:rPr>
        <w:t>3.2初步评审</w:t>
      </w:r>
      <w:bookmarkEnd w:id="164"/>
      <w:bookmarkEnd w:id="165"/>
      <w:bookmarkEnd w:id="166"/>
      <w:bookmarkEnd w:id="167"/>
      <w:bookmarkEnd w:id="168"/>
    </w:p>
    <w:p w14:paraId="24758D77">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3.2.1磋商小组依据本章第2.1款规定的标准对磋商响应文件进行初步评审。有一项不符合评审标准的，磋商小组应当否决其磋商。</w:t>
      </w:r>
    </w:p>
    <w:p w14:paraId="2815A312">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3.2.2 供应商有以下情形之一的，磋商小组应当否决其磋商：</w:t>
      </w:r>
    </w:p>
    <w:p w14:paraId="7E795FB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（1）第二章“供应商须知”第1.4.</w:t>
      </w:r>
      <w:r>
        <w:rPr>
          <w:rFonts w:hint="eastAsia" w:ascii="宋体" w:hAnsi="宋体" w:cs="宋体"/>
          <w:color w:val="000000"/>
          <w:sz w:val="28"/>
          <w:szCs w:val="28"/>
          <w:lang w:val="en-US" w:eastAsia="zh-CN"/>
        </w:rPr>
        <w:t>3</w:t>
      </w:r>
      <w:r>
        <w:rPr>
          <w:rFonts w:ascii="宋体" w:hAnsi="宋体" w:cs="宋体"/>
          <w:color w:val="000000"/>
          <w:sz w:val="28"/>
          <w:szCs w:val="28"/>
        </w:rPr>
        <w:t>项规定的任何一种情形的；</w:t>
      </w:r>
    </w:p>
    <w:p w14:paraId="0284912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（2）串通投标或弄虚作假或有其他违法行为的；</w:t>
      </w:r>
    </w:p>
    <w:p w14:paraId="360FB143">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（3）不按磋商小组要求澄清、说明或补正的。</w:t>
      </w:r>
    </w:p>
    <w:p w14:paraId="52DC04B0">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3.2.3磋商报价有算术错误的，磋商小组按以下原则对磋商报价进行修正，修正的价格经供应商书面确认后具有约束力。供应商不接受修正价格的，磋商小组应当否决其磋商。</w:t>
      </w:r>
    </w:p>
    <w:p w14:paraId="13B0F16C">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（1）磋商响应文件中的大写金额与小写金额不一致的，以大写金额为准；</w:t>
      </w:r>
    </w:p>
    <w:p w14:paraId="78867D9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（2）总价金额与依据单价计算出的结果不一致的，以单价金额为准修正总价，但单价金额小数点有明显错误的除外。</w:t>
      </w:r>
    </w:p>
    <w:p w14:paraId="7257184C">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69" w:name="_Toc9295"/>
      <w:bookmarkStart w:id="170" w:name="_Toc4205"/>
      <w:bookmarkStart w:id="171" w:name="_Toc1719"/>
      <w:bookmarkStart w:id="172" w:name="_Toc526842701"/>
      <w:bookmarkStart w:id="173" w:name="_Toc29790"/>
      <w:r>
        <w:rPr>
          <w:rFonts w:ascii="宋体" w:hAnsi="宋体" w:cs="宋体"/>
          <w:color w:val="000000"/>
          <w:sz w:val="28"/>
          <w:szCs w:val="28"/>
        </w:rPr>
        <w:t>3.3 详细评审</w:t>
      </w:r>
      <w:bookmarkEnd w:id="169"/>
      <w:bookmarkEnd w:id="170"/>
      <w:bookmarkEnd w:id="171"/>
      <w:bookmarkEnd w:id="172"/>
      <w:bookmarkEnd w:id="173"/>
    </w:p>
    <w:p w14:paraId="4EAFB891">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3.3.1评审内容及步骤</w:t>
      </w:r>
    </w:p>
    <w:p w14:paraId="044AE3F8">
      <w:pPr>
        <w:pStyle w:val="8"/>
        <w:pageBreakBefore w:val="0"/>
        <w:widowControl w:val="0"/>
        <w:kinsoku/>
        <w:wordWrap/>
        <w:topLinePunct w:val="0"/>
        <w:autoSpaceDE/>
        <w:autoSpaceDN/>
        <w:bidi w:val="0"/>
        <w:adjustRightInd/>
        <w:ind w:left="0" w:leftChars="0" w:firstLine="560" w:firstLineChars="200"/>
        <w:rPr>
          <w:rFonts w:ascii="宋体" w:hAnsi="宋体" w:cs="宋体"/>
          <w:color w:val="000000"/>
          <w:sz w:val="28"/>
          <w:szCs w:val="28"/>
        </w:rPr>
      </w:pPr>
      <w:r>
        <w:rPr>
          <w:rFonts w:ascii="宋体" w:hAnsi="宋体" w:cs="宋体"/>
          <w:color w:val="000000"/>
          <w:sz w:val="28"/>
          <w:szCs w:val="28"/>
        </w:rPr>
        <w:t>评标前</w:t>
      </w:r>
      <w:r>
        <w:rPr>
          <w:rFonts w:hint="eastAsia" w:ascii="宋体" w:hAnsi="宋体" w:cs="宋体"/>
          <w:color w:val="000000"/>
          <w:sz w:val="28"/>
          <w:szCs w:val="28"/>
          <w:lang w:val="en-US" w:eastAsia="zh-CN"/>
        </w:rPr>
        <w:t>采购人</w:t>
      </w:r>
      <w:r>
        <w:rPr>
          <w:rFonts w:ascii="宋体" w:hAnsi="宋体" w:cs="宋体"/>
          <w:color w:val="000000"/>
          <w:sz w:val="28"/>
          <w:szCs w:val="28"/>
        </w:rPr>
        <w:t>需先对供应商磋商响应文件中的资格证明文件进行资格审查，然后再</w:t>
      </w:r>
      <w:r>
        <w:rPr>
          <w:rFonts w:hint="eastAsia" w:ascii="宋体" w:hAnsi="宋体" w:cs="宋体"/>
          <w:color w:val="000000"/>
          <w:sz w:val="28"/>
          <w:szCs w:val="28"/>
          <w:lang w:val="en-US" w:eastAsia="zh-CN"/>
        </w:rPr>
        <w:t>由磋商小组对</w:t>
      </w:r>
      <w:r>
        <w:rPr>
          <w:rFonts w:ascii="宋体" w:hAnsi="宋体" w:cs="宋体"/>
          <w:color w:val="000000"/>
          <w:sz w:val="28"/>
          <w:szCs w:val="28"/>
        </w:rPr>
        <w:t>通过资格审查和符合性评审的供应商进行技术部分、商务部分进行量化打分。</w:t>
      </w:r>
    </w:p>
    <w:p w14:paraId="305889DD">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3.3.2技术部分的评审：</w:t>
      </w:r>
    </w:p>
    <w:p w14:paraId="4E33567E">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磋商小组依据供应商提交的磋商响应文件，对供应商的技术部分进行详细评审。</w:t>
      </w:r>
    </w:p>
    <w:p w14:paraId="54AD5C41">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3.3.3确定供应商的有效报价：</w:t>
      </w:r>
    </w:p>
    <w:p w14:paraId="5D06A41F">
      <w:pPr>
        <w:pStyle w:val="22"/>
        <w:pageBreakBefore w:val="0"/>
        <w:widowControl w:val="0"/>
        <w:kinsoku/>
        <w:wordWrap/>
        <w:topLinePunct w:val="0"/>
        <w:autoSpaceDE/>
        <w:autoSpaceDN/>
        <w:bidi w:val="0"/>
        <w:adjustRightInd/>
        <w:spacing w:line="360" w:lineRule="auto"/>
        <w:ind w:left="0" w:firstLine="560" w:firstLineChars="200"/>
        <w:rPr>
          <w:rFonts w:ascii="宋体" w:hAnsi="宋体" w:cs="宋体"/>
          <w:color w:val="000000"/>
          <w:sz w:val="28"/>
          <w:szCs w:val="28"/>
        </w:rPr>
      </w:pPr>
      <w:r>
        <w:rPr>
          <w:rFonts w:ascii="宋体" w:hAnsi="宋体" w:cs="宋体"/>
          <w:color w:val="000000"/>
          <w:sz w:val="28"/>
          <w:szCs w:val="28"/>
        </w:rPr>
        <w:t>供应商有效报价αi：磋商报价≤最高磋商限价（采购预算）的磋商报价。当出现价格汇总错误、单价与合不符时，必须以磋商小组修正的为准，否则不再参与评标。</w:t>
      </w:r>
    </w:p>
    <w:p w14:paraId="72B6533A">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color w:val="000000"/>
          <w:sz w:val="28"/>
          <w:szCs w:val="28"/>
        </w:rPr>
      </w:pPr>
      <w:r>
        <w:rPr>
          <w:rFonts w:ascii="宋体" w:hAnsi="宋体" w:cs="宋体"/>
          <w:b/>
          <w:color w:val="000000"/>
          <w:sz w:val="28"/>
          <w:szCs w:val="28"/>
        </w:rPr>
        <w:t>3.3.4商务标评审，详见上述评标办法前附表。</w:t>
      </w:r>
    </w:p>
    <w:p w14:paraId="39982E8B">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3.3.5汇总上述技术部分和商务部分得分，按综合得分由高到低的顺序排序。</w:t>
      </w:r>
    </w:p>
    <w:p w14:paraId="7EAE9DA9">
      <w:pPr>
        <w:pageBreakBefore w:val="0"/>
        <w:widowControl w:val="0"/>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3.3.6确定成交供应商：</w:t>
      </w:r>
    </w:p>
    <w:p w14:paraId="271194F6">
      <w:pPr>
        <w:pageBreakBefore w:val="0"/>
        <w:widowControl w:val="0"/>
        <w:kinsoku/>
        <w:wordWrap/>
        <w:topLinePunct w:val="0"/>
        <w:autoSpaceDE/>
        <w:autoSpaceDN/>
        <w:bidi w:val="0"/>
        <w:adjustRightInd/>
        <w:spacing w:line="360" w:lineRule="auto"/>
        <w:ind w:firstLine="562" w:firstLineChars="200"/>
        <w:rPr>
          <w:rFonts w:ascii="宋体" w:hAnsi="宋体" w:cs="宋体"/>
          <w:color w:val="000000"/>
          <w:sz w:val="28"/>
          <w:szCs w:val="28"/>
        </w:rPr>
      </w:pPr>
      <w:r>
        <w:rPr>
          <w:rFonts w:ascii="宋体" w:hAnsi="宋体" w:cs="宋体"/>
          <w:b/>
          <w:color w:val="000000"/>
          <w:sz w:val="28"/>
          <w:szCs w:val="28"/>
          <w:u w:val="single"/>
        </w:rPr>
        <w:t>采购人依据磋商小组推荐的候选人，按照评标排序来确定第一名为成交供应商。成交供应商磋商报价（总价和综合单价）为成交价即为合同价，以此类推</w:t>
      </w:r>
      <w:r>
        <w:rPr>
          <w:rFonts w:ascii="宋体" w:hAnsi="宋体" w:cs="宋体"/>
          <w:color w:val="000000"/>
          <w:sz w:val="28"/>
          <w:szCs w:val="28"/>
        </w:rPr>
        <w:t>。</w:t>
      </w:r>
    </w:p>
    <w:p w14:paraId="492CE1A3">
      <w:pPr>
        <w:pageBreakBefore w:val="0"/>
        <w:widowControl w:val="0"/>
        <w:tabs>
          <w:tab w:val="left" w:pos="6060"/>
        </w:tabs>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当确定的成交供应商放弃成交或不能够履行磋商响应文件承诺的条款，成交供应商按排名顺序依次递补或经采购人及监管同意后项目废标。</w:t>
      </w:r>
    </w:p>
    <w:p w14:paraId="6DB96F8A">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3.3.7其他情况：</w:t>
      </w:r>
    </w:p>
    <w:p w14:paraId="0AD67482">
      <w:pPr>
        <w:pageBreakBefore w:val="0"/>
        <w:widowControl w:val="0"/>
        <w:tabs>
          <w:tab w:val="left" w:pos="6060"/>
        </w:tabs>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综合得分并列时，比较磋商报价，此分项得分高者排序靠前；若磋商报价得分仍相同，比较供应商技术部分得分；如仍相同，则由评委无记名投票，以得票高低确定排序先后。</w:t>
      </w:r>
    </w:p>
    <w:p w14:paraId="2B4438EE">
      <w:pPr>
        <w:pageBreakBefore w:val="0"/>
        <w:widowControl w:val="0"/>
        <w:tabs>
          <w:tab w:val="left" w:pos="6060"/>
        </w:tabs>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评标中采用插入法计算保留小数点后两位，第三位四舍五入。</w:t>
      </w:r>
    </w:p>
    <w:p w14:paraId="05533B64">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本办法由采购人负责解释，未尽事宜执行有关规定。</w:t>
      </w:r>
    </w:p>
    <w:p w14:paraId="16B7C065">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74" w:name="_Toc3909"/>
      <w:bookmarkStart w:id="175" w:name="_Toc598"/>
      <w:bookmarkStart w:id="176" w:name="_Toc954"/>
      <w:bookmarkStart w:id="177" w:name="_Toc19660"/>
      <w:bookmarkStart w:id="178" w:name="_Toc526842702"/>
      <w:r>
        <w:rPr>
          <w:rFonts w:ascii="宋体" w:hAnsi="宋体" w:cs="宋体"/>
          <w:color w:val="000000"/>
          <w:sz w:val="28"/>
          <w:szCs w:val="28"/>
        </w:rPr>
        <w:t>3.4 磋商响应文件的澄清和补正</w:t>
      </w:r>
      <w:bookmarkEnd w:id="174"/>
      <w:bookmarkEnd w:id="175"/>
      <w:bookmarkEnd w:id="176"/>
      <w:bookmarkEnd w:id="177"/>
      <w:bookmarkEnd w:id="178"/>
    </w:p>
    <w:p w14:paraId="36819D39">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3.4.1在评标过程中，磋商小组可以书面形式要求供应商对所提交磋商响应文件中不明确的内容进行书面澄清或说明，或者对细微偏差进行补正。磋商小组不接受供应商主动提出的澄清、说明或补正。</w:t>
      </w:r>
    </w:p>
    <w:p w14:paraId="1C13B5A3">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3.4.2 澄清、说明和补正不得改变磋商响应文件的实质性内容（算术性错误修正的除外）。供应商的书面澄清、说明和补正属于磋商响应文件的组成部分。</w:t>
      </w:r>
    </w:p>
    <w:p w14:paraId="6CA865B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3.4.3 磋商小组对供应商提交的澄清、说明或补正有疑问的，可以要求供应商进一步澄清、说明或补正，直至满足磋商小组的要求。</w:t>
      </w:r>
    </w:p>
    <w:p w14:paraId="00F980FD">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79" w:name="_Toc19197"/>
      <w:bookmarkStart w:id="180" w:name="_Toc10028"/>
      <w:bookmarkStart w:id="181" w:name="_Toc526842703"/>
      <w:bookmarkStart w:id="182" w:name="_Toc25198"/>
      <w:bookmarkStart w:id="183" w:name="_Toc2013"/>
      <w:r>
        <w:rPr>
          <w:rFonts w:ascii="宋体" w:hAnsi="宋体" w:cs="宋体"/>
          <w:color w:val="000000"/>
          <w:sz w:val="28"/>
          <w:szCs w:val="28"/>
        </w:rPr>
        <w:t>3.5 评标结果</w:t>
      </w:r>
      <w:bookmarkEnd w:id="179"/>
      <w:bookmarkEnd w:id="180"/>
      <w:bookmarkEnd w:id="181"/>
      <w:bookmarkEnd w:id="182"/>
      <w:bookmarkEnd w:id="183"/>
    </w:p>
    <w:p w14:paraId="5C84399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3.5.1磋商小组按照得分由高到低的顺序推荐成交候选供应商。</w:t>
      </w:r>
    </w:p>
    <w:p w14:paraId="0B38FB8B">
      <w:pPr>
        <w:pageBreakBefore w:val="0"/>
        <w:widowControl w:val="0"/>
        <w:kinsoku/>
        <w:wordWrap/>
        <w:topLinePunct w:val="0"/>
        <w:autoSpaceDE/>
        <w:autoSpaceDN/>
        <w:bidi w:val="0"/>
        <w:adjustRightInd/>
        <w:spacing w:line="360" w:lineRule="auto"/>
        <w:ind w:firstLine="560" w:firstLineChars="200"/>
        <w:rPr>
          <w:rFonts w:ascii="宋体" w:hAnsi="宋体" w:cs="宋体"/>
          <w:b/>
          <w:color w:val="000000"/>
          <w:sz w:val="28"/>
          <w:szCs w:val="28"/>
        </w:rPr>
      </w:pPr>
      <w:r>
        <w:rPr>
          <w:rFonts w:ascii="宋体" w:hAnsi="宋体" w:cs="宋体"/>
          <w:color w:val="000000"/>
          <w:sz w:val="28"/>
          <w:szCs w:val="28"/>
        </w:rPr>
        <w:t>3.5.2 磋商小组完成评标后，应当向采购人提交书面评标报告。</w:t>
      </w:r>
    </w:p>
    <w:p w14:paraId="1FA16866">
      <w:pPr>
        <w:pStyle w:val="4"/>
        <w:pageBreakBefore w:val="0"/>
        <w:widowControl w:val="0"/>
        <w:kinsoku/>
        <w:wordWrap/>
        <w:topLinePunct w:val="0"/>
        <w:autoSpaceDE/>
        <w:autoSpaceDN/>
        <w:bidi w:val="0"/>
        <w:adjustRightInd/>
        <w:spacing w:before="0" w:after="0" w:line="360" w:lineRule="auto"/>
        <w:ind w:firstLine="562" w:firstLineChars="200"/>
        <w:rPr>
          <w:rFonts w:ascii="宋体" w:hAnsi="宋体" w:cs="宋体"/>
          <w:color w:val="000000"/>
          <w:sz w:val="28"/>
          <w:szCs w:val="28"/>
        </w:rPr>
      </w:pPr>
      <w:bookmarkStart w:id="184" w:name="_Toc24896"/>
      <w:bookmarkStart w:id="185" w:name="_Toc30173"/>
      <w:bookmarkStart w:id="186" w:name="_Toc1441"/>
      <w:bookmarkStart w:id="187" w:name="_Toc22517"/>
      <w:r>
        <w:rPr>
          <w:rFonts w:ascii="宋体" w:hAnsi="宋体" w:cs="宋体"/>
          <w:color w:val="000000"/>
          <w:sz w:val="28"/>
          <w:szCs w:val="28"/>
        </w:rPr>
        <w:t>4.需要落实的政府采购政策</w:t>
      </w:r>
      <w:bookmarkEnd w:id="184"/>
      <w:bookmarkEnd w:id="185"/>
      <w:bookmarkEnd w:id="186"/>
      <w:bookmarkEnd w:id="187"/>
    </w:p>
    <w:p w14:paraId="67F206A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kern w:val="2"/>
          <w:sz w:val="28"/>
          <w:szCs w:val="28"/>
          <w:lang w:val="en-US" w:eastAsia="zh-CN" w:bidi="ar-SA"/>
        </w:rPr>
      </w:pPr>
      <w:bookmarkStart w:id="188" w:name="_Toc27288"/>
      <w:bookmarkStart w:id="189" w:name="_Toc6400"/>
      <w:bookmarkStart w:id="190" w:name="_Toc18527"/>
      <w:bookmarkStart w:id="191" w:name="_Toc23303"/>
      <w:bookmarkStart w:id="192" w:name="_Toc5624"/>
      <w:bookmarkStart w:id="193" w:name="_Toc332199024"/>
      <w:bookmarkStart w:id="194" w:name="_Toc15026"/>
      <w:bookmarkStart w:id="195" w:name="_Toc369361291"/>
      <w:bookmarkStart w:id="196" w:name="_Toc360604917"/>
      <w:bookmarkStart w:id="197" w:name="_Toc9105"/>
      <w:bookmarkStart w:id="198" w:name="_Toc30170"/>
      <w:bookmarkStart w:id="199" w:name="_Toc487726885"/>
      <w:bookmarkStart w:id="200" w:name="_Toc3118"/>
      <w:bookmarkStart w:id="201" w:name="_Toc290389727"/>
      <w:bookmarkStart w:id="202" w:name="_Toc526842704"/>
      <w:bookmarkStart w:id="203" w:name="_Toc500323106"/>
      <w:bookmarkStart w:id="204" w:name="_Toc332199115"/>
      <w:r>
        <w:rPr>
          <w:rFonts w:hint="eastAsia" w:ascii="宋体" w:hAnsi="宋体" w:eastAsia="宋体" w:cs="宋体"/>
          <w:b/>
          <w:bCs w:val="0"/>
          <w:color w:val="auto"/>
          <w:kern w:val="2"/>
          <w:sz w:val="28"/>
          <w:szCs w:val="28"/>
          <w:lang w:val="en-US" w:eastAsia="zh-CN" w:bidi="ar-SA"/>
        </w:rPr>
        <w:t>1.《政府采购促进中小企业发展管理办法》的通知（财库〔2020〕46号）</w:t>
      </w:r>
      <w:bookmarkEnd w:id="188"/>
      <w:bookmarkEnd w:id="189"/>
      <w:r>
        <w:rPr>
          <w:rFonts w:hint="eastAsia" w:ascii="宋体" w:hAnsi="宋体" w:eastAsia="宋体" w:cs="宋体"/>
          <w:b/>
          <w:bCs w:val="0"/>
          <w:color w:val="auto"/>
          <w:kern w:val="2"/>
          <w:sz w:val="28"/>
          <w:szCs w:val="28"/>
          <w:lang w:val="en-US" w:eastAsia="zh-CN" w:bidi="ar-SA"/>
        </w:rPr>
        <w:t>。</w:t>
      </w:r>
      <w:bookmarkEnd w:id="190"/>
      <w:bookmarkEnd w:id="191"/>
      <w:bookmarkEnd w:id="192"/>
    </w:p>
    <w:p w14:paraId="3F03D17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05" w:name="_Toc26075"/>
      <w:bookmarkStart w:id="206" w:name="_Toc2618"/>
      <w:bookmarkStart w:id="207" w:name="_Toc15061"/>
      <w:bookmarkStart w:id="208" w:name="_Toc10056"/>
      <w:bookmarkStart w:id="209" w:name="_Toc28308"/>
      <w:r>
        <w:rPr>
          <w:rFonts w:hint="eastAsia" w:ascii="宋体" w:hAnsi="宋体" w:eastAsia="宋体" w:cs="宋体"/>
          <w:b w:val="0"/>
          <w:bCs/>
          <w:color w:val="auto"/>
          <w:kern w:val="2"/>
          <w:sz w:val="28"/>
          <w:szCs w:val="28"/>
          <w:lang w:val="en-US" w:eastAsia="zh-CN" w:bidi="ar-SA"/>
        </w:rPr>
        <w:t>在政府采购活动中，供应商提供的货物、工程或者服务符合下列情形的，享受《办法》规定的中小企业扶持政策:</w:t>
      </w:r>
      <w:bookmarkEnd w:id="205"/>
      <w:bookmarkEnd w:id="206"/>
      <w:bookmarkEnd w:id="207"/>
      <w:bookmarkEnd w:id="208"/>
      <w:bookmarkEnd w:id="209"/>
    </w:p>
    <w:p w14:paraId="418E215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10" w:name="_Toc29610"/>
      <w:bookmarkStart w:id="211" w:name="_Toc12926"/>
      <w:bookmarkStart w:id="212" w:name="_Toc3750"/>
      <w:bookmarkStart w:id="213" w:name="_Toc13553"/>
      <w:bookmarkStart w:id="214" w:name="_Toc13145"/>
      <w:r>
        <w:rPr>
          <w:rFonts w:hint="eastAsia" w:ascii="宋体" w:hAnsi="宋体" w:eastAsia="宋体" w:cs="宋体"/>
          <w:b w:val="0"/>
          <w:bCs/>
          <w:color w:val="auto"/>
          <w:kern w:val="2"/>
          <w:sz w:val="28"/>
          <w:szCs w:val="28"/>
          <w:lang w:val="en-US" w:eastAsia="zh-CN" w:bidi="ar-SA"/>
        </w:rPr>
        <w:t>(一)在货物采购项目中，货物由中小企业制造，即货物由中小企业生产且使用该中小企业商号或者注册商标；</w:t>
      </w:r>
      <w:bookmarkEnd w:id="210"/>
      <w:bookmarkEnd w:id="211"/>
      <w:bookmarkEnd w:id="212"/>
      <w:bookmarkEnd w:id="213"/>
      <w:bookmarkEnd w:id="214"/>
    </w:p>
    <w:p w14:paraId="4EC5468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15" w:name="_Toc2212"/>
      <w:bookmarkStart w:id="216" w:name="_Toc27737"/>
      <w:bookmarkStart w:id="217" w:name="_Toc98"/>
      <w:bookmarkStart w:id="218" w:name="_Toc10777"/>
      <w:bookmarkStart w:id="219" w:name="_Toc5972"/>
      <w:r>
        <w:rPr>
          <w:rFonts w:hint="eastAsia" w:ascii="宋体" w:hAnsi="宋体" w:eastAsia="宋体" w:cs="宋体"/>
          <w:b w:val="0"/>
          <w:bCs/>
          <w:color w:val="auto"/>
          <w:kern w:val="2"/>
          <w:sz w:val="28"/>
          <w:szCs w:val="28"/>
          <w:lang w:val="en-US" w:eastAsia="zh-CN" w:bidi="ar-SA"/>
        </w:rPr>
        <w:t>(二)在工程采购项目中，工程由中小企业承建，即工程施工单位为中小企业；</w:t>
      </w:r>
      <w:bookmarkEnd w:id="215"/>
      <w:bookmarkEnd w:id="216"/>
      <w:bookmarkEnd w:id="217"/>
      <w:bookmarkEnd w:id="218"/>
      <w:bookmarkEnd w:id="219"/>
    </w:p>
    <w:p w14:paraId="41277C6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20" w:name="_Toc31732"/>
      <w:bookmarkStart w:id="221" w:name="_Toc13181"/>
      <w:bookmarkStart w:id="222" w:name="_Toc2676"/>
      <w:bookmarkStart w:id="223" w:name="_Toc14952"/>
      <w:bookmarkStart w:id="224" w:name="_Toc30603"/>
      <w:r>
        <w:rPr>
          <w:rFonts w:hint="eastAsia" w:ascii="宋体" w:hAnsi="宋体" w:eastAsia="宋体" w:cs="宋体"/>
          <w:b w:val="0"/>
          <w:bCs/>
          <w:color w:val="auto"/>
          <w:kern w:val="2"/>
          <w:sz w:val="28"/>
          <w:szCs w:val="28"/>
          <w:lang w:val="en-US" w:eastAsia="zh-CN" w:bidi="ar-SA"/>
        </w:rPr>
        <w:t>(三)在服务采购项目中，服务由中小企业承接，即提供服务的人员为中小企业依照《中华人民共和国劳动合同法》订立劳动合同的从业人员。</w:t>
      </w:r>
      <w:bookmarkEnd w:id="220"/>
      <w:bookmarkEnd w:id="221"/>
      <w:bookmarkEnd w:id="222"/>
      <w:bookmarkEnd w:id="223"/>
      <w:bookmarkEnd w:id="224"/>
    </w:p>
    <w:p w14:paraId="6D59059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25" w:name="_Toc28280"/>
      <w:bookmarkStart w:id="226" w:name="_Toc31982"/>
      <w:bookmarkStart w:id="227" w:name="_Toc9186"/>
      <w:bookmarkStart w:id="228" w:name="_Toc21217"/>
      <w:bookmarkStart w:id="229" w:name="_Toc31112"/>
      <w:r>
        <w:rPr>
          <w:rFonts w:hint="eastAsia" w:ascii="宋体" w:hAnsi="宋体" w:eastAsia="宋体" w:cs="宋体"/>
          <w:b w:val="0"/>
          <w:bCs/>
          <w:color w:val="auto"/>
          <w:kern w:val="2"/>
          <w:sz w:val="28"/>
          <w:szCs w:val="28"/>
          <w:lang w:val="en-US" w:eastAsia="zh-CN" w:bidi="ar-SA"/>
        </w:rPr>
        <w:t>在货物采购项目中，供应商提供的货物既有中小企业制造货物，也有大型企业制造货物的，不享受《办法》规定的中小企业扶持政策。</w:t>
      </w:r>
      <w:bookmarkEnd w:id="225"/>
      <w:bookmarkEnd w:id="226"/>
      <w:bookmarkEnd w:id="227"/>
      <w:bookmarkEnd w:id="228"/>
      <w:bookmarkEnd w:id="229"/>
    </w:p>
    <w:p w14:paraId="5F8C3E5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30" w:name="_Toc23925"/>
      <w:bookmarkStart w:id="231" w:name="_Toc12766"/>
      <w:bookmarkStart w:id="232" w:name="_Toc18434"/>
      <w:bookmarkStart w:id="233" w:name="_Toc6020"/>
      <w:bookmarkStart w:id="234" w:name="_Toc28678"/>
      <w:r>
        <w:rPr>
          <w:rFonts w:hint="eastAsia" w:ascii="宋体" w:hAnsi="宋体" w:eastAsia="宋体" w:cs="宋体"/>
          <w:b w:val="0"/>
          <w:bCs/>
          <w:color w:val="auto"/>
          <w:kern w:val="2"/>
          <w:sz w:val="28"/>
          <w:szCs w:val="28"/>
          <w:lang w:val="en-US" w:eastAsia="zh-CN" w:bidi="ar-SA"/>
        </w:rPr>
        <w:t>以联合体形式参加政府采购活动，联合体各方均为中小企业的，联合体视同中小企业。其中，联合体各方均为小微企业的，联合体视同小微企业。</w:t>
      </w:r>
      <w:bookmarkEnd w:id="230"/>
      <w:bookmarkEnd w:id="231"/>
      <w:bookmarkEnd w:id="232"/>
      <w:bookmarkEnd w:id="233"/>
      <w:bookmarkEnd w:id="234"/>
    </w:p>
    <w:p w14:paraId="31933EB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35" w:name="_Toc1848"/>
      <w:bookmarkStart w:id="236" w:name="_Toc9423"/>
      <w:bookmarkStart w:id="237" w:name="_Toc17492"/>
      <w:bookmarkStart w:id="238" w:name="_Toc24099"/>
      <w:bookmarkStart w:id="239" w:name="_Toc28971"/>
      <w:r>
        <w:rPr>
          <w:rFonts w:hint="eastAsia" w:ascii="宋体" w:hAnsi="宋体" w:eastAsia="宋体" w:cs="宋体"/>
          <w:b w:val="0"/>
          <w:bCs/>
          <w:color w:val="auto"/>
          <w:kern w:val="2"/>
          <w:sz w:val="28"/>
          <w:szCs w:val="28"/>
          <w:lang w:val="en-US" w:eastAsia="zh-CN" w:bidi="ar-SA"/>
        </w:rPr>
        <w:t>依据《办法》规定享受扶持政策获得政府采购合同的，小微企业不得将合同分包给大中型企业，中型企业不得将合同分包给大型企业。</w:t>
      </w:r>
      <w:bookmarkEnd w:id="235"/>
      <w:bookmarkEnd w:id="236"/>
      <w:bookmarkEnd w:id="237"/>
      <w:bookmarkEnd w:id="238"/>
      <w:bookmarkEnd w:id="239"/>
    </w:p>
    <w:p w14:paraId="63C513C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40" w:name="_Toc12812"/>
      <w:bookmarkStart w:id="241" w:name="_Toc7194"/>
      <w:bookmarkStart w:id="242" w:name="_Toc4775"/>
      <w:bookmarkStart w:id="243" w:name="_Toc26091"/>
      <w:bookmarkStart w:id="244" w:name="_Toc26502"/>
      <w:r>
        <w:rPr>
          <w:rFonts w:hint="eastAsia" w:ascii="宋体" w:hAnsi="宋体" w:eastAsia="宋体" w:cs="宋体"/>
          <w:b w:val="0"/>
          <w:bCs/>
          <w:color w:val="auto"/>
          <w:kern w:val="2"/>
          <w:sz w:val="28"/>
          <w:szCs w:val="28"/>
          <w:lang w:val="en-US" w:eastAsia="zh-CN" w:bidi="ar-SA"/>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240"/>
      <w:bookmarkEnd w:id="241"/>
      <w:bookmarkEnd w:id="242"/>
      <w:bookmarkEnd w:id="243"/>
      <w:bookmarkEnd w:id="244"/>
    </w:p>
    <w:p w14:paraId="0C6D128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45" w:name="_Toc10392"/>
      <w:bookmarkStart w:id="246" w:name="_Toc4731"/>
      <w:bookmarkStart w:id="247" w:name="_Toc2963"/>
      <w:bookmarkStart w:id="248" w:name="_Toc29579"/>
      <w:bookmarkStart w:id="249" w:name="_Toc28497"/>
      <w:r>
        <w:rPr>
          <w:rFonts w:hint="eastAsia" w:ascii="宋体" w:hAnsi="宋体" w:eastAsia="宋体" w:cs="宋体"/>
          <w:b w:val="0"/>
          <w:bCs/>
          <w:color w:val="auto"/>
          <w:kern w:val="2"/>
          <w:sz w:val="28"/>
          <w:szCs w:val="28"/>
          <w:lang w:val="en-US" w:eastAsia="zh-CN" w:bidi="ar-SA"/>
        </w:rPr>
        <w:t>评标委员会根据《政府采购促进中小企业发展管理办法》的通知（财库〔2020〕46号）、《财政部关于进一步加大政府采购支持中小企业力度的通知》（财库〔2022〕19号）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245"/>
      <w:bookmarkEnd w:id="246"/>
      <w:bookmarkEnd w:id="247"/>
      <w:bookmarkEnd w:id="248"/>
      <w:bookmarkEnd w:id="249"/>
    </w:p>
    <w:p w14:paraId="7FCF31D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50" w:name="_Toc11983"/>
      <w:bookmarkStart w:id="251" w:name="_Toc25557"/>
      <w:bookmarkStart w:id="252" w:name="_Toc2434"/>
      <w:bookmarkStart w:id="253" w:name="_Toc10033"/>
      <w:bookmarkStart w:id="254" w:name="_Toc12101"/>
      <w:r>
        <w:rPr>
          <w:rFonts w:hint="eastAsia" w:ascii="宋体" w:hAnsi="宋体" w:eastAsia="宋体" w:cs="宋体"/>
          <w:b w:val="0"/>
          <w:bCs/>
          <w:color w:val="auto"/>
          <w:kern w:val="2"/>
          <w:sz w:val="28"/>
          <w:szCs w:val="28"/>
          <w:lang w:val="en-US" w:eastAsia="zh-CN" w:bidi="ar-SA"/>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250"/>
      <w:bookmarkEnd w:id="251"/>
      <w:bookmarkEnd w:id="252"/>
      <w:bookmarkEnd w:id="253"/>
      <w:bookmarkEnd w:id="254"/>
    </w:p>
    <w:p w14:paraId="175E5F1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在政府采购活动中，残疾人福利性单位、监狱企业视同小型、微型企业，不重复享受政策。</w:t>
      </w:r>
    </w:p>
    <w:p w14:paraId="0ACC886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kern w:val="2"/>
          <w:sz w:val="28"/>
          <w:szCs w:val="28"/>
          <w:lang w:val="en-US" w:eastAsia="zh-CN" w:bidi="ar-SA"/>
        </w:rPr>
      </w:pPr>
      <w:bookmarkStart w:id="255" w:name="_Toc12159"/>
      <w:bookmarkStart w:id="256" w:name="_Toc10110"/>
      <w:bookmarkStart w:id="257" w:name="_Toc12743"/>
      <w:bookmarkStart w:id="258" w:name="_Toc5526"/>
      <w:bookmarkStart w:id="259" w:name="_Toc22642"/>
      <w:r>
        <w:rPr>
          <w:rFonts w:hint="eastAsia" w:ascii="宋体" w:hAnsi="宋体" w:eastAsia="宋体" w:cs="宋体"/>
          <w:b/>
          <w:bCs w:val="0"/>
          <w:color w:val="auto"/>
          <w:kern w:val="2"/>
          <w:sz w:val="28"/>
          <w:szCs w:val="28"/>
          <w:lang w:val="en-US" w:eastAsia="zh-CN" w:bidi="ar-SA"/>
        </w:rPr>
        <w:t>2.财政部司法部关于政府采购支持监狱企业发展有关问题的通知—财库〔2014〕68号</w:t>
      </w:r>
      <w:bookmarkEnd w:id="255"/>
      <w:bookmarkEnd w:id="256"/>
      <w:r>
        <w:rPr>
          <w:rFonts w:hint="eastAsia" w:ascii="宋体" w:hAnsi="宋体" w:eastAsia="宋体" w:cs="宋体"/>
          <w:b/>
          <w:bCs w:val="0"/>
          <w:color w:val="auto"/>
          <w:kern w:val="2"/>
          <w:sz w:val="28"/>
          <w:szCs w:val="28"/>
          <w:lang w:val="en-US" w:eastAsia="zh-CN" w:bidi="ar-SA"/>
        </w:rPr>
        <w:t xml:space="preserve"> 。</w:t>
      </w:r>
      <w:bookmarkEnd w:id="257"/>
      <w:bookmarkEnd w:id="258"/>
      <w:bookmarkEnd w:id="259"/>
    </w:p>
    <w:p w14:paraId="3646C80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60" w:name="_Toc13779"/>
      <w:bookmarkStart w:id="261" w:name="_Toc11710"/>
      <w:bookmarkStart w:id="262" w:name="_Toc14358"/>
      <w:bookmarkStart w:id="263" w:name="_Toc11892"/>
      <w:bookmarkStart w:id="264" w:name="_Toc4382"/>
      <w:r>
        <w:rPr>
          <w:rFonts w:hint="eastAsia" w:ascii="宋体" w:hAnsi="宋体" w:eastAsia="宋体" w:cs="宋体"/>
          <w:b w:val="0"/>
          <w:bCs/>
          <w:color w:val="auto"/>
          <w:kern w:val="2"/>
          <w:sz w:val="28"/>
          <w:szCs w:val="28"/>
          <w:lang w:val="en-US" w:eastAsia="zh-CN" w:bidi="ar-SA"/>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260"/>
      <w:bookmarkEnd w:id="261"/>
      <w:bookmarkEnd w:id="262"/>
      <w:bookmarkEnd w:id="263"/>
      <w:bookmarkEnd w:id="264"/>
    </w:p>
    <w:p w14:paraId="26FFBB6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65" w:name="_Toc5219"/>
      <w:bookmarkStart w:id="266" w:name="_Toc32315"/>
      <w:bookmarkStart w:id="267" w:name="_Toc10867"/>
      <w:bookmarkStart w:id="268" w:name="_Toc30736"/>
      <w:bookmarkStart w:id="269" w:name="_Toc14231"/>
      <w:r>
        <w:rPr>
          <w:rFonts w:hint="eastAsia" w:ascii="宋体" w:hAnsi="宋体" w:eastAsia="宋体" w:cs="宋体"/>
          <w:b w:val="0"/>
          <w:bCs/>
          <w:color w:val="auto"/>
          <w:kern w:val="2"/>
          <w:sz w:val="28"/>
          <w:szCs w:val="28"/>
          <w:lang w:val="en-US" w:eastAsia="zh-CN" w:bidi="ar-SA"/>
        </w:rPr>
        <w:t>评标委员会对监狱企业的价格给予10%的扣除，用扣除后的价格参与评审。</w:t>
      </w:r>
      <w:bookmarkEnd w:id="265"/>
      <w:bookmarkEnd w:id="266"/>
      <w:bookmarkEnd w:id="267"/>
      <w:bookmarkEnd w:id="268"/>
      <w:bookmarkEnd w:id="269"/>
    </w:p>
    <w:p w14:paraId="68790E6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kern w:val="2"/>
          <w:sz w:val="28"/>
          <w:szCs w:val="28"/>
          <w:lang w:val="en-US" w:eastAsia="zh-CN" w:bidi="ar-SA"/>
        </w:rPr>
      </w:pPr>
      <w:bookmarkStart w:id="270" w:name="_Toc14589"/>
      <w:bookmarkStart w:id="271" w:name="_Toc15904"/>
      <w:bookmarkStart w:id="272" w:name="_Toc18595"/>
      <w:bookmarkStart w:id="273" w:name="_Toc30515"/>
      <w:bookmarkStart w:id="274" w:name="_Toc20450"/>
      <w:r>
        <w:rPr>
          <w:rFonts w:hint="eastAsia" w:ascii="宋体" w:hAnsi="宋体" w:eastAsia="宋体" w:cs="宋体"/>
          <w:b/>
          <w:bCs w:val="0"/>
          <w:color w:val="auto"/>
          <w:kern w:val="2"/>
          <w:sz w:val="28"/>
          <w:szCs w:val="28"/>
          <w:lang w:val="en-US" w:eastAsia="zh-CN" w:bidi="ar-SA"/>
        </w:rPr>
        <w:t>3.《国务院办公厅关于建立政府强制采购节能产品制度的通知》—国办发〔2007〕51号</w:t>
      </w:r>
      <w:bookmarkEnd w:id="270"/>
      <w:bookmarkEnd w:id="271"/>
      <w:r>
        <w:rPr>
          <w:rFonts w:hint="eastAsia" w:ascii="宋体" w:hAnsi="宋体" w:eastAsia="宋体" w:cs="宋体"/>
          <w:b/>
          <w:bCs w:val="0"/>
          <w:color w:val="auto"/>
          <w:kern w:val="2"/>
          <w:sz w:val="28"/>
          <w:szCs w:val="28"/>
          <w:lang w:val="en-US" w:eastAsia="zh-CN" w:bidi="ar-SA"/>
        </w:rPr>
        <w:t>。</w:t>
      </w:r>
      <w:bookmarkEnd w:id="272"/>
      <w:bookmarkEnd w:id="273"/>
      <w:bookmarkEnd w:id="274"/>
    </w:p>
    <w:p w14:paraId="7812892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75" w:name="_Toc16954"/>
      <w:bookmarkStart w:id="276" w:name="_Toc19432"/>
      <w:bookmarkStart w:id="277" w:name="_Toc11339"/>
      <w:bookmarkStart w:id="278" w:name="_Toc24650"/>
      <w:bookmarkStart w:id="279" w:name="_Toc20764"/>
      <w:r>
        <w:rPr>
          <w:rFonts w:hint="eastAsia" w:ascii="宋体" w:hAnsi="宋体" w:eastAsia="宋体" w:cs="宋体"/>
          <w:b w:val="0"/>
          <w:bCs/>
          <w:color w:val="auto"/>
          <w:kern w:val="2"/>
          <w:sz w:val="28"/>
          <w:szCs w:val="28"/>
          <w:lang w:val="en-US" w:eastAsia="zh-CN" w:bidi="ar-SA"/>
        </w:rPr>
        <w:t>各级政府机构使用财政性资金进行政府采购活动时，在技术、服务等指标满足采购需求的前提下，要优先采购节能产品，对部分节能效果、性能等达到要求的产品，实行强制采购。</w:t>
      </w:r>
      <w:bookmarkEnd w:id="275"/>
      <w:bookmarkEnd w:id="276"/>
      <w:bookmarkEnd w:id="277"/>
      <w:bookmarkEnd w:id="278"/>
      <w:bookmarkEnd w:id="279"/>
    </w:p>
    <w:p w14:paraId="53BED36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sz w:val="28"/>
          <w:szCs w:val="28"/>
          <w:lang w:val="en-US" w:eastAsia="zh-CN"/>
        </w:rPr>
      </w:pPr>
      <w:r>
        <w:rPr>
          <w:rFonts w:hint="eastAsia" w:ascii="宋体" w:hAnsi="宋体" w:eastAsia="宋体" w:cs="宋体"/>
          <w:b/>
          <w:bCs w:val="0"/>
          <w:color w:val="auto"/>
          <w:sz w:val="28"/>
          <w:szCs w:val="28"/>
          <w:lang w:val="en-US" w:eastAsia="zh-CN"/>
        </w:rPr>
        <w:t>4.《关于印发环境标志产品政府采购品目清单的通知》（财库〔2019〕18号）</w:t>
      </w:r>
    </w:p>
    <w:p w14:paraId="44EA6E8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根据</w:t>
      </w:r>
      <w:r>
        <w:rPr>
          <w:rFonts w:hint="eastAsia" w:ascii="宋体" w:hAnsi="宋体" w:eastAsia="宋体" w:cs="宋体"/>
          <w:bCs/>
          <w:color w:val="auto"/>
          <w:sz w:val="28"/>
          <w:szCs w:val="28"/>
          <w:lang w:val="en-US" w:eastAsia="zh-CN"/>
        </w:rPr>
        <w:t>《关于印发环境标志产品政府采购品目清单的通知》（财库〔2019〕18号）、《财政部发展改革委 生态环境部 市场监管总局关于调整优化节能产品 环境标志产品政府采购执行机制的通知》（财库〔2019〕9号）</w:t>
      </w:r>
      <w:r>
        <w:rPr>
          <w:rFonts w:hint="eastAsia" w:ascii="宋体" w:hAnsi="宋体" w:eastAsia="宋体" w:cs="宋体"/>
          <w:bCs/>
          <w:color w:val="auto"/>
          <w:sz w:val="28"/>
          <w:szCs w:val="28"/>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Cs/>
          <w:color w:val="auto"/>
          <w:sz w:val="28"/>
          <w:szCs w:val="28"/>
          <w:lang w:eastAsia="zh-CN"/>
        </w:rPr>
        <w:t>。</w:t>
      </w:r>
    </w:p>
    <w:p w14:paraId="6845E9B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val="en-US" w:eastAsia="zh-CN"/>
        </w:rPr>
        <w:t>5.《关于印发节能产品政府采购品目清单的通知》（财库〔2019〕19号）</w:t>
      </w:r>
      <w:r>
        <w:rPr>
          <w:rFonts w:hint="eastAsia" w:ascii="宋体" w:hAnsi="宋体" w:eastAsia="宋体" w:cs="宋体"/>
          <w:b/>
          <w:bCs w:val="0"/>
          <w:color w:val="auto"/>
          <w:sz w:val="28"/>
          <w:szCs w:val="28"/>
        </w:rPr>
        <w:t xml:space="preserve"> </w:t>
      </w:r>
    </w:p>
    <w:p w14:paraId="154EAEBD">
      <w:pPr>
        <w:pStyle w:val="74"/>
        <w:pageBreakBefore w:val="0"/>
        <w:widowControl w:val="0"/>
        <w:kinsoku/>
        <w:wordWrap/>
        <w:topLinePunct w:val="0"/>
        <w:autoSpaceDE/>
        <w:autoSpaceDN/>
        <w:bidi w:val="0"/>
        <w:adjustRightInd/>
        <w:ind w:firstLine="560" w:firstLineChars="200"/>
        <w:rPr>
          <w:rFonts w:hint="eastAsia" w:ascii="宋体" w:hAnsi="宋体" w:eastAsia="宋体" w:cs="宋体"/>
          <w:b/>
          <w:color w:val="000000"/>
          <w:sz w:val="28"/>
          <w:szCs w:val="28"/>
          <w:lang w:eastAsia="zh-CN"/>
        </w:rPr>
      </w:pPr>
      <w:r>
        <w:rPr>
          <w:rFonts w:hint="eastAsia" w:ascii="宋体" w:hAnsi="宋体" w:eastAsia="宋体" w:cs="宋体"/>
          <w:b w:val="0"/>
          <w:bCs/>
          <w:color w:val="000000"/>
          <w:sz w:val="28"/>
          <w:szCs w:val="28"/>
          <w:lang w:eastAsia="zh-CN"/>
        </w:rPr>
        <w:t>根据</w:t>
      </w:r>
      <w:r>
        <w:rPr>
          <w:rFonts w:hint="eastAsia" w:ascii="宋体" w:hAnsi="宋体" w:eastAsia="宋体" w:cs="宋体"/>
          <w:b w:val="0"/>
          <w:bCs/>
          <w:color w:val="000000"/>
          <w:sz w:val="28"/>
          <w:szCs w:val="28"/>
          <w:lang w:val="en-US" w:eastAsia="zh-CN"/>
        </w:rPr>
        <w:t>《关于印发节能产品政府采购品目清单的通知》（财库〔2019〕19号）、《财政部发展改革委 生态环境部 市场监管总局关于调整优化节能产品 环境标志产品政府采购执行机制的通知》（财库〔2019〕9号）</w:t>
      </w:r>
      <w:r>
        <w:rPr>
          <w:rFonts w:hint="eastAsia" w:ascii="宋体" w:hAnsi="宋体" w:eastAsia="宋体" w:cs="宋体"/>
          <w:b w:val="0"/>
          <w:bCs/>
          <w:color w:val="000000"/>
          <w:sz w:val="28"/>
          <w:szCs w:val="28"/>
          <w:lang w:eastAsia="zh-CN"/>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E93F21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r>
        <w:rPr>
          <w:rFonts w:hint="eastAsia" w:ascii="宋体" w:hAnsi="宋体" w:eastAsia="宋体" w:cs="宋体"/>
          <w:b w:val="0"/>
          <w:bCs/>
          <w:color w:val="000000"/>
          <w:sz w:val="28"/>
          <w:szCs w:val="28"/>
          <w:lang w:eastAsia="zh-CN"/>
        </w:rPr>
        <w:t>注：</w:t>
      </w:r>
      <w:r>
        <w:rPr>
          <w:rFonts w:hint="eastAsia" w:ascii="宋体" w:hAnsi="宋体" w:eastAsia="宋体" w:cs="宋体"/>
          <w:b w:val="0"/>
          <w:bCs/>
          <w:color w:val="000000"/>
          <w:sz w:val="28"/>
          <w:szCs w:val="28"/>
        </w:rPr>
        <w:t>获得上述认证的产品在</w:t>
      </w:r>
      <w:r>
        <w:rPr>
          <w:rFonts w:hint="eastAsia" w:ascii="宋体" w:hAnsi="宋体" w:eastAsia="宋体" w:cs="宋体"/>
          <w:b w:val="0"/>
          <w:bCs/>
          <w:color w:val="000000"/>
          <w:sz w:val="28"/>
          <w:szCs w:val="28"/>
          <w:lang w:eastAsia="zh-CN"/>
        </w:rPr>
        <w:t>投标</w:t>
      </w:r>
      <w:r>
        <w:rPr>
          <w:rFonts w:hint="eastAsia" w:ascii="宋体" w:hAnsi="宋体" w:eastAsia="宋体" w:cs="宋体"/>
          <w:b w:val="0"/>
          <w:bCs/>
          <w:color w:val="000000"/>
          <w:sz w:val="28"/>
          <w:szCs w:val="28"/>
        </w:rPr>
        <w:t>时应提供有效证明材料。以上所有证明文件复印件须加盖</w:t>
      </w:r>
      <w:r>
        <w:rPr>
          <w:rFonts w:hint="eastAsia" w:ascii="宋体" w:hAnsi="宋体" w:eastAsia="宋体" w:cs="宋体"/>
          <w:b w:val="0"/>
          <w:bCs/>
          <w:color w:val="000000"/>
          <w:sz w:val="28"/>
          <w:szCs w:val="28"/>
          <w:lang w:eastAsia="zh-CN"/>
        </w:rPr>
        <w:t>供应商</w:t>
      </w:r>
      <w:r>
        <w:rPr>
          <w:rFonts w:hint="eastAsia" w:ascii="宋体" w:hAnsi="宋体" w:eastAsia="宋体" w:cs="宋体"/>
          <w:b w:val="0"/>
          <w:bCs/>
          <w:color w:val="000000"/>
          <w:sz w:val="28"/>
          <w:szCs w:val="28"/>
        </w:rPr>
        <w:t>公章并注明“与原件一致”，否则不予计分。</w:t>
      </w:r>
    </w:p>
    <w:p w14:paraId="73E199B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kern w:val="2"/>
          <w:sz w:val="28"/>
          <w:szCs w:val="28"/>
          <w:lang w:val="en-US" w:eastAsia="zh-CN" w:bidi="ar-SA"/>
        </w:rPr>
      </w:pPr>
      <w:bookmarkStart w:id="280" w:name="_Toc5700"/>
      <w:bookmarkStart w:id="281" w:name="_Toc17122"/>
      <w:bookmarkStart w:id="282" w:name="_Toc18923"/>
      <w:bookmarkStart w:id="283" w:name="_Toc27955"/>
      <w:bookmarkStart w:id="284" w:name="_Toc24583"/>
      <w:r>
        <w:rPr>
          <w:rFonts w:hint="eastAsia" w:ascii="宋体" w:hAnsi="宋体" w:eastAsia="宋体" w:cs="宋体"/>
          <w:b/>
          <w:bCs w:val="0"/>
          <w:color w:val="auto"/>
          <w:kern w:val="2"/>
          <w:sz w:val="28"/>
          <w:szCs w:val="28"/>
          <w:lang w:val="en-US" w:eastAsia="zh-CN" w:bidi="ar-SA"/>
        </w:rPr>
        <w:t>6.《关于促进残疾人就业政府采购政策的通知》财库〔2017〕141号</w:t>
      </w:r>
      <w:bookmarkEnd w:id="280"/>
      <w:bookmarkEnd w:id="281"/>
      <w:r>
        <w:rPr>
          <w:rFonts w:hint="eastAsia" w:ascii="宋体" w:hAnsi="宋体" w:eastAsia="宋体" w:cs="宋体"/>
          <w:b/>
          <w:bCs w:val="0"/>
          <w:color w:val="auto"/>
          <w:kern w:val="2"/>
          <w:sz w:val="28"/>
          <w:szCs w:val="28"/>
          <w:lang w:val="en-US" w:eastAsia="zh-CN" w:bidi="ar-SA"/>
        </w:rPr>
        <w:t>。</w:t>
      </w:r>
      <w:bookmarkEnd w:id="282"/>
      <w:bookmarkEnd w:id="283"/>
      <w:bookmarkEnd w:id="284"/>
    </w:p>
    <w:p w14:paraId="1F3458B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85" w:name="_Toc30234"/>
      <w:bookmarkStart w:id="286" w:name="_Toc28713"/>
      <w:bookmarkStart w:id="287" w:name="_Toc1750"/>
      <w:bookmarkStart w:id="288" w:name="_Toc22172"/>
      <w:bookmarkStart w:id="289" w:name="_Toc24922"/>
      <w:r>
        <w:rPr>
          <w:rFonts w:hint="eastAsia" w:ascii="宋体" w:hAnsi="宋体" w:eastAsia="宋体" w:cs="宋体"/>
          <w:b w:val="0"/>
          <w:bCs/>
          <w:color w:val="auto"/>
          <w:kern w:val="2"/>
          <w:sz w:val="28"/>
          <w:szCs w:val="28"/>
          <w:lang w:val="en-US" w:eastAsia="zh-CN" w:bidi="ar-SA"/>
        </w:rPr>
        <w:t>福利企业参加政府采购活动时，应当提供市级以上民政局、财政局、残联部门出具的福利性企业的证明文件。</w:t>
      </w:r>
      <w:bookmarkEnd w:id="285"/>
      <w:bookmarkEnd w:id="286"/>
      <w:bookmarkEnd w:id="287"/>
      <w:bookmarkEnd w:id="288"/>
      <w:bookmarkEnd w:id="289"/>
    </w:p>
    <w:p w14:paraId="797CB22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90" w:name="_Toc20174"/>
      <w:bookmarkStart w:id="291" w:name="_Toc14226"/>
      <w:bookmarkStart w:id="292" w:name="_Toc8691"/>
      <w:bookmarkStart w:id="293" w:name="_Toc27107"/>
      <w:bookmarkStart w:id="294" w:name="_Toc24373"/>
      <w:r>
        <w:rPr>
          <w:rFonts w:hint="eastAsia" w:ascii="宋体" w:hAnsi="宋体" w:eastAsia="宋体" w:cs="宋体"/>
          <w:b/>
          <w:bCs w:val="0"/>
          <w:color w:val="auto"/>
          <w:kern w:val="2"/>
          <w:sz w:val="28"/>
          <w:szCs w:val="28"/>
          <w:lang w:val="en-US" w:eastAsia="zh-CN" w:bidi="ar-SA"/>
        </w:rPr>
        <w:t>7.陕西省财政厅关于印发《陕西省中小企业政府采购信用融资办法》（陕财办采〔2018〕23号）</w:t>
      </w:r>
      <w:bookmarkEnd w:id="290"/>
      <w:bookmarkEnd w:id="291"/>
      <w:r>
        <w:rPr>
          <w:rFonts w:hint="eastAsia" w:ascii="宋体" w:hAnsi="宋体" w:eastAsia="宋体" w:cs="宋体"/>
          <w:b/>
          <w:bCs w:val="0"/>
          <w:color w:val="auto"/>
          <w:kern w:val="2"/>
          <w:sz w:val="28"/>
          <w:szCs w:val="28"/>
          <w:lang w:val="en-US" w:eastAsia="zh-CN" w:bidi="ar-SA"/>
        </w:rPr>
        <w:t>。</w:t>
      </w:r>
      <w:bookmarkEnd w:id="292"/>
      <w:bookmarkEnd w:id="293"/>
      <w:bookmarkEnd w:id="294"/>
    </w:p>
    <w:p w14:paraId="40AD97F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95" w:name="_Toc2203"/>
      <w:bookmarkStart w:id="296" w:name="_Toc26044"/>
      <w:bookmarkStart w:id="297" w:name="_Toc2902"/>
      <w:bookmarkStart w:id="298" w:name="_Toc802"/>
      <w:bookmarkStart w:id="299" w:name="_Toc1696"/>
      <w:r>
        <w:rPr>
          <w:rFonts w:hint="eastAsia" w:ascii="宋体" w:hAnsi="宋体" w:eastAsia="宋体" w:cs="宋体"/>
          <w:b w:val="0"/>
          <w:bCs/>
          <w:color w:val="auto"/>
          <w:kern w:val="2"/>
          <w:sz w:val="28"/>
          <w:szCs w:val="28"/>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295"/>
      <w:bookmarkEnd w:id="296"/>
      <w:bookmarkEnd w:id="297"/>
      <w:bookmarkEnd w:id="298"/>
      <w:bookmarkEnd w:id="299"/>
    </w:p>
    <w:p w14:paraId="67A6C1F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ascii="宋体" w:hAnsi="宋体" w:cs="宋体"/>
          <w:b/>
          <w:color w:val="000000"/>
          <w:sz w:val="28"/>
          <w:szCs w:val="28"/>
        </w:rPr>
      </w:pPr>
      <w:bookmarkStart w:id="300" w:name="_Toc30311"/>
      <w:bookmarkStart w:id="301" w:name="_Toc29619"/>
      <w:bookmarkStart w:id="302" w:name="_Toc6798"/>
      <w:bookmarkStart w:id="303" w:name="_Toc31707"/>
      <w:bookmarkStart w:id="304" w:name="_Toc4872"/>
      <w:r>
        <w:rPr>
          <w:rFonts w:hint="eastAsia" w:ascii="宋体" w:hAnsi="宋体" w:eastAsia="宋体" w:cs="宋体"/>
          <w:b w:val="0"/>
          <w:bCs/>
          <w:color w:val="auto"/>
          <w:kern w:val="2"/>
          <w:sz w:val="28"/>
          <w:szCs w:val="28"/>
          <w:lang w:val="en-US" w:eastAsia="zh-CN" w:bidi="ar-SA"/>
        </w:rPr>
        <w:t>网址：http://www.ccgp-shaanxi.gov.cn/zcdservice/zcd/shanxi/</w:t>
      </w:r>
      <w:bookmarkEnd w:id="300"/>
      <w:bookmarkEnd w:id="301"/>
      <w:bookmarkEnd w:id="302"/>
      <w:bookmarkEnd w:id="303"/>
      <w:bookmarkEnd w:id="304"/>
    </w:p>
    <w:p w14:paraId="3C8C67AC">
      <w:pPr>
        <w:spacing w:line="360" w:lineRule="auto"/>
        <w:outlineLvl w:val="1"/>
        <w:rPr>
          <w:rFonts w:ascii="宋体" w:hAnsi="宋体" w:cs="宋体"/>
          <w:b/>
          <w:color w:val="000000"/>
          <w:sz w:val="28"/>
          <w:szCs w:val="28"/>
        </w:rPr>
      </w:pPr>
      <w:bookmarkStart w:id="305" w:name="_Toc16213"/>
    </w:p>
    <w:p w14:paraId="7A261AE1">
      <w:pPr>
        <w:spacing w:line="360" w:lineRule="auto"/>
        <w:outlineLvl w:val="1"/>
        <w:rPr>
          <w:rFonts w:ascii="宋体" w:hAnsi="宋体" w:cs="宋体"/>
          <w:b/>
          <w:color w:val="000000"/>
          <w:sz w:val="28"/>
          <w:szCs w:val="28"/>
        </w:rPr>
      </w:pPr>
    </w:p>
    <w:p w14:paraId="2285962D">
      <w:pPr>
        <w:spacing w:line="360" w:lineRule="auto"/>
        <w:outlineLvl w:val="1"/>
        <w:rPr>
          <w:rFonts w:ascii="宋体" w:hAnsi="宋体" w:cs="宋体"/>
          <w:b/>
          <w:color w:val="000000"/>
          <w:sz w:val="28"/>
          <w:szCs w:val="28"/>
        </w:rPr>
      </w:pPr>
    </w:p>
    <w:p w14:paraId="3F4A5AF6">
      <w:pPr>
        <w:spacing w:line="360" w:lineRule="auto"/>
        <w:outlineLvl w:val="1"/>
        <w:rPr>
          <w:rFonts w:ascii="宋体" w:hAnsi="宋体" w:cs="宋体"/>
          <w:b/>
          <w:color w:val="000000"/>
          <w:sz w:val="28"/>
          <w:szCs w:val="28"/>
        </w:rPr>
      </w:pPr>
    </w:p>
    <w:p w14:paraId="49955023">
      <w:pPr>
        <w:spacing w:line="360" w:lineRule="auto"/>
        <w:outlineLvl w:val="1"/>
        <w:rPr>
          <w:rFonts w:ascii="宋体" w:hAnsi="宋体" w:cs="宋体"/>
          <w:b/>
          <w:color w:val="000000"/>
          <w:sz w:val="28"/>
          <w:szCs w:val="28"/>
        </w:rPr>
      </w:pPr>
    </w:p>
    <w:p w14:paraId="74C80BBA">
      <w:pPr>
        <w:spacing w:line="360" w:lineRule="auto"/>
        <w:outlineLvl w:val="1"/>
        <w:rPr>
          <w:rFonts w:ascii="宋体" w:hAnsi="宋体" w:cs="宋体"/>
          <w:b/>
          <w:color w:val="000000"/>
          <w:sz w:val="28"/>
          <w:szCs w:val="28"/>
        </w:rPr>
      </w:pPr>
    </w:p>
    <w:p w14:paraId="0E4250FA">
      <w:pPr>
        <w:spacing w:line="360" w:lineRule="auto"/>
        <w:outlineLvl w:val="1"/>
        <w:rPr>
          <w:rFonts w:ascii="宋体" w:hAnsi="宋体" w:cs="宋体"/>
          <w:b/>
          <w:color w:val="000000"/>
          <w:sz w:val="28"/>
          <w:szCs w:val="28"/>
        </w:rPr>
      </w:pPr>
    </w:p>
    <w:p w14:paraId="141B067A">
      <w:pPr>
        <w:spacing w:line="360" w:lineRule="auto"/>
        <w:outlineLvl w:val="1"/>
        <w:rPr>
          <w:rFonts w:ascii="宋体" w:hAnsi="宋体" w:cs="宋体"/>
          <w:b/>
          <w:color w:val="000000"/>
          <w:sz w:val="28"/>
          <w:szCs w:val="28"/>
        </w:rPr>
      </w:pPr>
    </w:p>
    <w:p w14:paraId="15879B24">
      <w:pPr>
        <w:spacing w:line="360" w:lineRule="auto"/>
        <w:outlineLvl w:val="1"/>
        <w:rPr>
          <w:rFonts w:ascii="宋体" w:hAnsi="宋体" w:cs="宋体"/>
          <w:b/>
          <w:color w:val="000000"/>
          <w:sz w:val="28"/>
          <w:szCs w:val="28"/>
        </w:rPr>
      </w:pPr>
    </w:p>
    <w:p w14:paraId="52B3DC1A">
      <w:pPr>
        <w:spacing w:line="360" w:lineRule="auto"/>
        <w:outlineLvl w:val="1"/>
        <w:rPr>
          <w:rFonts w:ascii="宋体" w:hAnsi="宋体" w:cs="宋体"/>
          <w:b/>
          <w:color w:val="000000"/>
          <w:sz w:val="28"/>
          <w:szCs w:val="28"/>
        </w:rPr>
      </w:pPr>
    </w:p>
    <w:p w14:paraId="3BD9906D">
      <w:pPr>
        <w:spacing w:line="360" w:lineRule="auto"/>
        <w:outlineLvl w:val="1"/>
        <w:rPr>
          <w:rFonts w:ascii="宋体" w:hAnsi="宋体" w:cs="宋体"/>
          <w:b/>
          <w:color w:val="000000"/>
          <w:sz w:val="28"/>
          <w:szCs w:val="28"/>
        </w:rPr>
      </w:pPr>
    </w:p>
    <w:p w14:paraId="063643F8">
      <w:pPr>
        <w:spacing w:line="360" w:lineRule="auto"/>
        <w:outlineLvl w:val="1"/>
        <w:rPr>
          <w:rFonts w:ascii="宋体" w:hAnsi="宋体" w:cs="宋体"/>
          <w:b/>
          <w:color w:val="000000"/>
          <w:sz w:val="28"/>
          <w:szCs w:val="28"/>
        </w:rPr>
      </w:pPr>
    </w:p>
    <w:p w14:paraId="4070A43B">
      <w:pPr>
        <w:spacing w:line="360" w:lineRule="auto"/>
        <w:outlineLvl w:val="1"/>
        <w:rPr>
          <w:rFonts w:ascii="宋体" w:hAnsi="宋体" w:cs="宋体"/>
          <w:b/>
          <w:color w:val="000000"/>
          <w:sz w:val="28"/>
          <w:szCs w:val="28"/>
        </w:rPr>
      </w:pPr>
    </w:p>
    <w:p w14:paraId="141ED6A1">
      <w:pPr>
        <w:spacing w:line="360" w:lineRule="auto"/>
        <w:outlineLvl w:val="1"/>
        <w:rPr>
          <w:rFonts w:ascii="宋体" w:hAnsi="宋体" w:cs="宋体"/>
          <w:b/>
          <w:color w:val="000000"/>
          <w:sz w:val="28"/>
          <w:szCs w:val="28"/>
        </w:rPr>
      </w:pPr>
    </w:p>
    <w:p w14:paraId="227EC8B8">
      <w:pPr>
        <w:spacing w:line="360" w:lineRule="auto"/>
        <w:outlineLvl w:val="1"/>
        <w:rPr>
          <w:rFonts w:ascii="宋体" w:hAnsi="宋体" w:cs="宋体"/>
          <w:b/>
          <w:color w:val="000000"/>
          <w:sz w:val="28"/>
          <w:szCs w:val="28"/>
        </w:rPr>
      </w:pPr>
    </w:p>
    <w:p w14:paraId="72FDEEB4">
      <w:pPr>
        <w:spacing w:line="360" w:lineRule="auto"/>
        <w:outlineLvl w:val="1"/>
        <w:rPr>
          <w:rFonts w:ascii="宋体" w:hAnsi="宋体" w:cs="宋体"/>
          <w:b/>
          <w:color w:val="000000"/>
          <w:sz w:val="28"/>
          <w:szCs w:val="28"/>
        </w:rPr>
      </w:pPr>
    </w:p>
    <w:p w14:paraId="601BF61D">
      <w:pPr>
        <w:spacing w:line="360" w:lineRule="auto"/>
        <w:outlineLvl w:val="1"/>
        <w:rPr>
          <w:rFonts w:ascii="宋体" w:hAnsi="宋体" w:cs="宋体"/>
          <w:b/>
          <w:color w:val="000000"/>
          <w:sz w:val="28"/>
          <w:szCs w:val="28"/>
        </w:rPr>
      </w:pPr>
    </w:p>
    <w:p w14:paraId="4ADE5F55">
      <w:pPr>
        <w:spacing w:line="360" w:lineRule="auto"/>
        <w:outlineLvl w:val="1"/>
        <w:rPr>
          <w:rFonts w:ascii="宋体" w:hAnsi="宋体" w:cs="宋体"/>
          <w:b/>
          <w:color w:val="000000"/>
          <w:sz w:val="28"/>
          <w:szCs w:val="28"/>
        </w:rPr>
      </w:pPr>
    </w:p>
    <w:p w14:paraId="15966CCF">
      <w:pPr>
        <w:spacing w:line="360" w:lineRule="auto"/>
        <w:outlineLvl w:val="1"/>
        <w:rPr>
          <w:rFonts w:ascii="宋体" w:hAnsi="宋体" w:cs="宋体"/>
          <w:b/>
          <w:color w:val="000000"/>
          <w:sz w:val="28"/>
          <w:szCs w:val="28"/>
        </w:rPr>
      </w:pPr>
    </w:p>
    <w:p w14:paraId="54DB4F0E">
      <w:pPr>
        <w:spacing w:line="360" w:lineRule="auto"/>
        <w:outlineLvl w:val="1"/>
        <w:rPr>
          <w:rFonts w:ascii="宋体" w:hAnsi="宋体" w:cs="宋体"/>
          <w:b/>
          <w:color w:val="000000"/>
          <w:sz w:val="28"/>
          <w:szCs w:val="28"/>
        </w:rPr>
      </w:pPr>
    </w:p>
    <w:p w14:paraId="7941A464">
      <w:pPr>
        <w:spacing w:line="360" w:lineRule="auto"/>
        <w:outlineLvl w:val="1"/>
        <w:rPr>
          <w:rFonts w:ascii="宋体" w:hAnsi="宋体" w:cs="宋体"/>
          <w:b/>
          <w:color w:val="000000"/>
          <w:sz w:val="28"/>
          <w:szCs w:val="28"/>
        </w:rPr>
      </w:pPr>
    </w:p>
    <w:p w14:paraId="7B39842A">
      <w:pPr>
        <w:spacing w:line="360" w:lineRule="auto"/>
        <w:outlineLvl w:val="1"/>
        <w:rPr>
          <w:rFonts w:ascii="宋体" w:hAnsi="宋体" w:cs="宋体"/>
          <w:b/>
          <w:color w:val="000000"/>
          <w:sz w:val="28"/>
          <w:szCs w:val="28"/>
        </w:rPr>
      </w:pPr>
    </w:p>
    <w:p w14:paraId="1E2DCFAF">
      <w:pPr>
        <w:spacing w:line="360" w:lineRule="auto"/>
        <w:outlineLvl w:val="1"/>
        <w:rPr>
          <w:rFonts w:ascii="宋体" w:hAnsi="宋体" w:cs="宋体"/>
          <w:b/>
          <w:color w:val="000000"/>
          <w:sz w:val="28"/>
          <w:szCs w:val="28"/>
        </w:rPr>
      </w:pPr>
    </w:p>
    <w:p w14:paraId="21DE0B5F">
      <w:pPr>
        <w:spacing w:line="360" w:lineRule="auto"/>
        <w:outlineLvl w:val="1"/>
        <w:rPr>
          <w:rFonts w:ascii="宋体" w:hAnsi="宋体" w:cs="宋体"/>
          <w:b/>
          <w:color w:val="000000"/>
          <w:sz w:val="28"/>
          <w:szCs w:val="28"/>
        </w:rPr>
      </w:pPr>
      <w:r>
        <w:rPr>
          <w:rFonts w:ascii="宋体" w:hAnsi="宋体" w:cs="宋体"/>
          <w:b/>
          <w:color w:val="000000"/>
          <w:sz w:val="28"/>
          <w:szCs w:val="28"/>
        </w:rPr>
        <w:t>附件A:废标条件</w:t>
      </w:r>
      <w:bookmarkEnd w:id="193"/>
      <w:bookmarkEnd w:id="194"/>
      <w:bookmarkEnd w:id="195"/>
      <w:bookmarkEnd w:id="196"/>
      <w:bookmarkEnd w:id="197"/>
      <w:bookmarkEnd w:id="198"/>
      <w:bookmarkEnd w:id="199"/>
      <w:bookmarkEnd w:id="200"/>
      <w:bookmarkEnd w:id="201"/>
      <w:bookmarkEnd w:id="202"/>
      <w:bookmarkEnd w:id="203"/>
      <w:bookmarkEnd w:id="204"/>
      <w:bookmarkEnd w:id="305"/>
    </w:p>
    <w:p w14:paraId="20CB7C0F">
      <w:pPr>
        <w:spacing w:line="360" w:lineRule="auto"/>
        <w:jc w:val="center"/>
        <w:outlineLvl w:val="1"/>
        <w:rPr>
          <w:rFonts w:ascii="宋体" w:hAnsi="宋体" w:cs="宋体"/>
          <w:b/>
          <w:color w:val="000000"/>
          <w:sz w:val="28"/>
          <w:szCs w:val="28"/>
        </w:rPr>
      </w:pPr>
      <w:bookmarkStart w:id="306" w:name="_Toc23002"/>
      <w:bookmarkStart w:id="307" w:name="_Toc18948"/>
      <w:r>
        <w:rPr>
          <w:rFonts w:ascii="宋体" w:hAnsi="宋体" w:cs="宋体"/>
          <w:b/>
          <w:color w:val="000000"/>
          <w:sz w:val="28"/>
          <w:szCs w:val="28"/>
        </w:rPr>
        <w:t>废 标 条 件</w:t>
      </w:r>
      <w:bookmarkEnd w:id="306"/>
      <w:bookmarkEnd w:id="307"/>
    </w:p>
    <w:p w14:paraId="3C33E529">
      <w:pPr>
        <w:spacing w:line="360" w:lineRule="auto"/>
        <w:rPr>
          <w:rFonts w:ascii="宋体" w:hAnsi="宋体" w:cs="宋体"/>
          <w:color w:val="000000"/>
          <w:spacing w:val="4"/>
          <w:sz w:val="28"/>
          <w:szCs w:val="28"/>
        </w:rPr>
      </w:pPr>
      <w:r>
        <w:rPr>
          <w:rFonts w:ascii="宋体" w:hAnsi="宋体" w:cs="宋体"/>
          <w:color w:val="000000"/>
          <w:spacing w:val="4"/>
          <w:sz w:val="28"/>
          <w:szCs w:val="28"/>
        </w:rPr>
        <w:t>A0. 总  则</w:t>
      </w:r>
    </w:p>
    <w:p w14:paraId="345EF70F">
      <w:pPr>
        <w:spacing w:line="360" w:lineRule="auto"/>
        <w:ind w:firstLine="576" w:firstLineChars="200"/>
        <w:rPr>
          <w:rFonts w:ascii="宋体" w:hAnsi="宋体" w:cs="宋体"/>
          <w:color w:val="000000"/>
          <w:spacing w:val="4"/>
          <w:sz w:val="28"/>
          <w:szCs w:val="28"/>
        </w:rPr>
      </w:pPr>
      <w:r>
        <w:rPr>
          <w:rFonts w:ascii="宋体" w:hAnsi="宋体" w:cs="宋体"/>
          <w:color w:val="000000"/>
          <w:spacing w:val="4"/>
          <w:sz w:val="28"/>
          <w:szCs w:val="28"/>
        </w:rPr>
        <w:t>本附件所集中所示的否决投标条件，是本章“评标办法”的组成部分，是对本章正文部分所归定否决投标条件的总结和补充，如果出现相互矛盾的情况，以本章正文部分的规定为准。</w:t>
      </w:r>
    </w:p>
    <w:p w14:paraId="78564013">
      <w:pPr>
        <w:spacing w:line="360" w:lineRule="auto"/>
        <w:rPr>
          <w:rFonts w:ascii="宋体" w:hAnsi="宋体" w:cs="宋体"/>
          <w:color w:val="000000"/>
          <w:spacing w:val="4"/>
          <w:sz w:val="28"/>
          <w:szCs w:val="28"/>
        </w:rPr>
      </w:pPr>
      <w:r>
        <w:rPr>
          <w:rFonts w:ascii="宋体" w:hAnsi="宋体" w:cs="宋体"/>
          <w:color w:val="000000"/>
          <w:spacing w:val="4"/>
          <w:sz w:val="28"/>
          <w:szCs w:val="28"/>
        </w:rPr>
        <w:t>A1. 否决投标条件</w:t>
      </w:r>
    </w:p>
    <w:p w14:paraId="7D4E75E9">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供应商或其响应文件有下列情形之一的，否决其投标：</w:t>
      </w:r>
    </w:p>
    <w:p w14:paraId="1293F657">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（1）投标单位未经过正常渠道领取</w:t>
      </w:r>
      <w:r>
        <w:rPr>
          <w:rFonts w:ascii="宋体" w:hAnsi="宋体" w:cs="宋体"/>
          <w:color w:val="000000"/>
          <w:sz w:val="28"/>
          <w:szCs w:val="28"/>
        </w:rPr>
        <w:t>竞争性磋商文件</w:t>
      </w:r>
      <w:r>
        <w:rPr>
          <w:rFonts w:ascii="宋体" w:hAnsi="宋体" w:cs="宋体"/>
          <w:color w:val="000000"/>
          <w:spacing w:val="4"/>
          <w:sz w:val="28"/>
          <w:szCs w:val="28"/>
        </w:rPr>
        <w:t>，或投标单位名称与领取</w:t>
      </w:r>
      <w:r>
        <w:rPr>
          <w:rFonts w:ascii="宋体" w:hAnsi="宋体" w:cs="宋体"/>
          <w:color w:val="000000"/>
          <w:sz w:val="28"/>
          <w:szCs w:val="28"/>
        </w:rPr>
        <w:t>竞争性磋商文件</w:t>
      </w:r>
      <w:r>
        <w:rPr>
          <w:rFonts w:ascii="宋体" w:hAnsi="宋体" w:cs="宋体"/>
          <w:color w:val="000000"/>
          <w:spacing w:val="4"/>
          <w:sz w:val="28"/>
          <w:szCs w:val="28"/>
        </w:rPr>
        <w:t>时登记的投标单位名称不符的；</w:t>
      </w:r>
    </w:p>
    <w:p w14:paraId="4A80F634">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（2）未</w:t>
      </w:r>
      <w:r>
        <w:rPr>
          <w:rFonts w:ascii="宋体" w:hAnsi="宋体" w:cs="宋体"/>
          <w:color w:val="000000"/>
          <w:sz w:val="28"/>
          <w:szCs w:val="28"/>
        </w:rPr>
        <w:t>竞争性磋商文件</w:t>
      </w:r>
      <w:r>
        <w:rPr>
          <w:rFonts w:ascii="宋体" w:hAnsi="宋体" w:cs="宋体"/>
          <w:color w:val="000000"/>
          <w:spacing w:val="4"/>
          <w:sz w:val="28"/>
          <w:szCs w:val="28"/>
        </w:rPr>
        <w:t>规定要求签署、盖章的；无响应有效期或有效期达不到</w:t>
      </w:r>
      <w:r>
        <w:rPr>
          <w:rFonts w:ascii="宋体" w:hAnsi="宋体" w:cs="宋体"/>
          <w:color w:val="000000"/>
          <w:sz w:val="28"/>
          <w:szCs w:val="28"/>
        </w:rPr>
        <w:t>竞争性磋商文件</w:t>
      </w:r>
      <w:r>
        <w:rPr>
          <w:rFonts w:ascii="宋体" w:hAnsi="宋体" w:cs="宋体"/>
          <w:color w:val="000000"/>
          <w:spacing w:val="4"/>
          <w:sz w:val="28"/>
          <w:szCs w:val="28"/>
        </w:rPr>
        <w:t>要求的；</w:t>
      </w:r>
    </w:p>
    <w:p w14:paraId="3BD59B6E">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（3）响应文件未按照响应文件格式及内容要求填写的；</w:t>
      </w:r>
    </w:p>
    <w:p w14:paraId="7B4A7C79">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（4）投标单位针对同一项目递交两份或多份内容不同的响应文件，未书面声明哪一份是有效的或出现选择性报价的；</w:t>
      </w:r>
    </w:p>
    <w:p w14:paraId="326F8726">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（5）未按</w:t>
      </w:r>
      <w:r>
        <w:rPr>
          <w:rFonts w:ascii="宋体" w:hAnsi="宋体" w:cs="宋体"/>
          <w:color w:val="000000"/>
          <w:sz w:val="28"/>
          <w:szCs w:val="28"/>
        </w:rPr>
        <w:t>竞争性磋商文件</w:t>
      </w:r>
      <w:r>
        <w:rPr>
          <w:rFonts w:ascii="宋体" w:hAnsi="宋体" w:cs="宋体"/>
          <w:color w:val="000000"/>
          <w:spacing w:val="4"/>
          <w:sz w:val="28"/>
          <w:szCs w:val="28"/>
        </w:rPr>
        <w:t>要求提供资格证明文件或提供的缺项；</w:t>
      </w:r>
    </w:p>
    <w:p w14:paraId="4F3E4F80">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（6）提供虚假资质、虚假证明（包括第三方提供的虚假证明）的，除按无效文件处理外，还将按照有关规定进行处罚；</w:t>
      </w:r>
    </w:p>
    <w:p w14:paraId="54C2CA80">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（7）附有采购人、采购代理机构不能接受的条款和商务响应方面（付款条件、</w:t>
      </w:r>
      <w:r>
        <w:rPr>
          <w:rFonts w:hint="eastAsia" w:ascii="宋体" w:hAnsi="宋体" w:cs="宋体"/>
          <w:color w:val="000000"/>
          <w:spacing w:val="4"/>
          <w:sz w:val="28"/>
          <w:szCs w:val="28"/>
          <w:lang w:eastAsia="zh-CN"/>
        </w:rPr>
        <w:t>服务期</w:t>
      </w:r>
      <w:r>
        <w:rPr>
          <w:rFonts w:ascii="宋体" w:hAnsi="宋体" w:cs="宋体"/>
          <w:color w:val="000000"/>
          <w:spacing w:val="4"/>
          <w:sz w:val="28"/>
          <w:szCs w:val="28"/>
        </w:rPr>
        <w:t>）与</w:t>
      </w:r>
      <w:r>
        <w:rPr>
          <w:rFonts w:ascii="宋体" w:hAnsi="宋体" w:cs="宋体"/>
          <w:color w:val="000000"/>
          <w:sz w:val="28"/>
          <w:szCs w:val="28"/>
        </w:rPr>
        <w:t>竞争性磋商文件</w:t>
      </w:r>
      <w:r>
        <w:rPr>
          <w:rFonts w:ascii="宋体" w:hAnsi="宋体" w:cs="宋体"/>
          <w:color w:val="000000"/>
          <w:spacing w:val="4"/>
          <w:sz w:val="28"/>
          <w:szCs w:val="28"/>
        </w:rPr>
        <w:t>要求不一致的；</w:t>
      </w:r>
    </w:p>
    <w:p w14:paraId="283FA801">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（8）在政府采购或其它重大项目履约过程中有不良记录，不能按期履约的；</w:t>
      </w:r>
    </w:p>
    <w:p w14:paraId="364638AD">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（9）投标报价与市场价偏离较大，低于成本，形成不正当竞争的；</w:t>
      </w:r>
    </w:p>
    <w:p w14:paraId="087AD0E6">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（10）有重大缺漏项的；</w:t>
      </w:r>
    </w:p>
    <w:p w14:paraId="05526567">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（11）供应商无法定代表人授权书或其授权书的有效性不符合</w:t>
      </w:r>
      <w:r>
        <w:rPr>
          <w:rFonts w:ascii="宋体" w:hAnsi="宋体" w:cs="宋体"/>
          <w:color w:val="000000"/>
          <w:sz w:val="28"/>
          <w:szCs w:val="28"/>
        </w:rPr>
        <w:t>竞争性磋商文件</w:t>
      </w:r>
      <w:r>
        <w:rPr>
          <w:rFonts w:ascii="宋体" w:hAnsi="宋体" w:cs="宋体"/>
          <w:color w:val="000000"/>
          <w:spacing w:val="4"/>
          <w:sz w:val="28"/>
          <w:szCs w:val="28"/>
        </w:rPr>
        <w:t>规定的；</w:t>
      </w:r>
    </w:p>
    <w:p w14:paraId="0C16FB2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（12）供应商有串通投标、弄虚作假、行贿等违法行为的。</w:t>
      </w:r>
    </w:p>
    <w:p w14:paraId="2DB7D7F7">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（13）投标内容不完整；</w:t>
      </w:r>
    </w:p>
    <w:p w14:paraId="70976BEF">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（14）供应商的商务响应达不到</w:t>
      </w:r>
      <w:r>
        <w:rPr>
          <w:rFonts w:ascii="宋体" w:hAnsi="宋体" w:cs="宋体"/>
          <w:color w:val="000000"/>
          <w:sz w:val="28"/>
          <w:szCs w:val="28"/>
          <w:highlight w:val="none"/>
        </w:rPr>
        <w:t>竞争性磋商文件</w:t>
      </w:r>
      <w:r>
        <w:rPr>
          <w:rFonts w:ascii="宋体" w:hAnsi="宋体" w:cs="宋体"/>
          <w:color w:val="000000"/>
          <w:spacing w:val="4"/>
          <w:sz w:val="28"/>
          <w:szCs w:val="28"/>
          <w:highlight w:val="none"/>
        </w:rPr>
        <w:t>要求；</w:t>
      </w:r>
    </w:p>
    <w:p w14:paraId="372A9497">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（15）不按评标委员会要求澄清、说明或补正的。</w:t>
      </w:r>
    </w:p>
    <w:p w14:paraId="29DD836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pP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16</w:t>
      </w:r>
      <w:r>
        <w:rPr>
          <w:rFonts w:hint="eastAsia" w:ascii="宋体" w:hAnsi="宋体" w:eastAsia="宋体" w:cs="宋体"/>
          <w:bCs/>
          <w:color w:val="auto"/>
          <w:sz w:val="28"/>
          <w:szCs w:val="28"/>
        </w:rPr>
        <w:t>）</w:t>
      </w:r>
      <w:r>
        <w:rPr>
          <w:rFonts w:hint="eastAsia" w:ascii="宋体" w:hAnsi="宋体" w:eastAsia="宋体" w:cs="宋体"/>
          <w:b w:val="0"/>
          <w:bCs/>
          <w:color w:val="auto"/>
          <w:kern w:val="2"/>
          <w:sz w:val="28"/>
          <w:szCs w:val="28"/>
          <w:lang w:val="en-US" w:eastAsia="zh-CN" w:bidi="ar-SA"/>
        </w:rPr>
        <w:t>中小企业声明函未按要求填写，或填写信息有误的。</w:t>
      </w:r>
    </w:p>
    <w:p w14:paraId="7BD993F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w:t>
      </w:r>
      <w:r>
        <w:rPr>
          <w:rFonts w:hint="eastAsia" w:ascii="宋体" w:hAnsi="宋体" w:cs="宋体"/>
          <w:color w:val="000000"/>
          <w:spacing w:val="4"/>
          <w:sz w:val="28"/>
          <w:szCs w:val="28"/>
          <w:lang w:val="en-US" w:eastAsia="zh-CN"/>
        </w:rPr>
        <w:t>7</w:t>
      </w:r>
      <w:r>
        <w:rPr>
          <w:rFonts w:ascii="宋体" w:hAnsi="宋体" w:cs="宋体"/>
          <w:color w:val="000000"/>
          <w:spacing w:val="4"/>
          <w:sz w:val="28"/>
          <w:szCs w:val="28"/>
        </w:rPr>
        <w:t>）评标委员会认定供应商以低于成本报价竞标的。</w:t>
      </w:r>
    </w:p>
    <w:p w14:paraId="629C6E71">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w:t>
      </w:r>
      <w:r>
        <w:rPr>
          <w:rFonts w:hint="eastAsia" w:ascii="宋体" w:hAnsi="宋体" w:cs="宋体"/>
          <w:color w:val="000000"/>
          <w:spacing w:val="4"/>
          <w:sz w:val="28"/>
          <w:szCs w:val="28"/>
          <w:lang w:val="en-US" w:eastAsia="zh-CN"/>
        </w:rPr>
        <w:t>8</w:t>
      </w:r>
      <w:r>
        <w:rPr>
          <w:rFonts w:ascii="宋体" w:hAnsi="宋体" w:cs="宋体"/>
          <w:color w:val="000000"/>
          <w:spacing w:val="4"/>
          <w:sz w:val="28"/>
          <w:szCs w:val="28"/>
        </w:rPr>
        <w:t>）其他经评标委员会确认的未能实质性响应</w:t>
      </w:r>
      <w:r>
        <w:rPr>
          <w:rFonts w:ascii="宋体" w:hAnsi="宋体" w:cs="宋体"/>
          <w:color w:val="000000"/>
          <w:sz w:val="28"/>
          <w:szCs w:val="28"/>
        </w:rPr>
        <w:t>竞争性磋商文件</w:t>
      </w:r>
      <w:r>
        <w:rPr>
          <w:rFonts w:ascii="宋体" w:hAnsi="宋体" w:cs="宋体"/>
          <w:color w:val="000000"/>
          <w:spacing w:val="4"/>
          <w:sz w:val="28"/>
          <w:szCs w:val="28"/>
        </w:rPr>
        <w:t>要求的。</w:t>
      </w:r>
    </w:p>
    <w:p w14:paraId="470C6B60">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w:t>
      </w:r>
      <w:r>
        <w:rPr>
          <w:rFonts w:hint="eastAsia" w:ascii="宋体" w:hAnsi="宋体" w:cs="宋体"/>
          <w:color w:val="000000"/>
          <w:spacing w:val="4"/>
          <w:sz w:val="28"/>
          <w:szCs w:val="28"/>
          <w:lang w:val="en-US" w:eastAsia="zh-CN"/>
        </w:rPr>
        <w:t>19</w:t>
      </w:r>
      <w:r>
        <w:rPr>
          <w:rFonts w:ascii="宋体" w:hAnsi="宋体" w:cs="宋体"/>
          <w:color w:val="000000"/>
          <w:spacing w:val="4"/>
          <w:sz w:val="28"/>
          <w:szCs w:val="28"/>
        </w:rPr>
        <w:t>）未按时缴纳</w:t>
      </w:r>
      <w:r>
        <w:rPr>
          <w:rFonts w:hint="eastAsia" w:ascii="宋体" w:hAnsi="宋体" w:cs="宋体"/>
          <w:color w:val="000000"/>
          <w:spacing w:val="4"/>
          <w:sz w:val="28"/>
          <w:szCs w:val="28"/>
          <w:lang w:eastAsia="zh-CN"/>
        </w:rPr>
        <w:t>磋商保证金</w:t>
      </w:r>
      <w:r>
        <w:rPr>
          <w:rFonts w:ascii="宋体" w:hAnsi="宋体" w:cs="宋体"/>
          <w:color w:val="000000"/>
          <w:spacing w:val="4"/>
          <w:sz w:val="28"/>
          <w:szCs w:val="28"/>
        </w:rPr>
        <w:t>的。</w:t>
      </w:r>
    </w:p>
    <w:p w14:paraId="61DF2EB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A2 . 串通投标</w:t>
      </w:r>
    </w:p>
    <w:p w14:paraId="4EA9BE9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有下列情形之一的，属于供应商相互串通投标：</w:t>
      </w:r>
    </w:p>
    <w:p w14:paraId="790C72C5">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（1）供应商之间协商投标报价等响应文件的实质性内容；</w:t>
      </w:r>
    </w:p>
    <w:p w14:paraId="06AF8671">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（2）供应商之间约定成交供应商；</w:t>
      </w:r>
    </w:p>
    <w:p w14:paraId="41341890">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（3）供应商之间约定部分供应商放弃投标或者成交；</w:t>
      </w:r>
    </w:p>
    <w:p w14:paraId="4BA14978">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（4）属于同一集团、协会、商会等组织成员的供应商按照该组织要求协同投标；</w:t>
      </w:r>
    </w:p>
    <w:p w14:paraId="39A5850F">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（5）供应商之间为谋取成交或者排斥特定供应商而采取的其他联合行动。</w:t>
      </w:r>
    </w:p>
    <w:p w14:paraId="150A7248">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有下列情形之一的，视为供应商相互串通投标：</w:t>
      </w:r>
    </w:p>
    <w:p w14:paraId="6A87FB95">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（1）不同供应商的响应文件由同一单位或者个人编制；</w:t>
      </w:r>
    </w:p>
    <w:p w14:paraId="435F5003">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（2）不同供应商委托同一单位或者个人办理投标事宜；</w:t>
      </w:r>
    </w:p>
    <w:p w14:paraId="728B353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（3）不同供应商的响应文件载明的项目管理成员为同一人；</w:t>
      </w:r>
    </w:p>
    <w:p w14:paraId="711D3188">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（4）不同供应商的响应文件异常一致或者投标报价呈规律性差异；</w:t>
      </w:r>
    </w:p>
    <w:p w14:paraId="432ECB68">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（5）不同供应商的响应文件相互混装；</w:t>
      </w:r>
    </w:p>
    <w:p w14:paraId="15309259">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（6）不同供应商的</w:t>
      </w:r>
      <w:r>
        <w:rPr>
          <w:rFonts w:hint="eastAsia" w:ascii="宋体" w:hAnsi="宋体" w:cs="宋体"/>
          <w:color w:val="000000"/>
          <w:spacing w:val="4"/>
          <w:sz w:val="28"/>
          <w:szCs w:val="28"/>
          <w:lang w:eastAsia="zh-CN"/>
        </w:rPr>
        <w:t>磋商保证金</w:t>
      </w:r>
      <w:r>
        <w:rPr>
          <w:rFonts w:ascii="宋体" w:hAnsi="宋体" w:cs="宋体"/>
          <w:color w:val="000000"/>
          <w:spacing w:val="4"/>
          <w:sz w:val="28"/>
          <w:szCs w:val="28"/>
        </w:rPr>
        <w:t>从同一单位或者个人的账户转出。</w:t>
      </w:r>
    </w:p>
    <w:p w14:paraId="45109C3E">
      <w:pPr>
        <w:spacing w:line="360" w:lineRule="auto"/>
        <w:rPr>
          <w:rFonts w:ascii="宋体" w:hAnsi="宋体" w:cs="宋体"/>
          <w:color w:val="000000"/>
          <w:spacing w:val="4"/>
          <w:sz w:val="28"/>
          <w:szCs w:val="28"/>
        </w:rPr>
      </w:pPr>
      <w:r>
        <w:rPr>
          <w:rFonts w:ascii="宋体" w:hAnsi="宋体" w:cs="宋体"/>
          <w:color w:val="000000"/>
          <w:spacing w:val="4"/>
          <w:sz w:val="28"/>
          <w:szCs w:val="28"/>
        </w:rPr>
        <w:t>A3. 弄虚作假</w:t>
      </w:r>
    </w:p>
    <w:p w14:paraId="384D4C9E">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供应商有下列情形之一的，属于弄虚作假的行为：</w:t>
      </w:r>
    </w:p>
    <w:p w14:paraId="13D4A5CC">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1</w:t>
      </w:r>
      <w:r>
        <w:rPr>
          <w:rFonts w:hint="eastAsia" w:ascii="宋体" w:hAnsi="宋体" w:cs="宋体"/>
          <w:color w:val="000000"/>
          <w:spacing w:val="4"/>
          <w:sz w:val="28"/>
          <w:szCs w:val="28"/>
          <w:lang w:eastAsia="zh-CN"/>
        </w:rPr>
        <w:t>）</w:t>
      </w:r>
      <w:r>
        <w:rPr>
          <w:rFonts w:ascii="宋体" w:hAnsi="宋体" w:cs="宋体"/>
          <w:color w:val="000000"/>
          <w:spacing w:val="4"/>
          <w:sz w:val="28"/>
          <w:szCs w:val="28"/>
        </w:rPr>
        <w:t xml:space="preserve"> 使用伪造、变造的许可证件；</w:t>
      </w:r>
    </w:p>
    <w:p w14:paraId="5A78E610">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2</w:t>
      </w:r>
      <w:r>
        <w:rPr>
          <w:rFonts w:hint="eastAsia" w:ascii="宋体" w:hAnsi="宋体" w:cs="宋体"/>
          <w:color w:val="000000"/>
          <w:spacing w:val="4"/>
          <w:sz w:val="28"/>
          <w:szCs w:val="28"/>
          <w:lang w:eastAsia="zh-CN"/>
        </w:rPr>
        <w:t>）</w:t>
      </w:r>
      <w:r>
        <w:rPr>
          <w:rFonts w:ascii="宋体" w:hAnsi="宋体" w:cs="宋体"/>
          <w:color w:val="000000"/>
          <w:spacing w:val="4"/>
          <w:sz w:val="28"/>
          <w:szCs w:val="28"/>
        </w:rPr>
        <w:t>提供虚假的财务状况或者业绩；</w:t>
      </w:r>
    </w:p>
    <w:p w14:paraId="754D704C">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3</w:t>
      </w:r>
      <w:r>
        <w:rPr>
          <w:rFonts w:hint="eastAsia" w:ascii="宋体" w:hAnsi="宋体" w:cs="宋体"/>
          <w:color w:val="000000"/>
          <w:spacing w:val="4"/>
          <w:sz w:val="28"/>
          <w:szCs w:val="28"/>
          <w:lang w:eastAsia="zh-CN"/>
        </w:rPr>
        <w:t>）</w:t>
      </w:r>
      <w:r>
        <w:rPr>
          <w:rFonts w:ascii="宋体" w:hAnsi="宋体" w:cs="宋体"/>
          <w:color w:val="000000"/>
          <w:spacing w:val="4"/>
          <w:sz w:val="28"/>
          <w:szCs w:val="28"/>
        </w:rPr>
        <w:t xml:space="preserve"> 提供虚假的项目负责人或者技术人员简历、劳动关系证明；</w:t>
      </w:r>
    </w:p>
    <w:p w14:paraId="7A4FBB69">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4</w:t>
      </w:r>
      <w:r>
        <w:rPr>
          <w:rFonts w:hint="eastAsia" w:ascii="宋体" w:hAnsi="宋体" w:cs="宋体"/>
          <w:color w:val="000000"/>
          <w:spacing w:val="4"/>
          <w:sz w:val="28"/>
          <w:szCs w:val="28"/>
          <w:lang w:eastAsia="zh-CN"/>
        </w:rPr>
        <w:t>）</w:t>
      </w:r>
      <w:r>
        <w:rPr>
          <w:rFonts w:ascii="宋体" w:hAnsi="宋体" w:cs="宋体"/>
          <w:color w:val="000000"/>
          <w:spacing w:val="4"/>
          <w:sz w:val="28"/>
          <w:szCs w:val="28"/>
        </w:rPr>
        <w:t>提供虚假的信用状况；</w:t>
      </w:r>
    </w:p>
    <w:p w14:paraId="5658773D">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5</w:t>
      </w:r>
      <w:r>
        <w:rPr>
          <w:rFonts w:hint="eastAsia" w:ascii="宋体" w:hAnsi="宋体" w:cs="宋体"/>
          <w:color w:val="000000"/>
          <w:spacing w:val="4"/>
          <w:sz w:val="28"/>
          <w:szCs w:val="28"/>
          <w:lang w:eastAsia="zh-CN"/>
        </w:rPr>
        <w:t>）</w:t>
      </w:r>
      <w:r>
        <w:rPr>
          <w:rFonts w:ascii="宋体" w:hAnsi="宋体" w:cs="宋体"/>
          <w:color w:val="000000"/>
          <w:spacing w:val="4"/>
          <w:sz w:val="28"/>
          <w:szCs w:val="28"/>
        </w:rPr>
        <w:t xml:space="preserve"> 其他弄虚作假的行为。</w:t>
      </w:r>
    </w:p>
    <w:p w14:paraId="37A9BBDA">
      <w:pPr>
        <w:spacing w:line="360" w:lineRule="auto"/>
        <w:rPr>
          <w:rFonts w:ascii="宋体" w:hAnsi="宋体" w:cs="宋体"/>
          <w:color w:val="000000"/>
          <w:spacing w:val="4"/>
          <w:sz w:val="28"/>
          <w:szCs w:val="28"/>
        </w:rPr>
      </w:pPr>
    </w:p>
    <w:p w14:paraId="26D9102B">
      <w:pPr>
        <w:adjustRightInd w:val="0"/>
        <w:snapToGrid w:val="0"/>
        <w:spacing w:line="360" w:lineRule="auto"/>
        <w:rPr>
          <w:rFonts w:ascii="宋体" w:hAnsi="宋体" w:cs="宋体"/>
          <w:color w:val="000000"/>
          <w:sz w:val="28"/>
          <w:szCs w:val="28"/>
        </w:rPr>
      </w:pPr>
    </w:p>
    <w:p w14:paraId="232D48F8">
      <w:pPr>
        <w:adjustRightInd w:val="0"/>
        <w:snapToGrid w:val="0"/>
        <w:spacing w:line="360" w:lineRule="auto"/>
        <w:rPr>
          <w:rFonts w:ascii="宋体" w:hAnsi="宋体" w:cs="宋体"/>
          <w:color w:val="000000"/>
          <w:sz w:val="28"/>
          <w:szCs w:val="28"/>
        </w:rPr>
      </w:pPr>
    </w:p>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14:paraId="033B0D33">
      <w:pPr>
        <w:pStyle w:val="2"/>
        <w:jc w:val="center"/>
        <w:rPr>
          <w:rFonts w:ascii="宋体" w:hAnsi="宋体" w:cs="宋体"/>
          <w:color w:val="000000"/>
          <w:sz w:val="28"/>
          <w:szCs w:val="28"/>
        </w:rPr>
      </w:pPr>
    </w:p>
    <w:p w14:paraId="3023ABFD">
      <w:pPr>
        <w:rPr>
          <w:rFonts w:ascii="宋体" w:hAnsi="宋体" w:cs="宋体"/>
          <w:color w:val="000000"/>
          <w:sz w:val="28"/>
          <w:szCs w:val="28"/>
        </w:rPr>
      </w:pPr>
    </w:p>
    <w:p w14:paraId="0D185918">
      <w:pPr>
        <w:pStyle w:val="17"/>
        <w:rPr>
          <w:rFonts w:hint="eastAsia" w:ascii="宋体" w:hAnsi="宋体" w:cs="宋体"/>
          <w:color w:val="000000"/>
          <w:sz w:val="28"/>
          <w:szCs w:val="28"/>
        </w:rPr>
      </w:pPr>
    </w:p>
    <w:p w14:paraId="775C9847">
      <w:pPr>
        <w:rPr>
          <w:rFonts w:ascii="宋体" w:hAnsi="宋体" w:cs="宋体"/>
          <w:color w:val="000000"/>
          <w:sz w:val="28"/>
          <w:szCs w:val="28"/>
        </w:rPr>
      </w:pPr>
    </w:p>
    <w:p w14:paraId="69E1601D">
      <w:pPr>
        <w:pStyle w:val="17"/>
        <w:rPr>
          <w:rFonts w:hint="eastAsia" w:ascii="宋体" w:hAnsi="宋体" w:cs="宋体"/>
          <w:color w:val="000000"/>
          <w:sz w:val="28"/>
          <w:szCs w:val="28"/>
        </w:rPr>
      </w:pPr>
    </w:p>
    <w:p w14:paraId="5EF04C8D">
      <w:pPr>
        <w:rPr>
          <w:rFonts w:ascii="宋体" w:hAnsi="宋体" w:cs="宋体"/>
          <w:color w:val="000000"/>
          <w:sz w:val="28"/>
          <w:szCs w:val="28"/>
        </w:rPr>
      </w:pPr>
    </w:p>
    <w:p w14:paraId="4D537A46">
      <w:pPr>
        <w:pStyle w:val="17"/>
        <w:rPr>
          <w:rFonts w:hint="eastAsia" w:ascii="宋体" w:hAnsi="宋体" w:cs="宋体"/>
          <w:color w:val="000000"/>
          <w:sz w:val="28"/>
          <w:szCs w:val="28"/>
        </w:rPr>
      </w:pPr>
    </w:p>
    <w:p w14:paraId="204A7957">
      <w:pPr>
        <w:rPr>
          <w:rFonts w:ascii="宋体" w:hAnsi="宋体" w:cs="宋体"/>
          <w:color w:val="000000"/>
          <w:sz w:val="28"/>
          <w:szCs w:val="28"/>
        </w:rPr>
      </w:pPr>
    </w:p>
    <w:p w14:paraId="5E74EF26">
      <w:pPr>
        <w:pStyle w:val="17"/>
        <w:rPr>
          <w:rFonts w:hint="eastAsia" w:ascii="宋体" w:hAnsi="宋体" w:cs="宋体"/>
          <w:color w:val="000000"/>
          <w:sz w:val="28"/>
          <w:szCs w:val="28"/>
        </w:rPr>
      </w:pPr>
    </w:p>
    <w:p w14:paraId="762952E6">
      <w:pPr>
        <w:rPr>
          <w:rFonts w:ascii="宋体" w:hAnsi="宋体" w:cs="宋体"/>
          <w:color w:val="000000"/>
          <w:sz w:val="28"/>
          <w:szCs w:val="28"/>
        </w:rPr>
      </w:pPr>
    </w:p>
    <w:p w14:paraId="5E29F5D9">
      <w:pPr>
        <w:pStyle w:val="17"/>
        <w:rPr>
          <w:rFonts w:hint="eastAsia" w:ascii="宋体" w:hAnsi="宋体" w:cs="宋体"/>
          <w:color w:val="000000"/>
          <w:sz w:val="28"/>
          <w:szCs w:val="28"/>
        </w:rPr>
      </w:pPr>
    </w:p>
    <w:p w14:paraId="1C19AC55">
      <w:pPr>
        <w:rPr>
          <w:rFonts w:ascii="宋体" w:hAnsi="宋体" w:cs="宋体"/>
          <w:color w:val="000000"/>
          <w:sz w:val="28"/>
          <w:szCs w:val="28"/>
        </w:rPr>
      </w:pPr>
    </w:p>
    <w:p w14:paraId="3654D77D">
      <w:pPr>
        <w:pStyle w:val="17"/>
        <w:rPr>
          <w:rFonts w:hint="eastAsia" w:ascii="宋体" w:hAnsi="宋体" w:cs="宋体"/>
          <w:color w:val="000000"/>
          <w:sz w:val="28"/>
          <w:szCs w:val="28"/>
        </w:rPr>
      </w:pPr>
    </w:p>
    <w:p w14:paraId="6C402499">
      <w:pPr>
        <w:rPr>
          <w:rFonts w:ascii="宋体" w:hAnsi="宋体" w:cs="宋体"/>
          <w:color w:val="000000"/>
          <w:sz w:val="28"/>
          <w:szCs w:val="28"/>
        </w:rPr>
      </w:pPr>
    </w:p>
    <w:p w14:paraId="6E14EEB5">
      <w:pPr>
        <w:pStyle w:val="17"/>
        <w:rPr>
          <w:rFonts w:hint="eastAsia" w:ascii="宋体" w:hAnsi="宋体" w:cs="宋体"/>
          <w:color w:val="000000"/>
          <w:sz w:val="28"/>
          <w:szCs w:val="28"/>
        </w:rPr>
      </w:pPr>
    </w:p>
    <w:p w14:paraId="79761A8D">
      <w:pPr>
        <w:jc w:val="center"/>
        <w:rPr>
          <w:rFonts w:ascii="宋体" w:hAnsi="宋体" w:cs="宋体"/>
          <w:color w:val="auto"/>
          <w:sz w:val="28"/>
          <w:szCs w:val="28"/>
        </w:rPr>
      </w:pPr>
      <w:r>
        <w:rPr>
          <w:rFonts w:hint="default" w:ascii="宋体" w:hAnsi="宋体" w:cs="宋体"/>
          <w:color w:val="000000"/>
          <w:sz w:val="28"/>
          <w:szCs w:val="28"/>
        </w:rPr>
        <w:br w:type="page"/>
      </w:r>
      <w:bookmarkStart w:id="308" w:name="_Toc3747"/>
      <w:r>
        <w:rPr>
          <w:rStyle w:val="55"/>
        </w:rPr>
        <w:t>第四章 合同（拟签订</w:t>
      </w:r>
      <w:r>
        <w:rPr>
          <w:rStyle w:val="55"/>
          <w:rFonts w:hint="eastAsia"/>
          <w:lang w:val="en-US" w:eastAsia="zh-CN"/>
        </w:rPr>
        <w:t>合同</w:t>
      </w:r>
      <w:r>
        <w:rPr>
          <w:rStyle w:val="55"/>
        </w:rPr>
        <w:t>文本）</w:t>
      </w:r>
      <w:bookmarkEnd w:id="308"/>
    </w:p>
    <w:p w14:paraId="5EE87924">
      <w:pPr>
        <w:rPr>
          <w:color w:val="auto"/>
        </w:rPr>
      </w:pPr>
    </w:p>
    <w:p w14:paraId="5E6537E3">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spacing w:val="0"/>
          <w:sz w:val="28"/>
          <w:szCs w:val="28"/>
        </w:rPr>
      </w:pPr>
      <w:r>
        <w:rPr>
          <w:rFonts w:hint="eastAsia" w:ascii="宋体" w:hAnsi="宋体" w:eastAsia="宋体" w:cs="宋体"/>
          <w:bCs/>
          <w:spacing w:val="0"/>
          <w:sz w:val="28"/>
          <w:szCs w:val="28"/>
        </w:rPr>
        <w:t>甲方：</w:t>
      </w:r>
      <w:r>
        <w:rPr>
          <w:rFonts w:hint="eastAsia" w:ascii="宋体" w:hAnsi="宋体" w:eastAsia="宋体" w:cs="宋体"/>
          <w:bCs/>
          <w:spacing w:val="0"/>
          <w:sz w:val="28"/>
          <w:szCs w:val="28"/>
          <w:lang w:eastAsia="zh-CN"/>
        </w:rPr>
        <w:t>宜川县民政局</w:t>
      </w:r>
    </w:p>
    <w:p w14:paraId="3E28BC7C">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spacing w:val="0"/>
          <w:sz w:val="28"/>
          <w:szCs w:val="28"/>
        </w:rPr>
      </w:pPr>
      <w:r>
        <w:rPr>
          <w:rFonts w:hint="eastAsia" w:ascii="宋体" w:hAnsi="宋体" w:eastAsia="宋体" w:cs="宋体"/>
          <w:bCs/>
          <w:spacing w:val="0"/>
          <w:sz w:val="28"/>
          <w:szCs w:val="28"/>
        </w:rPr>
        <w:t>乙方：</w:t>
      </w:r>
    </w:p>
    <w:p w14:paraId="3E064442">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spacing w:val="0"/>
          <w:sz w:val="28"/>
          <w:szCs w:val="28"/>
          <w:lang w:eastAsia="zh-CN"/>
        </w:rPr>
      </w:pPr>
      <w:r>
        <w:rPr>
          <w:rFonts w:hint="eastAsia" w:ascii="宋体" w:hAnsi="宋体" w:eastAsia="宋体" w:cs="宋体"/>
          <w:bCs/>
          <w:spacing w:val="0"/>
          <w:sz w:val="28"/>
          <w:szCs w:val="28"/>
          <w:lang w:val="en-US" w:eastAsia="zh-CN"/>
        </w:rPr>
        <w:t>代理机构</w:t>
      </w:r>
      <w:r>
        <w:rPr>
          <w:rFonts w:hint="eastAsia" w:ascii="宋体" w:hAnsi="宋体" w:eastAsia="宋体" w:cs="宋体"/>
          <w:bCs/>
          <w:spacing w:val="0"/>
          <w:sz w:val="28"/>
          <w:szCs w:val="28"/>
          <w:lang w:eastAsia="zh-CN"/>
        </w:rPr>
        <w:t>：陕西宸永项目管理有限公司</w:t>
      </w:r>
    </w:p>
    <w:p w14:paraId="31EDBEF7">
      <w:pPr>
        <w:keepNext w:val="0"/>
        <w:keepLines w:val="0"/>
        <w:pageBreakBefore w:val="0"/>
        <w:kinsoku w:val="0"/>
        <w:wordWrap/>
        <w:overflowPunct/>
        <w:topLinePunct w:val="0"/>
        <w:autoSpaceDE/>
        <w:autoSpaceDN/>
        <w:bidi w:val="0"/>
        <w:adjustRightInd/>
        <w:spacing w:line="360" w:lineRule="auto"/>
        <w:ind w:firstLine="560" w:firstLineChars="200"/>
        <w:rPr>
          <w:rStyle w:val="73"/>
          <w:rFonts w:hint="eastAsia" w:ascii="宋体" w:hAnsi="宋体" w:eastAsia="宋体" w:cs="宋体"/>
          <w:b/>
          <w:bCs/>
          <w:i w:val="0"/>
          <w:caps w:val="0"/>
          <w:spacing w:val="0"/>
          <w:w w:val="100"/>
          <w:kern w:val="2"/>
          <w:sz w:val="28"/>
          <w:szCs w:val="28"/>
          <w:lang w:val="en-US" w:eastAsia="zh-CN" w:bidi="ar-SA"/>
        </w:rPr>
      </w:pPr>
      <w:r>
        <w:rPr>
          <w:rFonts w:hint="eastAsia" w:ascii="宋体" w:hAnsi="宋体" w:eastAsia="宋体" w:cs="宋体"/>
          <w:b w:val="0"/>
          <w:bCs/>
          <w:color w:val="000000"/>
          <w:sz w:val="28"/>
          <w:szCs w:val="28"/>
          <w:lang w:eastAsia="zh-CN"/>
        </w:rPr>
        <w:t>宜川县民政局</w:t>
      </w:r>
      <w:r>
        <w:rPr>
          <w:rFonts w:hint="eastAsia" w:ascii="宋体" w:hAnsi="宋体" w:eastAsia="宋体" w:cs="宋体"/>
          <w:bCs/>
          <w:spacing w:val="0"/>
          <w:sz w:val="28"/>
          <w:szCs w:val="28"/>
          <w:lang w:val="en-US" w:eastAsia="zh-CN"/>
        </w:rPr>
        <w:t>（以下简称甲方）</w:t>
      </w:r>
      <w:r>
        <w:rPr>
          <w:rFonts w:hint="eastAsia" w:ascii="宋体" w:hAnsi="宋体" w:eastAsia="宋体" w:cs="宋体"/>
          <w:spacing w:val="17"/>
          <w:sz w:val="28"/>
          <w:szCs w:val="28"/>
          <w:u w:val="single"/>
          <w:lang w:val="en-US" w:eastAsia="zh-CN"/>
        </w:rPr>
        <w:t>（采购项目名称）</w:t>
      </w:r>
      <w:r>
        <w:rPr>
          <w:rFonts w:hint="eastAsia" w:ascii="宋体" w:hAnsi="宋体" w:eastAsia="宋体" w:cs="宋体"/>
          <w:spacing w:val="17"/>
          <w:sz w:val="28"/>
          <w:szCs w:val="28"/>
          <w:lang w:val="en-US" w:eastAsia="zh-CN"/>
        </w:rPr>
        <w:t>项目</w:t>
      </w:r>
      <w:r>
        <w:rPr>
          <w:rFonts w:hint="eastAsia" w:ascii="宋体" w:hAnsi="宋体" w:eastAsia="宋体" w:cs="宋体"/>
          <w:spacing w:val="17"/>
          <w:sz w:val="28"/>
          <w:szCs w:val="28"/>
        </w:rPr>
        <w:t>，按照</w:t>
      </w:r>
      <w:r>
        <w:rPr>
          <w:rFonts w:hint="eastAsia" w:ascii="宋体" w:hAnsi="宋体" w:eastAsia="宋体" w:cs="宋体"/>
          <w:spacing w:val="17"/>
          <w:sz w:val="28"/>
          <w:szCs w:val="28"/>
          <w:lang w:eastAsia="zh-CN"/>
        </w:rPr>
        <w:t>招标</w:t>
      </w:r>
      <w:r>
        <w:rPr>
          <w:rFonts w:hint="eastAsia" w:ascii="宋体" w:hAnsi="宋体" w:eastAsia="宋体" w:cs="宋体"/>
          <w:spacing w:val="17"/>
          <w:sz w:val="28"/>
          <w:szCs w:val="28"/>
        </w:rPr>
        <w:t>程序，采用</w:t>
      </w:r>
      <w:r>
        <w:rPr>
          <w:rFonts w:hint="eastAsia" w:ascii="宋体" w:hAnsi="宋体" w:eastAsia="宋体" w:cs="宋体"/>
          <w:spacing w:val="17"/>
          <w:sz w:val="28"/>
          <w:szCs w:val="28"/>
          <w:lang w:eastAsia="zh-CN"/>
        </w:rPr>
        <w:t>竞争性磋商</w:t>
      </w:r>
      <w:r>
        <w:rPr>
          <w:rFonts w:hint="eastAsia" w:ascii="宋体" w:hAnsi="宋体" w:eastAsia="宋体" w:cs="宋体"/>
          <w:spacing w:val="17"/>
          <w:sz w:val="28"/>
          <w:szCs w:val="28"/>
        </w:rPr>
        <w:t>采购的方式，选定</w:t>
      </w:r>
      <w:r>
        <w:rPr>
          <w:rFonts w:hint="eastAsia" w:ascii="宋体" w:hAnsi="宋体" w:eastAsia="宋体" w:cs="宋体"/>
          <w:spacing w:val="17"/>
          <w:sz w:val="28"/>
          <w:szCs w:val="28"/>
          <w:u w:val="single"/>
        </w:rPr>
        <w:t xml:space="preserve">      </w:t>
      </w:r>
      <w:r>
        <w:rPr>
          <w:rFonts w:hint="eastAsia" w:ascii="宋体" w:hAnsi="宋体" w:eastAsia="宋体" w:cs="宋体"/>
          <w:spacing w:val="17"/>
          <w:sz w:val="28"/>
          <w:szCs w:val="28"/>
          <w:u w:val="single"/>
          <w:lang w:val="en-US" w:eastAsia="zh-CN"/>
        </w:rPr>
        <w:t xml:space="preserve">  </w:t>
      </w:r>
      <w:r>
        <w:rPr>
          <w:rFonts w:hint="eastAsia" w:ascii="宋体" w:hAnsi="宋体" w:eastAsia="宋体" w:cs="宋体"/>
          <w:spacing w:val="17"/>
          <w:sz w:val="28"/>
          <w:szCs w:val="28"/>
          <w:u w:val="single"/>
        </w:rPr>
        <w:t xml:space="preserve"> </w:t>
      </w:r>
      <w:r>
        <w:rPr>
          <w:rFonts w:hint="eastAsia" w:ascii="宋体" w:hAnsi="宋体" w:eastAsia="宋体" w:cs="宋体"/>
          <w:spacing w:val="17"/>
          <w:sz w:val="28"/>
          <w:szCs w:val="28"/>
        </w:rPr>
        <w:t>公司（以下简称乙方）为</w:t>
      </w:r>
      <w:r>
        <w:rPr>
          <w:rFonts w:hint="eastAsia" w:ascii="宋体" w:hAnsi="宋体" w:eastAsia="宋体" w:cs="宋体"/>
          <w:spacing w:val="17"/>
          <w:sz w:val="28"/>
          <w:szCs w:val="28"/>
          <w:lang w:eastAsia="zh-CN"/>
        </w:rPr>
        <w:t>成交供应商</w:t>
      </w:r>
      <w:r>
        <w:rPr>
          <w:rFonts w:hint="eastAsia" w:ascii="宋体" w:hAnsi="宋体" w:eastAsia="宋体" w:cs="宋体"/>
          <w:bCs/>
          <w:spacing w:val="17"/>
          <w:sz w:val="28"/>
          <w:szCs w:val="28"/>
        </w:rPr>
        <w:t>。依据国家《</w:t>
      </w:r>
      <w:r>
        <w:rPr>
          <w:rFonts w:hint="eastAsia" w:ascii="宋体" w:hAnsi="宋体" w:eastAsia="宋体" w:cs="宋体"/>
          <w:color w:val="000000"/>
          <w:spacing w:val="4"/>
          <w:sz w:val="28"/>
          <w:szCs w:val="28"/>
          <w:lang w:val="en-US" w:eastAsia="zh-CN"/>
        </w:rPr>
        <w:t>中华人民共和国民法典</w:t>
      </w:r>
      <w:r>
        <w:rPr>
          <w:rFonts w:hint="eastAsia" w:ascii="宋体" w:hAnsi="宋体" w:eastAsia="宋体" w:cs="宋体"/>
          <w:bCs/>
          <w:spacing w:val="17"/>
          <w:sz w:val="28"/>
          <w:szCs w:val="28"/>
        </w:rPr>
        <w:t>》及</w:t>
      </w:r>
      <w:r>
        <w:rPr>
          <w:rFonts w:hint="eastAsia" w:ascii="宋体" w:hAnsi="宋体" w:eastAsia="宋体" w:cs="宋体"/>
          <w:bCs/>
          <w:spacing w:val="17"/>
          <w:sz w:val="28"/>
          <w:szCs w:val="28"/>
          <w:lang w:eastAsia="zh-CN"/>
        </w:rPr>
        <w:t>磋商</w:t>
      </w:r>
      <w:r>
        <w:rPr>
          <w:rFonts w:hint="eastAsia" w:ascii="宋体" w:hAnsi="宋体" w:eastAsia="宋体" w:cs="宋体"/>
          <w:bCs/>
          <w:spacing w:val="17"/>
          <w:sz w:val="28"/>
          <w:szCs w:val="28"/>
        </w:rPr>
        <w:t>文件和乙方的</w:t>
      </w:r>
      <w:r>
        <w:rPr>
          <w:rFonts w:hint="eastAsia" w:ascii="宋体" w:hAnsi="宋体" w:eastAsia="宋体" w:cs="宋体"/>
          <w:bCs/>
          <w:spacing w:val="17"/>
          <w:sz w:val="28"/>
          <w:szCs w:val="28"/>
          <w:lang w:eastAsia="zh-CN"/>
        </w:rPr>
        <w:t>响应</w:t>
      </w:r>
      <w:r>
        <w:rPr>
          <w:rFonts w:hint="eastAsia" w:ascii="宋体" w:hAnsi="宋体" w:eastAsia="宋体" w:cs="宋体"/>
          <w:bCs/>
          <w:spacing w:val="17"/>
          <w:sz w:val="28"/>
          <w:szCs w:val="28"/>
        </w:rPr>
        <w:t>文件，经甲、</w:t>
      </w:r>
      <w:r>
        <w:rPr>
          <w:rFonts w:hint="eastAsia" w:ascii="宋体" w:hAnsi="宋体" w:eastAsia="宋体" w:cs="宋体"/>
          <w:b w:val="0"/>
          <w:bCs/>
          <w:color w:val="000000"/>
          <w:spacing w:val="6"/>
          <w:sz w:val="28"/>
          <w:szCs w:val="28"/>
          <w:lang w:val="en-US" w:eastAsia="zh-CN"/>
        </w:rPr>
        <w:t>乙双方协商，达成如下合同条款经协商，于    年    月    日按下述条款和条件签署本合同。</w:t>
      </w:r>
    </w:p>
    <w:p w14:paraId="4217387C">
      <w:pPr>
        <w:pStyle w:val="25"/>
        <w:keepNext w:val="0"/>
        <w:keepLines w:val="0"/>
        <w:pageBreakBefore w:val="0"/>
        <w:widowControl/>
        <w:wordWrap/>
        <w:overflowPunct/>
        <w:topLinePunct w:val="0"/>
        <w:autoSpaceDE/>
        <w:autoSpaceDN/>
        <w:bidi w:val="0"/>
        <w:adjustRightInd/>
        <w:spacing w:line="360" w:lineRule="auto"/>
        <w:textAlignment w:val="baseline"/>
        <w:outlineLvl w:val="1"/>
        <w:rPr>
          <w:rStyle w:val="73"/>
          <w:rFonts w:hint="eastAsia" w:ascii="宋体" w:hAnsi="宋体" w:eastAsia="宋体" w:cs="宋体"/>
          <w:b/>
          <w:bCs/>
          <w:sz w:val="28"/>
          <w:szCs w:val="28"/>
        </w:rPr>
      </w:pPr>
      <w:bookmarkStart w:id="309" w:name="_Toc22404"/>
      <w:bookmarkStart w:id="310" w:name="_Toc9772"/>
      <w:r>
        <w:rPr>
          <w:rStyle w:val="73"/>
          <w:rFonts w:hint="eastAsia" w:ascii="宋体" w:hAnsi="宋体" w:eastAsia="宋体" w:cs="宋体"/>
          <w:b/>
          <w:bCs/>
          <w:sz w:val="28"/>
          <w:szCs w:val="28"/>
        </w:rPr>
        <w:t>第一条、服务内容：</w:t>
      </w:r>
      <w:bookmarkEnd w:id="309"/>
      <w:bookmarkEnd w:id="310"/>
    </w:p>
    <w:p w14:paraId="31A5F878">
      <w:pPr>
        <w:keepNext w:val="0"/>
        <w:keepLines w:val="0"/>
        <w:pageBreakBefore w:val="0"/>
        <w:wordWrap/>
        <w:overflowPunct/>
        <w:topLinePunct w:val="0"/>
        <w:autoSpaceDE/>
        <w:autoSpaceDN/>
        <w:bidi w:val="0"/>
        <w:adjustRightInd/>
        <w:snapToGrid w:val="0"/>
        <w:spacing w:line="360" w:lineRule="auto"/>
        <w:textAlignment w:val="baseline"/>
        <w:rPr>
          <w:rStyle w:val="73"/>
          <w:rFonts w:hint="eastAsia" w:ascii="宋体" w:hAnsi="宋体" w:eastAsia="宋体" w:cs="宋体"/>
          <w:b/>
          <w:bCs/>
          <w:sz w:val="28"/>
          <w:szCs w:val="28"/>
          <w:u w:val="single"/>
        </w:rPr>
      </w:pPr>
      <w:r>
        <w:rPr>
          <w:rStyle w:val="73"/>
          <w:rFonts w:hint="eastAsia" w:ascii="宋体" w:hAnsi="宋体" w:eastAsia="宋体" w:cs="宋体"/>
          <w:b/>
          <w:bCs/>
          <w:sz w:val="28"/>
          <w:szCs w:val="28"/>
          <w:u w:val="single"/>
          <w:lang w:val="en-US"/>
        </w:rPr>
        <w:t xml:space="preserve">  </w:t>
      </w:r>
      <w:r>
        <w:rPr>
          <w:rStyle w:val="73"/>
          <w:rFonts w:hint="eastAsia" w:ascii="宋体" w:hAnsi="宋体" w:eastAsia="宋体" w:cs="宋体"/>
          <w:b/>
          <w:bCs/>
          <w:sz w:val="28"/>
          <w:szCs w:val="28"/>
          <w:u w:val="single"/>
        </w:rPr>
        <w:t xml:space="preserve">                                                        </w:t>
      </w:r>
    </w:p>
    <w:p w14:paraId="1CB663F8">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第二条　</w:t>
      </w:r>
      <w:r>
        <w:rPr>
          <w:rFonts w:hint="eastAsia" w:ascii="宋体" w:hAnsi="宋体" w:eastAsia="宋体" w:cs="宋体"/>
          <w:b/>
          <w:color w:val="000000"/>
          <w:sz w:val="28"/>
          <w:szCs w:val="28"/>
          <w:lang w:eastAsia="zh-CN"/>
        </w:rPr>
        <w:t>服务期</w:t>
      </w:r>
      <w:r>
        <w:rPr>
          <w:rFonts w:hint="eastAsia" w:ascii="宋体" w:hAnsi="宋体" w:eastAsia="宋体" w:cs="宋体"/>
          <w:b/>
          <w:color w:val="000000"/>
          <w:sz w:val="28"/>
          <w:szCs w:val="28"/>
        </w:rPr>
        <w:t>限</w:t>
      </w:r>
    </w:p>
    <w:p w14:paraId="07E378F2">
      <w:pPr>
        <w:keepNext w:val="0"/>
        <w:keepLines w:val="0"/>
        <w:pageBreakBefore w:val="0"/>
        <w:wordWrap/>
        <w:overflowPunct/>
        <w:topLinePunct w:val="0"/>
        <w:autoSpaceDE/>
        <w:autoSpaceDN/>
        <w:bidi w:val="0"/>
        <w:adjustRightInd/>
        <w:spacing w:line="360" w:lineRule="auto"/>
        <w:ind w:firstLine="560" w:firstLineChars="200"/>
        <w:rPr>
          <w:rFonts w:hint="default" w:ascii="宋体" w:hAnsi="宋体" w:eastAsia="宋体" w:cs="宋体"/>
          <w:color w:val="000000"/>
          <w:sz w:val="28"/>
          <w:szCs w:val="28"/>
          <w:u w:val="single"/>
          <w:lang w:val="en-US" w:eastAsia="zh-CN"/>
        </w:rPr>
      </w:pPr>
      <w:r>
        <w:rPr>
          <w:rFonts w:hint="eastAsia" w:ascii="宋体" w:hAnsi="宋体" w:eastAsia="宋体" w:cs="宋体"/>
          <w:color w:val="000000"/>
          <w:sz w:val="28"/>
          <w:szCs w:val="28"/>
        </w:rPr>
        <w:t>1.本协议约定</w:t>
      </w:r>
      <w:r>
        <w:rPr>
          <w:rFonts w:hint="eastAsia" w:ascii="宋体" w:hAnsi="宋体" w:eastAsia="宋体" w:cs="宋体"/>
          <w:color w:val="000000"/>
          <w:sz w:val="28"/>
          <w:szCs w:val="28"/>
          <w:lang w:eastAsia="zh-CN"/>
        </w:rPr>
        <w:t>服务期</w:t>
      </w:r>
      <w:r>
        <w:rPr>
          <w:rFonts w:hint="eastAsia" w:ascii="宋体" w:hAnsi="宋体" w:eastAsia="宋体" w:cs="宋体"/>
          <w:color w:val="000000"/>
          <w:sz w:val="28"/>
          <w:szCs w:val="28"/>
        </w:rPr>
        <w:t>为</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u w:val="single"/>
          <w:lang w:val="en-US" w:eastAsia="zh-CN"/>
        </w:rPr>
        <w:t xml:space="preserve">       </w:t>
      </w:r>
    </w:p>
    <w:p w14:paraId="5A44DCCC">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第三条  甲方的权利和义务</w:t>
      </w:r>
    </w:p>
    <w:p w14:paraId="443538CC">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1、甲方有权要求乙方服务的项目内容符合国家相关规范，符合国家验收标准，能够通过国家验收。</w:t>
      </w:r>
    </w:p>
    <w:p w14:paraId="116658B6">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2、甲方有权要求乙方配合甲方完成所采购服务内容的预验收工作以及正式验收工作。</w:t>
      </w:r>
    </w:p>
    <w:p w14:paraId="5F5E8768">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3、甲方有权要求乙方提供的服务所涉及的第三方权利进行免责。</w:t>
      </w:r>
    </w:p>
    <w:p w14:paraId="2BBFC200">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4、甲方有义务保证按合同所规定的内容及时间支付乙方相关费用。</w:t>
      </w:r>
    </w:p>
    <w:p w14:paraId="2EF40AF9">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5、甲方</w:t>
      </w:r>
      <w:r>
        <w:rPr>
          <w:rStyle w:val="73"/>
          <w:rFonts w:hint="eastAsia" w:ascii="宋体" w:hAnsi="宋体" w:eastAsia="宋体" w:cs="宋体"/>
          <w:b w:val="0"/>
          <w:i w:val="0"/>
          <w:caps w:val="0"/>
          <w:spacing w:val="0"/>
          <w:w w:val="100"/>
          <w:kern w:val="2"/>
          <w:sz w:val="28"/>
          <w:szCs w:val="28"/>
          <w:lang w:val="en-US" w:eastAsia="zh-CN" w:bidi="ar-SA"/>
        </w:rPr>
        <w:t>项目负责人为</w:t>
      </w:r>
      <w:r>
        <w:rPr>
          <w:rStyle w:val="73"/>
          <w:rFonts w:hint="eastAsia" w:ascii="宋体" w:hAnsi="宋体" w:eastAsia="宋体" w:cs="宋体"/>
          <w:b w:val="0"/>
          <w:i w:val="0"/>
          <w:caps w:val="0"/>
          <w:spacing w:val="0"/>
          <w:w w:val="100"/>
          <w:kern w:val="2"/>
          <w:sz w:val="28"/>
          <w:szCs w:val="28"/>
          <w:u w:val="single"/>
          <w:lang w:val="en-US" w:eastAsia="zh-CN" w:bidi="ar-SA"/>
        </w:rPr>
        <w:t xml:space="preserve">           </w:t>
      </w:r>
      <w:r>
        <w:rPr>
          <w:rStyle w:val="73"/>
          <w:rFonts w:hint="eastAsia" w:ascii="宋体" w:hAnsi="宋体" w:eastAsia="宋体" w:cs="宋体"/>
          <w:b w:val="0"/>
          <w:i w:val="0"/>
          <w:caps w:val="0"/>
          <w:spacing w:val="0"/>
          <w:w w:val="100"/>
          <w:kern w:val="2"/>
          <w:sz w:val="28"/>
          <w:szCs w:val="28"/>
          <w:lang w:val="en-US" w:eastAsia="zh-CN" w:bidi="ar-SA"/>
        </w:rPr>
        <w:t>。</w:t>
      </w:r>
    </w:p>
    <w:p w14:paraId="03F86AD8">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第四条　乙方的权利和义务</w:t>
      </w:r>
    </w:p>
    <w:p w14:paraId="58A4C343">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1、乙方应</w:t>
      </w:r>
      <w:r>
        <w:rPr>
          <w:rStyle w:val="73"/>
          <w:rFonts w:hint="eastAsia" w:ascii="宋体" w:hAnsi="宋体" w:eastAsia="宋体" w:cs="宋体"/>
          <w:b w:val="0"/>
          <w:i w:val="0"/>
          <w:caps w:val="0"/>
          <w:spacing w:val="0"/>
          <w:w w:val="100"/>
          <w:kern w:val="2"/>
          <w:sz w:val="28"/>
          <w:szCs w:val="28"/>
          <w:lang w:val="en-US" w:eastAsia="zh-CN" w:bidi="ar-SA"/>
        </w:rPr>
        <w:t>按本合同的规定完成相关服务，并保证甲方工作正常运行。</w:t>
      </w:r>
    </w:p>
    <w:p w14:paraId="6E94933A">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2、乙方有权要求甲方按照具体情况提供必要的服务条件</w:t>
      </w:r>
      <w:r>
        <w:rPr>
          <w:rStyle w:val="73"/>
          <w:rFonts w:hint="eastAsia" w:ascii="宋体" w:hAnsi="宋体" w:eastAsia="宋体" w:cs="宋体"/>
          <w:b w:val="0"/>
          <w:i w:val="0"/>
          <w:caps w:val="0"/>
          <w:spacing w:val="0"/>
          <w:w w:val="100"/>
          <w:kern w:val="2"/>
          <w:sz w:val="28"/>
          <w:szCs w:val="28"/>
          <w:lang w:val="en-US" w:eastAsia="zh-CN" w:bidi="ar-SA"/>
        </w:rPr>
        <w:t>。</w:t>
      </w:r>
    </w:p>
    <w:p w14:paraId="2F3AD33C">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3、乙方有义务配合甲方参与项目的预验收、正式验收工作，并确保所服务项目内容符合本项目质量标准。</w:t>
      </w:r>
    </w:p>
    <w:p w14:paraId="44D1FF77">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4、乙方</w:t>
      </w:r>
      <w:r>
        <w:rPr>
          <w:rStyle w:val="73"/>
          <w:rFonts w:hint="eastAsia" w:ascii="宋体" w:hAnsi="宋体" w:eastAsia="宋体" w:cs="宋体"/>
          <w:b w:val="0"/>
          <w:i w:val="0"/>
          <w:caps w:val="0"/>
          <w:spacing w:val="0"/>
          <w:w w:val="100"/>
          <w:kern w:val="2"/>
          <w:sz w:val="28"/>
          <w:szCs w:val="28"/>
          <w:lang w:val="en-US" w:eastAsia="zh-CN" w:bidi="ar-SA"/>
        </w:rPr>
        <w:t>项目负责人为</w:t>
      </w:r>
      <w:r>
        <w:rPr>
          <w:rStyle w:val="73"/>
          <w:rFonts w:hint="eastAsia" w:ascii="宋体" w:hAnsi="宋体" w:eastAsia="宋体" w:cs="宋体"/>
          <w:b w:val="0"/>
          <w:i w:val="0"/>
          <w:caps w:val="0"/>
          <w:spacing w:val="0"/>
          <w:w w:val="100"/>
          <w:kern w:val="2"/>
          <w:sz w:val="28"/>
          <w:szCs w:val="28"/>
          <w:u w:val="single"/>
          <w:lang w:val="en-US" w:eastAsia="zh-CN" w:bidi="ar-SA"/>
        </w:rPr>
        <w:t xml:space="preserve">           </w:t>
      </w:r>
      <w:r>
        <w:rPr>
          <w:rStyle w:val="73"/>
          <w:rFonts w:hint="eastAsia" w:ascii="宋体" w:hAnsi="宋体" w:eastAsia="宋体" w:cs="宋体"/>
          <w:b w:val="0"/>
          <w:i w:val="0"/>
          <w:caps w:val="0"/>
          <w:spacing w:val="0"/>
          <w:w w:val="100"/>
          <w:kern w:val="2"/>
          <w:sz w:val="28"/>
          <w:szCs w:val="28"/>
          <w:lang w:val="en-US" w:eastAsia="zh-CN" w:bidi="ar-SA"/>
        </w:rPr>
        <w:t>。</w:t>
      </w:r>
    </w:p>
    <w:p w14:paraId="70D538B8">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360" w:lineRule="auto"/>
        <w:ind w:firstLine="560" w:firstLineChars="200"/>
        <w:jc w:val="both"/>
        <w:textAlignment w:val="baseline"/>
        <w:rPr>
          <w:rStyle w:val="73"/>
          <w:rFonts w:hint="eastAsia" w:ascii="宋体" w:hAnsi="宋体" w:eastAsia="宋体" w:cs="宋体"/>
          <w:b/>
          <w:bCs/>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
          <w:sz w:val="28"/>
          <w:szCs w:val="28"/>
          <w:lang w:val="en-US" w:eastAsia="zh-CN" w:bidi="ar-SA"/>
        </w:rPr>
        <w:t>5、在服务验收时，向甲方提供相关成果文件。</w:t>
      </w:r>
    </w:p>
    <w:p w14:paraId="77877800">
      <w:pPr>
        <w:keepNext w:val="0"/>
        <w:keepLines w:val="0"/>
        <w:pageBreakBefore w:val="0"/>
        <w:wordWrap/>
        <w:overflowPunct/>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eastAsia="宋体" w:cs="宋体"/>
          <w:b/>
          <w:sz w:val="28"/>
          <w:szCs w:val="28"/>
        </w:rPr>
        <w:t>第五条  服务费用</w:t>
      </w:r>
      <w:r>
        <w:rPr>
          <w:rFonts w:hint="eastAsia" w:ascii="宋体" w:hAnsi="宋体" w:eastAsia="宋体" w:cs="宋体"/>
          <w:b/>
          <w:sz w:val="28"/>
          <w:szCs w:val="28"/>
          <w:lang w:eastAsia="zh-CN"/>
        </w:rPr>
        <w:t>及</w:t>
      </w:r>
      <w:r>
        <w:rPr>
          <w:rFonts w:hint="eastAsia" w:ascii="宋体" w:hAnsi="宋体" w:eastAsia="宋体" w:cs="宋体"/>
          <w:b/>
          <w:sz w:val="28"/>
          <w:szCs w:val="28"/>
        </w:rPr>
        <w:t>支付方式</w:t>
      </w:r>
    </w:p>
    <w:p w14:paraId="5087E9AD">
      <w:pPr>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bCs/>
          <w:i w:val="0"/>
          <w:caps w:val="0"/>
          <w:spacing w:val="0"/>
          <w:w w:val="100"/>
          <w:kern w:val="2"/>
          <w:sz w:val="28"/>
          <w:szCs w:val="28"/>
          <w:lang w:val="en-US" w:eastAsia="zh-CN" w:bidi="ar-SA"/>
        </w:rPr>
      </w:pPr>
      <w:r>
        <w:rPr>
          <w:rStyle w:val="73"/>
          <w:rFonts w:hint="eastAsia" w:ascii="宋体" w:hAnsi="宋体" w:eastAsia="宋体" w:cs="宋体"/>
          <w:b w:val="0"/>
          <w:bCs/>
          <w:i w:val="0"/>
          <w:caps w:val="0"/>
          <w:spacing w:val="0"/>
          <w:w w:val="100"/>
          <w:kern w:val="2"/>
          <w:sz w:val="28"/>
          <w:szCs w:val="28"/>
          <w:lang w:val="en-US" w:eastAsia="zh-CN" w:bidi="ar-SA"/>
        </w:rPr>
        <w:t>（一）合同总价为</w:t>
      </w:r>
      <w:r>
        <w:rPr>
          <w:rStyle w:val="73"/>
          <w:rFonts w:hint="eastAsia" w:ascii="宋体" w:hAnsi="宋体" w:eastAsia="宋体" w:cs="宋体"/>
          <w:b w:val="0"/>
          <w:bCs/>
          <w:i w:val="0"/>
          <w:caps w:val="0"/>
          <w:spacing w:val="0"/>
          <w:w w:val="100"/>
          <w:kern w:val="2"/>
          <w:sz w:val="28"/>
          <w:szCs w:val="28"/>
          <w:u w:val="single"/>
          <w:lang w:val="en-US" w:eastAsia="zh-CN" w:bidi="ar-SA"/>
        </w:rPr>
        <w:t xml:space="preserve">        </w:t>
      </w:r>
      <w:r>
        <w:rPr>
          <w:rStyle w:val="73"/>
          <w:rFonts w:hint="eastAsia" w:ascii="宋体" w:hAnsi="宋体" w:eastAsia="宋体" w:cs="宋体"/>
          <w:b w:val="0"/>
          <w:bCs/>
          <w:i w:val="0"/>
          <w:caps w:val="0"/>
          <w:spacing w:val="0"/>
          <w:w w:val="100"/>
          <w:kern w:val="2"/>
          <w:sz w:val="28"/>
          <w:szCs w:val="28"/>
          <w:lang w:val="en-US" w:eastAsia="zh-CN" w:bidi="ar-SA"/>
        </w:rPr>
        <w:t>。</w:t>
      </w:r>
    </w:p>
    <w:p w14:paraId="3EA0A3DB">
      <w:pPr>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bCs/>
          <w:i w:val="0"/>
          <w:caps w:val="0"/>
          <w:spacing w:val="0"/>
          <w:w w:val="100"/>
          <w:kern w:val="2"/>
          <w:sz w:val="28"/>
          <w:szCs w:val="28"/>
          <w:lang w:val="en-US" w:eastAsia="zh-CN" w:bidi="ar-SA"/>
        </w:rPr>
      </w:pPr>
      <w:r>
        <w:rPr>
          <w:rStyle w:val="73"/>
          <w:rFonts w:hint="eastAsia" w:ascii="宋体" w:hAnsi="宋体" w:eastAsia="宋体" w:cs="宋体"/>
          <w:b w:val="0"/>
          <w:bCs/>
          <w:i w:val="0"/>
          <w:caps w:val="0"/>
          <w:spacing w:val="0"/>
          <w:w w:val="100"/>
          <w:kern w:val="2"/>
          <w:sz w:val="28"/>
          <w:szCs w:val="28"/>
          <w:lang w:val="en-US" w:eastAsia="zh-CN" w:bidi="ar-SA"/>
        </w:rPr>
        <w:t>（二）合同总价包括</w:t>
      </w:r>
      <w:r>
        <w:rPr>
          <w:rStyle w:val="73"/>
          <w:rFonts w:hint="eastAsia" w:ascii="宋体" w:hAnsi="宋体" w:eastAsia="宋体" w:cs="宋体"/>
          <w:b w:val="0"/>
          <w:i w:val="0"/>
          <w:caps w:val="0"/>
          <w:spacing w:val="0"/>
          <w:w w:val="100"/>
          <w:kern w:val="2"/>
          <w:sz w:val="28"/>
          <w:szCs w:val="28"/>
          <w:lang w:val="zh-CN" w:eastAsia="zh-CN" w:bidi="ar-SA"/>
        </w:rPr>
        <w:t>完成本项目所需的全部费用。</w:t>
      </w:r>
    </w:p>
    <w:p w14:paraId="58D4FB22">
      <w:pPr>
        <w:keepNext w:val="0"/>
        <w:keepLines w:val="0"/>
        <w:pageBreakBefore w:val="0"/>
        <w:wordWrap/>
        <w:overflowPunct/>
        <w:topLinePunct w:val="0"/>
        <w:autoSpaceDE/>
        <w:autoSpaceDN/>
        <w:bidi w:val="0"/>
        <w:adjustRightInd/>
        <w:spacing w:line="360" w:lineRule="auto"/>
        <w:ind w:firstLine="560" w:firstLineChars="200"/>
        <w:rPr>
          <w:rStyle w:val="73"/>
          <w:rFonts w:hint="default" w:ascii="宋体" w:hAnsi="宋体" w:eastAsia="宋体" w:cs="宋体"/>
          <w:b w:val="0"/>
          <w:bCs/>
          <w:i w:val="0"/>
          <w:caps w:val="0"/>
          <w:color w:val="000000"/>
          <w:spacing w:val="0"/>
          <w:w w:val="100"/>
          <w:kern w:val="2"/>
          <w:sz w:val="28"/>
          <w:szCs w:val="28"/>
          <w:u w:val="none"/>
          <w:lang w:val="en-US" w:eastAsia="zh-CN" w:bidi="ar-SA"/>
        </w:rPr>
      </w:pPr>
      <w:r>
        <w:rPr>
          <w:rStyle w:val="73"/>
          <w:rFonts w:hint="eastAsia" w:ascii="宋体" w:hAnsi="宋体" w:eastAsia="宋体" w:cs="宋体"/>
          <w:b w:val="0"/>
          <w:bCs/>
          <w:i w:val="0"/>
          <w:caps w:val="0"/>
          <w:color w:val="000000"/>
          <w:spacing w:val="0"/>
          <w:w w:val="100"/>
          <w:kern w:val="2"/>
          <w:sz w:val="28"/>
          <w:szCs w:val="28"/>
          <w:lang w:val="en-US" w:eastAsia="zh-CN" w:bidi="ar-SA"/>
        </w:rPr>
        <w:t>（三）结算方式：</w:t>
      </w:r>
      <w:r>
        <w:rPr>
          <w:rStyle w:val="73"/>
          <w:rFonts w:hint="eastAsia" w:ascii="宋体" w:hAnsi="宋体" w:eastAsia="宋体" w:cs="宋体"/>
          <w:b w:val="0"/>
          <w:bCs/>
          <w:i w:val="0"/>
          <w:caps w:val="0"/>
          <w:color w:val="000000"/>
          <w:spacing w:val="0"/>
          <w:w w:val="100"/>
          <w:kern w:val="2"/>
          <w:sz w:val="28"/>
          <w:szCs w:val="28"/>
          <w:u w:val="single"/>
          <w:lang w:val="en-US" w:eastAsia="zh-CN" w:bidi="ar-SA"/>
        </w:rPr>
        <w:t xml:space="preserve">          </w:t>
      </w:r>
    </w:p>
    <w:p w14:paraId="53CD2079">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bookmarkStart w:id="311" w:name="_Toc567"/>
      <w:bookmarkStart w:id="312" w:name="_Toc26474"/>
      <w:r>
        <w:rPr>
          <w:rFonts w:hint="eastAsia" w:ascii="宋体" w:hAnsi="宋体" w:eastAsia="宋体" w:cs="宋体"/>
          <w:b/>
          <w:color w:val="000000"/>
          <w:sz w:val="28"/>
          <w:szCs w:val="28"/>
        </w:rPr>
        <w:t>第六条</w:t>
      </w: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rPr>
        <w:t>项目验收</w:t>
      </w:r>
      <w:bookmarkEnd w:id="311"/>
      <w:bookmarkEnd w:id="312"/>
    </w:p>
    <w:p w14:paraId="23168367">
      <w:pPr>
        <w:keepNext w:val="0"/>
        <w:keepLines w:val="0"/>
        <w:pageBreakBefore w:val="0"/>
        <w:wordWrap/>
        <w:overflowPunct/>
        <w:topLinePunct w:val="0"/>
        <w:autoSpaceDE/>
        <w:autoSpaceDN/>
        <w:bidi w:val="0"/>
        <w:adjustRightInd/>
        <w:snapToGrid w:val="0"/>
        <w:spacing w:line="360" w:lineRule="auto"/>
        <w:ind w:firstLine="560" w:firstLineChars="200"/>
        <w:textAlignment w:val="baseline"/>
        <w:rPr>
          <w:rFonts w:hint="eastAsia" w:ascii="宋体" w:hAnsi="宋体" w:eastAsia="宋体" w:cs="宋体"/>
          <w:sz w:val="28"/>
          <w:szCs w:val="28"/>
        </w:rPr>
      </w:pPr>
      <w:r>
        <w:rPr>
          <w:rStyle w:val="73"/>
          <w:rFonts w:hint="eastAsia" w:ascii="宋体" w:hAnsi="宋体" w:eastAsia="宋体" w:cs="宋体"/>
          <w:kern w:val="28"/>
          <w:sz w:val="28"/>
          <w:szCs w:val="28"/>
        </w:rPr>
        <w:t>乙方配合甲方进行项目验收，验收依据主要包括：竞争性磋商文件、磋商响应文件、采购合同、《中华人民共和国政府采购法》,《中华人民共和国政府采购法实施条例》等的相关要求。</w:t>
      </w:r>
    </w:p>
    <w:p w14:paraId="45B12FD0">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第七条　知识产权约定</w:t>
      </w:r>
    </w:p>
    <w:p w14:paraId="098EA7F1">
      <w:pPr>
        <w:keepNext w:val="0"/>
        <w:keepLines w:val="0"/>
        <w:pageBreakBefore w:val="0"/>
        <w:wordWrap/>
        <w:overflowPunct/>
        <w:topLinePunct w:val="0"/>
        <w:autoSpaceDE/>
        <w:autoSpaceDN/>
        <w:bidi w:val="0"/>
        <w:adjustRightInd/>
        <w:spacing w:line="360" w:lineRule="auto"/>
        <w:ind w:firstLine="560" w:firstLineChars="200"/>
        <w:rPr>
          <w:rFonts w:hint="eastAsia" w:ascii="宋体" w:hAnsi="宋体" w:eastAsia="宋体" w:cs="宋体"/>
          <w:sz w:val="28"/>
          <w:szCs w:val="28"/>
        </w:rPr>
      </w:pPr>
      <w:r>
        <w:rPr>
          <w:rFonts w:hint="eastAsia" w:ascii="宋体" w:hAnsi="宋体" w:eastAsia="宋体" w:cs="宋体"/>
          <w:color w:val="000000"/>
          <w:sz w:val="28"/>
          <w:szCs w:val="28"/>
        </w:rPr>
        <w:t>1.乙方提供给甲方的服务所产生的成果及</w:t>
      </w:r>
      <w:r>
        <w:rPr>
          <w:rFonts w:hint="eastAsia" w:ascii="宋体" w:hAnsi="宋体" w:eastAsia="宋体" w:cs="宋体"/>
          <w:sz w:val="28"/>
          <w:szCs w:val="28"/>
        </w:rPr>
        <w:t>知识产权归甲方所有。甲乙双方共同利用相关指数产品及相关信息资料二次开发的产品，由甲乙双方共同所有。</w:t>
      </w:r>
    </w:p>
    <w:p w14:paraId="34506782">
      <w:pPr>
        <w:keepNext w:val="0"/>
        <w:keepLines w:val="0"/>
        <w:pageBreakBefore w:val="0"/>
        <w:wordWrap/>
        <w:overflowPunct/>
        <w:topLinePunct w:val="0"/>
        <w:autoSpaceDE/>
        <w:autoSpaceDN/>
        <w:bidi w:val="0"/>
        <w:adjustRightInd/>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2.乙方提供的服务成果，只供甲方在本协议约定的范围及方式使用，甲方不享有乙方在本协议中未明确授予甲方的其他权利，未经乙方同意，甲方不得对乙方所供信息进行二次加工。</w:t>
      </w:r>
    </w:p>
    <w:p w14:paraId="4372B15B">
      <w:pPr>
        <w:keepNext w:val="0"/>
        <w:keepLines w:val="0"/>
        <w:pageBreakBefore w:val="0"/>
        <w:wordWrap/>
        <w:overflowPunct/>
        <w:topLinePunct w:val="0"/>
        <w:autoSpaceDE/>
        <w:autoSpaceDN/>
        <w:bidi w:val="0"/>
        <w:adjustRightInd/>
        <w:spacing w:line="360" w:lineRule="auto"/>
        <w:ind w:firstLine="560" w:firstLineChars="200"/>
        <w:rPr>
          <w:rFonts w:hint="eastAsia" w:ascii="宋体" w:hAnsi="宋体" w:eastAsia="宋体" w:cs="宋体"/>
          <w:sz w:val="28"/>
          <w:szCs w:val="28"/>
        </w:rPr>
      </w:pPr>
      <w:r>
        <w:rPr>
          <w:rFonts w:hint="eastAsia" w:ascii="宋体" w:hAnsi="宋体" w:eastAsia="宋体" w:cs="宋体"/>
          <w:color w:val="000000"/>
          <w:sz w:val="28"/>
          <w:szCs w:val="28"/>
        </w:rPr>
        <w:t>3.甲方在享有乙方提供的相关服务过程中，如需要引用，应标明或说明由乙方提供，保留原作者署名，不得对信息的内容做实质性变更。</w:t>
      </w:r>
    </w:p>
    <w:p w14:paraId="7B7117C4">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第八条　保密条款</w:t>
      </w:r>
    </w:p>
    <w:p w14:paraId="01676530">
      <w:pPr>
        <w:keepNext w:val="0"/>
        <w:keepLines w:val="0"/>
        <w:pageBreakBefore w:val="0"/>
        <w:wordWrap/>
        <w:overflowPunct/>
        <w:topLinePunct w:val="0"/>
        <w:autoSpaceDE/>
        <w:autoSpaceDN/>
        <w:bidi w:val="0"/>
        <w:adjustRightInd/>
        <w:spacing w:line="360" w:lineRule="auto"/>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1.任何一方应对合作中从另一方获得的，包括但不限于过去、现在或未来的商业计划、技术规划、项目文档、客户信息、合同、内部制度、工作流程、处理方法、财务和会计等各类商业和技术信息（无论是否为口头、书面、图纸或电子材质）保密。该保密义务并不因本协议的无效、中止、终止而解除，效力至保密信息解密为止。</w:t>
      </w:r>
    </w:p>
    <w:p w14:paraId="5CB870DF">
      <w:pPr>
        <w:keepNext w:val="0"/>
        <w:keepLines w:val="0"/>
        <w:pageBreakBefore w:val="0"/>
        <w:wordWrap/>
        <w:overflowPunct/>
        <w:topLinePunct w:val="0"/>
        <w:autoSpaceDE/>
        <w:autoSpaceDN/>
        <w:bidi w:val="0"/>
        <w:adjustRightInd/>
        <w:spacing w:line="360" w:lineRule="auto"/>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2.未经对方事先书面同意，任何一方不得单独就本合作发布公告、广告、信息稿或者以其他任何形式公开披露，如需对外披露，双方应以书面形式就披露内容达成一致。</w:t>
      </w:r>
    </w:p>
    <w:p w14:paraId="0AE08BC3">
      <w:pPr>
        <w:keepNext w:val="0"/>
        <w:keepLines w:val="0"/>
        <w:pageBreakBefore w:val="0"/>
        <w:wordWrap/>
        <w:overflowPunct/>
        <w:topLinePunct w:val="0"/>
        <w:autoSpaceDE/>
        <w:autoSpaceDN/>
        <w:bidi w:val="0"/>
        <w:adjustRightInd/>
        <w:spacing w:line="360" w:lineRule="auto"/>
        <w:rPr>
          <w:rFonts w:hint="eastAsia" w:ascii="宋体" w:hAnsi="宋体" w:eastAsia="宋体" w:cs="宋体"/>
          <w:sz w:val="28"/>
          <w:szCs w:val="28"/>
        </w:rPr>
      </w:pPr>
      <w:r>
        <w:rPr>
          <w:rFonts w:hint="eastAsia" w:ascii="宋体" w:hAnsi="宋体" w:eastAsia="宋体" w:cs="宋体"/>
          <w:b/>
          <w:color w:val="000000"/>
          <w:sz w:val="28"/>
          <w:szCs w:val="28"/>
        </w:rPr>
        <w:t>第九条　违约责任</w:t>
      </w:r>
    </w:p>
    <w:p w14:paraId="1D8525AF">
      <w:pPr>
        <w:keepNext w:val="0"/>
        <w:keepLines w:val="0"/>
        <w:pageBreakBefore w:val="0"/>
        <w:wordWrap/>
        <w:overflowPunct/>
        <w:topLinePunct w:val="0"/>
        <w:autoSpaceDE/>
        <w:autoSpaceDN/>
        <w:bidi w:val="0"/>
        <w:adjustRightInd/>
        <w:spacing w:line="360" w:lineRule="auto"/>
        <w:ind w:firstLine="562"/>
        <w:rPr>
          <w:rFonts w:hint="eastAsia" w:ascii="宋体" w:hAnsi="宋体" w:eastAsia="宋体" w:cs="宋体"/>
          <w:color w:val="000000"/>
          <w:sz w:val="28"/>
          <w:szCs w:val="28"/>
        </w:rPr>
      </w:pPr>
      <w:r>
        <w:rPr>
          <w:rFonts w:hint="eastAsia" w:ascii="宋体" w:hAnsi="宋体" w:eastAsia="宋体" w:cs="宋体"/>
          <w:color w:val="000000"/>
          <w:sz w:val="28"/>
          <w:szCs w:val="28"/>
        </w:rPr>
        <w:t>甲乙双方任何一方违反本协议约定时，另一方均有权向其提出口头或书面交涉，并有权依照本协议的相关条款追究违约方的违约责任，或依照法律的规定追究其侵权责任。</w:t>
      </w:r>
    </w:p>
    <w:p w14:paraId="21FFFD14">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第十条　不可抗力</w:t>
      </w:r>
    </w:p>
    <w:p w14:paraId="6282FB58">
      <w:pPr>
        <w:keepNext w:val="0"/>
        <w:keepLines w:val="0"/>
        <w:pageBreakBefore w:val="0"/>
        <w:wordWrap/>
        <w:overflowPunct/>
        <w:topLinePunct w:val="0"/>
        <w:autoSpaceDE/>
        <w:autoSpaceDN/>
        <w:bidi w:val="0"/>
        <w:adjustRightInd/>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若因不可抗力导致一方或双方无法履行本协议的，按相关法律规定执行。本协议所指的不可抗力包括但不限于自然灾害、战争、外部通讯系统故障、重大技术故障和法律、政策的变化等。</w:t>
      </w:r>
    </w:p>
    <w:p w14:paraId="66C04731">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第十一条　争议的解决方式</w:t>
      </w:r>
    </w:p>
    <w:p w14:paraId="4E4ED493">
      <w:pPr>
        <w:keepNext w:val="0"/>
        <w:keepLines w:val="0"/>
        <w:pageBreakBefore w:val="0"/>
        <w:wordWrap/>
        <w:overflowPunct/>
        <w:topLinePunct w:val="0"/>
        <w:autoSpaceDE/>
        <w:autoSpaceDN/>
        <w:bidi w:val="0"/>
        <w:adjustRightInd/>
        <w:spacing w:line="360" w:lineRule="auto"/>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因履行本协议产生的争议，双方应友好协商解决。甲乙双方均同意本协议项下所有产生的争议均适用于中国大陆法律，并不以争议发生地而发生变化，若双方不能通过协商途径解决，由起诉方人民法院管辖。</w:t>
      </w:r>
    </w:p>
    <w:p w14:paraId="4A3DEF22">
      <w:pPr>
        <w:keepNext w:val="0"/>
        <w:keepLines w:val="0"/>
        <w:pageBreakBefore w:val="0"/>
        <w:wordWrap/>
        <w:overflowPunct/>
        <w:topLinePunct w:val="0"/>
        <w:autoSpaceDE/>
        <w:autoSpaceDN/>
        <w:bidi w:val="0"/>
        <w:adjustRightInd/>
        <w:spacing w:line="360" w:lineRule="auto"/>
        <w:rPr>
          <w:rFonts w:hint="eastAsia" w:ascii="宋体" w:hAnsi="宋体" w:eastAsia="宋体" w:cs="宋体"/>
          <w:b/>
          <w:bCs/>
          <w:color w:val="000000"/>
          <w:sz w:val="28"/>
          <w:szCs w:val="28"/>
        </w:rPr>
      </w:pPr>
      <w:bookmarkStart w:id="313" w:name="_Toc22873"/>
      <w:bookmarkStart w:id="314" w:name="_Toc12559"/>
      <w:r>
        <w:rPr>
          <w:rFonts w:hint="eastAsia" w:ascii="宋体" w:hAnsi="宋体" w:eastAsia="宋体" w:cs="宋体"/>
          <w:b/>
          <w:bCs/>
          <w:color w:val="000000"/>
          <w:sz w:val="28"/>
          <w:szCs w:val="28"/>
        </w:rPr>
        <w:t>第十二条 组成本合同的文件</w:t>
      </w:r>
      <w:bookmarkEnd w:id="313"/>
      <w:bookmarkEnd w:id="314"/>
    </w:p>
    <w:p w14:paraId="6A494496">
      <w:pPr>
        <w:keepNext w:val="0"/>
        <w:keepLines w:val="0"/>
        <w:pageBreakBefore w:val="0"/>
        <w:wordWrap/>
        <w:overflowPunct/>
        <w:topLinePunct w:val="0"/>
        <w:autoSpaceDE/>
        <w:autoSpaceDN/>
        <w:bidi w:val="0"/>
        <w:adjustRightInd/>
        <w:snapToGrid w:val="0"/>
        <w:spacing w:line="360" w:lineRule="auto"/>
        <w:ind w:firstLine="560" w:firstLineChars="200"/>
        <w:textAlignment w:val="baseline"/>
        <w:rPr>
          <w:rStyle w:val="73"/>
          <w:rFonts w:hint="eastAsia" w:ascii="宋体" w:hAnsi="宋体" w:eastAsia="宋体" w:cs="宋体"/>
          <w:sz w:val="28"/>
          <w:szCs w:val="28"/>
        </w:rPr>
      </w:pPr>
      <w:r>
        <w:rPr>
          <w:rStyle w:val="73"/>
          <w:rFonts w:hint="eastAsia" w:ascii="宋体" w:hAnsi="宋体" w:eastAsia="宋体" w:cs="宋体"/>
          <w:sz w:val="28"/>
          <w:szCs w:val="28"/>
        </w:rPr>
        <w:t>1.协议书；</w:t>
      </w:r>
    </w:p>
    <w:p w14:paraId="1EDE13F2">
      <w:pPr>
        <w:keepNext w:val="0"/>
        <w:keepLines w:val="0"/>
        <w:pageBreakBefore w:val="0"/>
        <w:wordWrap/>
        <w:overflowPunct/>
        <w:topLinePunct w:val="0"/>
        <w:autoSpaceDE/>
        <w:autoSpaceDN/>
        <w:bidi w:val="0"/>
        <w:adjustRightInd/>
        <w:spacing w:line="360" w:lineRule="auto"/>
        <w:ind w:firstLine="560" w:firstLineChars="200"/>
        <w:textAlignment w:val="baseline"/>
        <w:rPr>
          <w:rStyle w:val="73"/>
          <w:rFonts w:hint="eastAsia" w:ascii="宋体" w:hAnsi="宋体" w:eastAsia="宋体" w:cs="宋体"/>
          <w:sz w:val="28"/>
          <w:szCs w:val="28"/>
        </w:rPr>
      </w:pPr>
      <w:r>
        <w:rPr>
          <w:rStyle w:val="73"/>
          <w:rFonts w:hint="eastAsia" w:ascii="宋体" w:hAnsi="宋体" w:eastAsia="宋体" w:cs="宋体"/>
          <w:sz w:val="28"/>
          <w:szCs w:val="28"/>
        </w:rPr>
        <w:t>2.成交通知书、磋商响应文件、竞争性磋商文件、澄清、磋商补充文件（或委托书）；</w:t>
      </w:r>
    </w:p>
    <w:p w14:paraId="563CAB84">
      <w:pPr>
        <w:keepNext w:val="0"/>
        <w:keepLines w:val="0"/>
        <w:pageBreakBefore w:val="0"/>
        <w:wordWrap/>
        <w:overflowPunct/>
        <w:topLinePunct w:val="0"/>
        <w:autoSpaceDE/>
        <w:autoSpaceDN/>
        <w:bidi w:val="0"/>
        <w:adjustRightInd/>
        <w:spacing w:line="360" w:lineRule="auto"/>
        <w:ind w:firstLine="560" w:firstLineChars="200"/>
        <w:textAlignment w:val="baseline"/>
        <w:rPr>
          <w:rStyle w:val="73"/>
          <w:rFonts w:hint="eastAsia" w:ascii="宋体" w:hAnsi="宋体" w:eastAsia="宋体" w:cs="宋体"/>
          <w:sz w:val="28"/>
          <w:szCs w:val="28"/>
        </w:rPr>
      </w:pPr>
      <w:r>
        <w:rPr>
          <w:rStyle w:val="73"/>
          <w:rFonts w:hint="eastAsia" w:ascii="宋体" w:hAnsi="宋体" w:eastAsia="宋体" w:cs="宋体"/>
          <w:sz w:val="28"/>
          <w:szCs w:val="28"/>
        </w:rPr>
        <w:t>3.相关服务建议书；</w:t>
      </w:r>
    </w:p>
    <w:p w14:paraId="42D250AA">
      <w:pPr>
        <w:keepNext w:val="0"/>
        <w:keepLines w:val="0"/>
        <w:pageBreakBefore w:val="0"/>
        <w:wordWrap/>
        <w:overflowPunct/>
        <w:topLinePunct w:val="0"/>
        <w:autoSpaceDE/>
        <w:autoSpaceDN/>
        <w:bidi w:val="0"/>
        <w:adjustRightInd/>
        <w:spacing w:line="360" w:lineRule="auto"/>
        <w:ind w:firstLine="560" w:firstLineChars="200"/>
        <w:textAlignment w:val="baseline"/>
        <w:rPr>
          <w:rStyle w:val="73"/>
          <w:rFonts w:hint="eastAsia" w:ascii="宋体" w:hAnsi="宋体" w:eastAsia="宋体" w:cs="宋体"/>
          <w:sz w:val="28"/>
          <w:szCs w:val="28"/>
        </w:rPr>
      </w:pPr>
      <w:r>
        <w:rPr>
          <w:rStyle w:val="73"/>
          <w:rFonts w:hint="eastAsia" w:ascii="宋体" w:hAnsi="宋体" w:eastAsia="宋体" w:cs="宋体"/>
          <w:sz w:val="28"/>
          <w:szCs w:val="28"/>
        </w:rPr>
        <w:t>4.附录，即：附表内相关服务的范围和内容；</w:t>
      </w:r>
    </w:p>
    <w:p w14:paraId="3EEFCB4E">
      <w:pPr>
        <w:keepNext w:val="0"/>
        <w:keepLines w:val="0"/>
        <w:pageBreakBefore w:val="0"/>
        <w:wordWrap/>
        <w:overflowPunct/>
        <w:topLinePunct w:val="0"/>
        <w:autoSpaceDE/>
        <w:autoSpaceDN/>
        <w:bidi w:val="0"/>
        <w:adjustRightInd/>
        <w:spacing w:line="360" w:lineRule="auto"/>
        <w:ind w:firstLine="560" w:firstLineChars="200"/>
        <w:textAlignment w:val="baseline"/>
        <w:rPr>
          <w:rStyle w:val="73"/>
          <w:rFonts w:hint="eastAsia" w:ascii="宋体" w:hAnsi="宋体" w:eastAsia="宋体" w:cs="宋体"/>
          <w:b/>
          <w:bCs/>
          <w:sz w:val="28"/>
          <w:szCs w:val="28"/>
        </w:rPr>
      </w:pPr>
      <w:r>
        <w:rPr>
          <w:rStyle w:val="73"/>
          <w:rFonts w:hint="eastAsia" w:ascii="宋体" w:hAnsi="宋体" w:eastAsia="宋体" w:cs="宋体"/>
          <w:sz w:val="28"/>
          <w:szCs w:val="28"/>
        </w:rPr>
        <w:t>本合同签订后，双方依法签订的补充协议也是本合同文件的组成部分。</w:t>
      </w:r>
    </w:p>
    <w:p w14:paraId="74067042">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第十三条　协议的生效</w:t>
      </w:r>
    </w:p>
    <w:p w14:paraId="25B9D5F6">
      <w:pPr>
        <w:keepNext w:val="0"/>
        <w:keepLines w:val="0"/>
        <w:pageBreakBefore w:val="0"/>
        <w:wordWrap/>
        <w:overflowPunct/>
        <w:topLinePunct w:val="0"/>
        <w:autoSpaceDE/>
        <w:autoSpaceDN/>
        <w:bidi w:val="0"/>
        <w:adjustRightInd/>
        <w:spacing w:line="360" w:lineRule="auto"/>
        <w:ind w:firstLine="720"/>
        <w:textAlignment w:val="baseline"/>
        <w:rPr>
          <w:rStyle w:val="73"/>
          <w:rFonts w:hint="eastAsia" w:ascii="宋体" w:hAnsi="宋体" w:eastAsia="宋体" w:cs="宋体"/>
          <w:sz w:val="28"/>
          <w:szCs w:val="28"/>
        </w:rPr>
      </w:pPr>
      <w:r>
        <w:rPr>
          <w:rFonts w:hint="eastAsia" w:ascii="宋体" w:hAnsi="宋体" w:eastAsia="宋体" w:cs="宋体"/>
          <w:color w:val="000000"/>
          <w:sz w:val="28"/>
          <w:szCs w:val="28"/>
        </w:rPr>
        <w:t>本协议自三方签字盖章之日起生效。</w:t>
      </w:r>
    </w:p>
    <w:p w14:paraId="18D0F39E">
      <w:pPr>
        <w:keepNext w:val="0"/>
        <w:keepLines w:val="0"/>
        <w:pageBreakBefore w:val="0"/>
        <w:wordWrap/>
        <w:overflowPunct/>
        <w:topLinePunct w:val="0"/>
        <w:autoSpaceDE/>
        <w:autoSpaceDN/>
        <w:bidi w:val="0"/>
        <w:adjustRightInd/>
        <w:spacing w:line="360" w:lineRule="auto"/>
        <w:ind w:firstLine="720"/>
        <w:textAlignment w:val="baseline"/>
        <w:rPr>
          <w:rFonts w:hint="eastAsia" w:ascii="宋体" w:hAnsi="宋体" w:eastAsia="宋体" w:cs="宋体"/>
          <w:sz w:val="28"/>
          <w:szCs w:val="28"/>
        </w:rPr>
      </w:pPr>
      <w:r>
        <w:rPr>
          <w:rStyle w:val="73"/>
          <w:rFonts w:hint="eastAsia" w:ascii="宋体" w:hAnsi="宋体" w:eastAsia="宋体" w:cs="宋体"/>
          <w:sz w:val="28"/>
          <w:szCs w:val="28"/>
        </w:rPr>
        <w:t>本合同一式   份，甲乙双方各执    份，</w:t>
      </w:r>
      <w:r>
        <w:rPr>
          <w:rStyle w:val="73"/>
          <w:rFonts w:hint="eastAsia" w:ascii="宋体" w:hAnsi="宋体" w:eastAsia="宋体" w:cs="宋体"/>
          <w:sz w:val="28"/>
          <w:szCs w:val="28"/>
          <w:lang w:val="en-US" w:eastAsia="zh-CN"/>
        </w:rPr>
        <w:t>代理机构</w:t>
      </w:r>
      <w:r>
        <w:rPr>
          <w:rStyle w:val="73"/>
          <w:rFonts w:hint="eastAsia" w:ascii="宋体" w:hAnsi="宋体" w:eastAsia="宋体" w:cs="宋体"/>
          <w:sz w:val="28"/>
          <w:szCs w:val="28"/>
        </w:rPr>
        <w:t>执    份。</w:t>
      </w:r>
    </w:p>
    <w:p w14:paraId="7711C7F0">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第十四条　附加条款</w:t>
      </w:r>
    </w:p>
    <w:p w14:paraId="5DB205C0">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rPr>
        <w:t>本协议履行过程中，甲乙双方就本合同未尽事宜及需进行变更的内容，经协商一致后签订书面补充协议。补充协议作为本协议的一部分，与本协议具有同等法律效力。</w:t>
      </w:r>
    </w:p>
    <w:p w14:paraId="620D761F">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44B02409">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718DFBFB">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6D1D53F5">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2FC515CD">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0F666BBB">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55471CF3">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23EA70B7">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2EBF3680">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71BB0F3C">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11460DA9">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602DF535">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51FD3300">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161B0E8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4F5056C7">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5840EC3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033B49A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4F999E7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590BD9C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614612C4">
      <w:pPr>
        <w:keepNext w:val="0"/>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Fonts w:hint="eastAsia" w:ascii="宋体" w:hAnsi="宋体" w:eastAsia="宋体" w:cs="宋体"/>
          <w:color w:val="000000"/>
          <w:sz w:val="28"/>
          <w:szCs w:val="28"/>
        </w:rPr>
      </w:pPr>
    </w:p>
    <w:tbl>
      <w:tblPr>
        <w:tblStyle w:val="38"/>
        <w:tblpPr w:leftFromText="180" w:rightFromText="180" w:vertAnchor="text" w:horzAnchor="page" w:tblpX="1349" w:tblpY="593"/>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3226"/>
        <w:gridCol w:w="3227"/>
      </w:tblGrid>
      <w:tr w14:paraId="41B1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4131C263">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甲  方</w:t>
            </w:r>
          </w:p>
        </w:tc>
        <w:tc>
          <w:tcPr>
            <w:tcW w:w="3226" w:type="dxa"/>
            <w:noWrap w:val="0"/>
            <w:vAlign w:val="top"/>
          </w:tcPr>
          <w:p w14:paraId="4BF25DCE">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乙  方</w:t>
            </w:r>
          </w:p>
        </w:tc>
        <w:tc>
          <w:tcPr>
            <w:tcW w:w="3227" w:type="dxa"/>
            <w:noWrap w:val="0"/>
            <w:vAlign w:val="top"/>
          </w:tcPr>
          <w:p w14:paraId="134C89D6">
            <w:pPr>
              <w:spacing w:line="420" w:lineRule="exact"/>
              <w:jc w:val="center"/>
              <w:rPr>
                <w:rFonts w:hint="default" w:ascii="宋体" w:hAnsi="宋体" w:eastAsia="宋体" w:cs="宋体"/>
                <w:bCs/>
                <w:color w:val="auto"/>
                <w:sz w:val="24"/>
                <w:szCs w:val="24"/>
                <w:lang w:val="en-US"/>
              </w:rPr>
            </w:pPr>
            <w:r>
              <w:rPr>
                <w:rFonts w:hint="default" w:ascii="宋体" w:hAnsi="宋体" w:eastAsia="宋体" w:cs="宋体"/>
                <w:bCs/>
                <w:color w:val="auto"/>
                <w:sz w:val="24"/>
                <w:szCs w:val="24"/>
                <w:lang w:val="en-US" w:eastAsia="zh-CN"/>
              </w:rPr>
              <w:t>代理机构</w:t>
            </w:r>
          </w:p>
        </w:tc>
      </w:tr>
      <w:tr w14:paraId="63BF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0" w:hRule="atLeast"/>
          <w:jc w:val="center"/>
        </w:trPr>
        <w:tc>
          <w:tcPr>
            <w:tcW w:w="3227" w:type="dxa"/>
            <w:noWrap w:val="0"/>
            <w:vAlign w:val="center"/>
          </w:tcPr>
          <w:p w14:paraId="4C0DD3E6">
            <w:pPr>
              <w:spacing w:line="420" w:lineRule="exact"/>
              <w:jc w:val="center"/>
              <w:rPr>
                <w:rFonts w:hint="eastAsia" w:ascii="宋体" w:hAnsi="宋体" w:eastAsia="宋体" w:cs="宋体"/>
                <w:bCs/>
                <w:color w:val="auto"/>
                <w:sz w:val="24"/>
                <w:szCs w:val="24"/>
              </w:rPr>
            </w:pPr>
          </w:p>
          <w:p w14:paraId="3449D23C">
            <w:pPr>
              <w:spacing w:line="420" w:lineRule="exact"/>
              <w:jc w:val="center"/>
              <w:rPr>
                <w:rFonts w:hint="eastAsia" w:ascii="宋体" w:hAnsi="宋体" w:eastAsia="宋体" w:cs="宋体"/>
                <w:bCs/>
                <w:color w:val="auto"/>
                <w:sz w:val="24"/>
                <w:szCs w:val="24"/>
              </w:rPr>
            </w:pPr>
          </w:p>
          <w:p w14:paraId="75C1D1F7">
            <w:pPr>
              <w:spacing w:line="420" w:lineRule="exact"/>
              <w:jc w:val="center"/>
              <w:rPr>
                <w:rFonts w:hint="eastAsia" w:ascii="宋体" w:hAnsi="宋体" w:eastAsia="宋体" w:cs="宋体"/>
                <w:bCs/>
                <w:color w:val="auto"/>
                <w:sz w:val="24"/>
                <w:szCs w:val="24"/>
              </w:rPr>
            </w:pPr>
          </w:p>
          <w:p w14:paraId="2F33F069">
            <w:pPr>
              <w:spacing w:line="420" w:lineRule="exact"/>
              <w:jc w:val="center"/>
              <w:rPr>
                <w:rFonts w:hint="eastAsia" w:ascii="宋体" w:hAnsi="宋体" w:eastAsia="宋体" w:cs="宋体"/>
                <w:bCs/>
                <w:color w:val="auto"/>
                <w:sz w:val="24"/>
                <w:szCs w:val="24"/>
              </w:rPr>
            </w:pPr>
          </w:p>
          <w:p w14:paraId="428377EF">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3226" w:type="dxa"/>
            <w:noWrap w:val="0"/>
            <w:vAlign w:val="center"/>
          </w:tcPr>
          <w:p w14:paraId="01D13648">
            <w:pPr>
              <w:spacing w:line="420" w:lineRule="exact"/>
              <w:jc w:val="center"/>
              <w:rPr>
                <w:rFonts w:hint="eastAsia" w:ascii="宋体" w:hAnsi="宋体" w:eastAsia="宋体" w:cs="宋体"/>
                <w:bCs/>
                <w:color w:val="auto"/>
                <w:sz w:val="24"/>
                <w:szCs w:val="24"/>
              </w:rPr>
            </w:pPr>
          </w:p>
          <w:p w14:paraId="2F8F31AD">
            <w:pPr>
              <w:spacing w:line="420" w:lineRule="exact"/>
              <w:jc w:val="center"/>
              <w:rPr>
                <w:rFonts w:hint="eastAsia" w:ascii="宋体" w:hAnsi="宋体" w:eastAsia="宋体" w:cs="宋体"/>
                <w:bCs/>
                <w:color w:val="auto"/>
                <w:sz w:val="24"/>
                <w:szCs w:val="24"/>
              </w:rPr>
            </w:pPr>
          </w:p>
          <w:p w14:paraId="3533591C">
            <w:pPr>
              <w:spacing w:line="420" w:lineRule="exact"/>
              <w:jc w:val="center"/>
              <w:rPr>
                <w:rFonts w:hint="eastAsia" w:ascii="宋体" w:hAnsi="宋体" w:eastAsia="宋体" w:cs="宋体"/>
                <w:bCs/>
                <w:color w:val="auto"/>
                <w:sz w:val="24"/>
                <w:szCs w:val="24"/>
              </w:rPr>
            </w:pPr>
          </w:p>
          <w:p w14:paraId="52ECD81E">
            <w:pPr>
              <w:spacing w:line="420" w:lineRule="exact"/>
              <w:jc w:val="center"/>
              <w:rPr>
                <w:rFonts w:hint="eastAsia" w:ascii="宋体" w:hAnsi="宋体" w:eastAsia="宋体" w:cs="宋体"/>
                <w:bCs/>
                <w:color w:val="auto"/>
                <w:sz w:val="24"/>
                <w:szCs w:val="24"/>
              </w:rPr>
            </w:pPr>
          </w:p>
          <w:p w14:paraId="5EA6BC63">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3227" w:type="dxa"/>
            <w:noWrap w:val="0"/>
            <w:vAlign w:val="center"/>
          </w:tcPr>
          <w:p w14:paraId="33FA5F7F">
            <w:pPr>
              <w:spacing w:line="420" w:lineRule="exact"/>
              <w:jc w:val="center"/>
              <w:rPr>
                <w:rFonts w:hint="eastAsia" w:ascii="宋体" w:hAnsi="宋体" w:eastAsia="宋体" w:cs="宋体"/>
                <w:bCs/>
                <w:color w:val="auto"/>
                <w:sz w:val="24"/>
                <w:szCs w:val="24"/>
              </w:rPr>
            </w:pPr>
          </w:p>
          <w:p w14:paraId="7D8A38BC">
            <w:pPr>
              <w:spacing w:line="420" w:lineRule="exact"/>
              <w:jc w:val="center"/>
              <w:rPr>
                <w:rFonts w:hint="eastAsia" w:ascii="宋体" w:hAnsi="宋体" w:eastAsia="宋体" w:cs="宋体"/>
                <w:bCs/>
                <w:color w:val="auto"/>
                <w:sz w:val="24"/>
                <w:szCs w:val="24"/>
              </w:rPr>
            </w:pPr>
          </w:p>
          <w:p w14:paraId="1822903B">
            <w:pPr>
              <w:spacing w:line="420" w:lineRule="exact"/>
              <w:jc w:val="center"/>
              <w:rPr>
                <w:rFonts w:hint="eastAsia" w:ascii="宋体" w:hAnsi="宋体" w:eastAsia="宋体" w:cs="宋体"/>
                <w:bCs/>
                <w:color w:val="auto"/>
                <w:sz w:val="24"/>
                <w:szCs w:val="24"/>
              </w:rPr>
            </w:pPr>
          </w:p>
          <w:p w14:paraId="296682EA">
            <w:pPr>
              <w:spacing w:line="420" w:lineRule="exact"/>
              <w:jc w:val="center"/>
              <w:rPr>
                <w:rFonts w:hint="eastAsia" w:ascii="宋体" w:hAnsi="宋体" w:eastAsia="宋体" w:cs="宋体"/>
                <w:bCs/>
                <w:color w:val="auto"/>
                <w:sz w:val="24"/>
                <w:szCs w:val="24"/>
              </w:rPr>
            </w:pPr>
          </w:p>
          <w:p w14:paraId="7DC36A2F">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r>
      <w:tr w14:paraId="667F2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3227" w:type="dxa"/>
            <w:noWrap w:val="0"/>
            <w:vAlign w:val="top"/>
          </w:tcPr>
          <w:p w14:paraId="2DD398CE">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3226" w:type="dxa"/>
            <w:noWrap w:val="0"/>
            <w:vAlign w:val="top"/>
          </w:tcPr>
          <w:p w14:paraId="38BF4652">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3227" w:type="dxa"/>
            <w:noWrap w:val="0"/>
            <w:vAlign w:val="top"/>
          </w:tcPr>
          <w:p w14:paraId="29DD4714">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r>
              <w:rPr>
                <w:rFonts w:hint="eastAsia" w:ascii="宋体" w:hAnsi="宋体" w:eastAsia="宋体" w:cs="宋体"/>
                <w:bCs/>
                <w:color w:val="auto"/>
                <w:sz w:val="24"/>
                <w:szCs w:val="24"/>
                <w:lang w:val="en-US" w:eastAsia="zh-CN"/>
              </w:rPr>
              <w:t>延安市新区盛世花园北区12号楼1单元802室</w:t>
            </w:r>
          </w:p>
        </w:tc>
      </w:tr>
      <w:tr w14:paraId="6CE2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3E93EF9B">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3226" w:type="dxa"/>
            <w:noWrap w:val="0"/>
            <w:vAlign w:val="top"/>
          </w:tcPr>
          <w:p w14:paraId="4571AD76">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3227" w:type="dxa"/>
            <w:noWrap w:val="0"/>
            <w:vAlign w:val="top"/>
          </w:tcPr>
          <w:p w14:paraId="61E1A0BC">
            <w:pPr>
              <w:spacing w:line="420" w:lineRule="exact"/>
              <w:rPr>
                <w:rFonts w:hint="eastAsia" w:ascii="宋体" w:hAnsi="宋体" w:eastAsia="宋体" w:cs="宋体"/>
                <w:bCs/>
                <w:color w:val="auto"/>
                <w:sz w:val="24"/>
                <w:szCs w:val="24"/>
                <w:lang w:val="en-US"/>
              </w:rPr>
            </w:pPr>
            <w:r>
              <w:rPr>
                <w:rFonts w:hint="eastAsia" w:ascii="宋体" w:hAnsi="宋体" w:eastAsia="宋体" w:cs="宋体"/>
                <w:bCs/>
                <w:color w:val="auto"/>
                <w:sz w:val="24"/>
                <w:szCs w:val="24"/>
              </w:rPr>
              <w:t>邮编：</w:t>
            </w:r>
            <w:r>
              <w:rPr>
                <w:rFonts w:hint="eastAsia" w:ascii="宋体" w:hAnsi="宋体" w:eastAsia="宋体" w:cs="宋体"/>
                <w:bCs/>
                <w:color w:val="auto"/>
                <w:sz w:val="24"/>
                <w:szCs w:val="24"/>
                <w:lang w:val="en-US" w:eastAsia="zh-CN"/>
              </w:rPr>
              <w:t>716000</w:t>
            </w:r>
          </w:p>
        </w:tc>
      </w:tr>
      <w:tr w14:paraId="2EDD8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7C5519B2">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 </w:t>
            </w:r>
          </w:p>
        </w:tc>
        <w:tc>
          <w:tcPr>
            <w:tcW w:w="3226" w:type="dxa"/>
            <w:noWrap w:val="0"/>
            <w:vAlign w:val="top"/>
          </w:tcPr>
          <w:p w14:paraId="1B502616">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c>
          <w:tcPr>
            <w:tcW w:w="3227" w:type="dxa"/>
            <w:noWrap w:val="0"/>
            <w:vAlign w:val="top"/>
          </w:tcPr>
          <w:p w14:paraId="7D9FA9F5">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r>
      <w:tr w14:paraId="49FE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227" w:type="dxa"/>
            <w:noWrap w:val="0"/>
            <w:vAlign w:val="top"/>
          </w:tcPr>
          <w:p w14:paraId="55B93B6B">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3226" w:type="dxa"/>
            <w:noWrap w:val="0"/>
            <w:vAlign w:val="top"/>
          </w:tcPr>
          <w:p w14:paraId="0DC8A587">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3227" w:type="dxa"/>
            <w:noWrap w:val="0"/>
            <w:vAlign w:val="top"/>
          </w:tcPr>
          <w:p w14:paraId="22000073">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承办人：</w:t>
            </w:r>
          </w:p>
        </w:tc>
      </w:tr>
      <w:tr w14:paraId="409AB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073CA2D9">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3226" w:type="dxa"/>
            <w:noWrap w:val="0"/>
            <w:vAlign w:val="top"/>
          </w:tcPr>
          <w:p w14:paraId="5F56889E">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3227" w:type="dxa"/>
            <w:noWrap w:val="0"/>
            <w:vAlign w:val="top"/>
          </w:tcPr>
          <w:p w14:paraId="3F979680">
            <w:pPr>
              <w:spacing w:line="420" w:lineRule="exact"/>
              <w:rPr>
                <w:rFonts w:hint="eastAsia" w:ascii="宋体" w:hAnsi="宋体" w:eastAsia="宋体" w:cs="宋体"/>
                <w:bCs/>
                <w:color w:val="auto"/>
                <w:sz w:val="24"/>
                <w:szCs w:val="24"/>
                <w:lang w:val="en-US"/>
              </w:rPr>
            </w:pPr>
            <w:r>
              <w:rPr>
                <w:rFonts w:hint="eastAsia" w:ascii="宋体" w:hAnsi="宋体" w:eastAsia="宋体" w:cs="宋体"/>
                <w:bCs/>
                <w:color w:val="auto"/>
                <w:sz w:val="24"/>
                <w:szCs w:val="24"/>
              </w:rPr>
              <w:t>电话：</w:t>
            </w:r>
            <w:r>
              <w:rPr>
                <w:rFonts w:hint="eastAsia" w:ascii="宋体" w:hAnsi="宋体" w:eastAsia="宋体" w:cs="宋体"/>
                <w:bCs/>
                <w:color w:val="auto"/>
                <w:sz w:val="24"/>
                <w:szCs w:val="24"/>
                <w:lang w:val="en-US" w:eastAsia="zh-CN"/>
              </w:rPr>
              <w:t xml:space="preserve"> 0911-8688810</w:t>
            </w:r>
          </w:p>
        </w:tc>
      </w:tr>
      <w:tr w14:paraId="7823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48DA2DD8">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传真：</w:t>
            </w:r>
          </w:p>
        </w:tc>
        <w:tc>
          <w:tcPr>
            <w:tcW w:w="3226" w:type="dxa"/>
            <w:noWrap w:val="0"/>
            <w:vAlign w:val="top"/>
          </w:tcPr>
          <w:p w14:paraId="7DE9B257">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传真：</w:t>
            </w:r>
          </w:p>
        </w:tc>
        <w:tc>
          <w:tcPr>
            <w:tcW w:w="3227" w:type="dxa"/>
            <w:noWrap w:val="0"/>
            <w:vAlign w:val="top"/>
          </w:tcPr>
          <w:p w14:paraId="1CECD970">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传真： </w:t>
            </w:r>
          </w:p>
        </w:tc>
      </w:tr>
      <w:tr w14:paraId="1BFF3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3227" w:type="dxa"/>
            <w:noWrap w:val="0"/>
            <w:vAlign w:val="top"/>
          </w:tcPr>
          <w:p w14:paraId="4064908C">
            <w:pPr>
              <w:spacing w:line="420" w:lineRule="exact"/>
              <w:rPr>
                <w:rFonts w:hint="eastAsia" w:ascii="宋体" w:hAnsi="宋体" w:eastAsia="宋体" w:cs="宋体"/>
                <w:bCs/>
                <w:color w:val="auto"/>
                <w:sz w:val="24"/>
                <w:szCs w:val="24"/>
              </w:rPr>
            </w:pPr>
          </w:p>
        </w:tc>
        <w:tc>
          <w:tcPr>
            <w:tcW w:w="3226" w:type="dxa"/>
            <w:noWrap w:val="0"/>
            <w:vAlign w:val="top"/>
          </w:tcPr>
          <w:p w14:paraId="767B6B0A">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开户银行：</w:t>
            </w:r>
          </w:p>
          <w:p w14:paraId="1C8FF009">
            <w:pPr>
              <w:spacing w:line="420" w:lineRule="exact"/>
              <w:rPr>
                <w:rFonts w:hint="eastAsia" w:ascii="宋体" w:hAnsi="宋体" w:eastAsia="宋体" w:cs="宋体"/>
                <w:bCs/>
                <w:color w:val="auto"/>
                <w:sz w:val="24"/>
                <w:szCs w:val="24"/>
              </w:rPr>
            </w:pPr>
          </w:p>
        </w:tc>
        <w:tc>
          <w:tcPr>
            <w:tcW w:w="3227" w:type="dxa"/>
            <w:noWrap w:val="0"/>
            <w:vAlign w:val="top"/>
          </w:tcPr>
          <w:p w14:paraId="4984595A">
            <w:pPr>
              <w:spacing w:line="420" w:lineRule="exact"/>
              <w:rPr>
                <w:rFonts w:hint="eastAsia" w:ascii="宋体" w:hAnsi="宋体" w:eastAsia="宋体" w:cs="宋体"/>
                <w:bCs/>
                <w:color w:val="auto"/>
                <w:sz w:val="24"/>
                <w:szCs w:val="24"/>
              </w:rPr>
            </w:pPr>
          </w:p>
        </w:tc>
      </w:tr>
      <w:tr w14:paraId="31BC3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04517BD2">
            <w:pPr>
              <w:spacing w:line="420" w:lineRule="exact"/>
              <w:rPr>
                <w:rFonts w:hint="eastAsia" w:ascii="宋体" w:hAnsi="宋体" w:eastAsia="宋体" w:cs="宋体"/>
                <w:bCs/>
                <w:color w:val="auto"/>
                <w:sz w:val="24"/>
                <w:szCs w:val="24"/>
              </w:rPr>
            </w:pPr>
          </w:p>
        </w:tc>
        <w:tc>
          <w:tcPr>
            <w:tcW w:w="3226" w:type="dxa"/>
            <w:noWrap w:val="0"/>
            <w:vAlign w:val="top"/>
          </w:tcPr>
          <w:p w14:paraId="53EC0D93">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帐号：</w:t>
            </w:r>
          </w:p>
        </w:tc>
        <w:tc>
          <w:tcPr>
            <w:tcW w:w="3227" w:type="dxa"/>
            <w:noWrap w:val="0"/>
            <w:vAlign w:val="top"/>
          </w:tcPr>
          <w:p w14:paraId="4C2974EA">
            <w:pPr>
              <w:spacing w:line="420" w:lineRule="exact"/>
              <w:rPr>
                <w:rFonts w:hint="eastAsia" w:ascii="宋体" w:hAnsi="宋体" w:eastAsia="宋体" w:cs="宋体"/>
                <w:bCs/>
                <w:color w:val="auto"/>
                <w:sz w:val="24"/>
                <w:szCs w:val="24"/>
              </w:rPr>
            </w:pPr>
          </w:p>
        </w:tc>
      </w:tr>
      <w:tr w14:paraId="559B8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3227" w:type="dxa"/>
            <w:noWrap w:val="0"/>
            <w:vAlign w:val="top"/>
          </w:tcPr>
          <w:p w14:paraId="4951DE74">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3226" w:type="dxa"/>
            <w:noWrap w:val="0"/>
            <w:vAlign w:val="top"/>
          </w:tcPr>
          <w:p w14:paraId="781B80B1">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3227" w:type="dxa"/>
            <w:noWrap w:val="0"/>
            <w:vAlign w:val="top"/>
          </w:tcPr>
          <w:p w14:paraId="3B83A53F">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r>
    </w:tbl>
    <w:p w14:paraId="6D52AB7E">
      <w:pPr>
        <w:spacing w:line="600" w:lineRule="atLeast"/>
        <w:rPr>
          <w:rFonts w:hint="eastAsia" w:ascii="宋体" w:hAnsi="宋体" w:cs="宋体"/>
          <w:sz w:val="28"/>
          <w:szCs w:val="28"/>
        </w:rPr>
        <w:sectPr>
          <w:footerReference r:id="rId11"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05ADDC5B">
      <w:pPr>
        <w:pStyle w:val="2"/>
        <w:keepNext w:val="0"/>
        <w:pageBreakBefore/>
        <w:numPr>
          <w:ilvl w:val="0"/>
          <w:numId w:val="0"/>
        </w:numPr>
        <w:jc w:val="center"/>
        <w:rPr>
          <w:rFonts w:ascii="宋体" w:hAnsi="宋体" w:cs="宋体"/>
          <w:color w:val="000000"/>
          <w:szCs w:val="32"/>
        </w:rPr>
      </w:pPr>
      <w:r>
        <w:rPr>
          <w:rFonts w:hint="eastAsia" w:ascii="宋体" w:hAnsi="宋体" w:cs="宋体"/>
          <w:b/>
          <w:color w:val="000000"/>
          <w:kern w:val="44"/>
          <w:sz w:val="32"/>
          <w:szCs w:val="32"/>
          <w:lang w:val="en-US" w:eastAsia="zh-CN" w:bidi="ar-SA"/>
        </w:rPr>
        <w:t>第五章</w:t>
      </w:r>
      <w:r>
        <w:rPr>
          <w:rFonts w:ascii="宋体" w:hAnsi="宋体" w:cs="宋体"/>
          <w:color w:val="000000"/>
          <w:szCs w:val="32"/>
        </w:rPr>
        <w:t xml:space="preserve"> </w:t>
      </w:r>
      <w:bookmarkStart w:id="315" w:name="_Toc16046"/>
      <w:r>
        <w:rPr>
          <w:rFonts w:ascii="宋体" w:hAnsi="宋体" w:cs="宋体"/>
          <w:color w:val="000000"/>
          <w:szCs w:val="32"/>
        </w:rPr>
        <w:t>采购内容和技术要求</w:t>
      </w:r>
      <w:bookmarkEnd w:id="315"/>
    </w:p>
    <w:p w14:paraId="67378ACD">
      <w:pPr>
        <w:keepNext/>
        <w:keepLines w:val="0"/>
        <w:pageBreakBefore w:val="0"/>
        <w:widowControl w:val="0"/>
        <w:numPr>
          <w:ilvl w:val="0"/>
          <w:numId w:val="0"/>
        </w:numPr>
        <w:tabs>
          <w:tab w:val="left" w:pos="0"/>
        </w:tabs>
        <w:kinsoku/>
        <w:wordWrap/>
        <w:overflowPunct/>
        <w:topLinePunct w:val="0"/>
        <w:bidi w:val="0"/>
        <w:snapToGrid w:val="0"/>
        <w:spacing w:line="600" w:lineRule="exact"/>
        <w:ind w:left="0" w:leftChars="0" w:right="0" w:firstLine="482" w:firstLineChars="200"/>
        <w:textAlignment w:val="auto"/>
        <w:rPr>
          <w:rStyle w:val="73"/>
          <w:rFonts w:hint="eastAsia" w:ascii="宋体" w:hAnsi="宋体" w:eastAsia="宋体" w:cs="宋体"/>
          <w:b/>
          <w:sz w:val="24"/>
          <w:szCs w:val="24"/>
        </w:rPr>
      </w:pPr>
      <w:r>
        <w:rPr>
          <w:rFonts w:hint="eastAsia" w:ascii="宋体" w:hAnsi="宋体" w:eastAsia="宋体" w:cs="宋体"/>
          <w:b/>
          <w:kern w:val="2"/>
          <w:sz w:val="24"/>
          <w:szCs w:val="24"/>
          <w:lang w:val="en-US" w:eastAsia="zh-CN" w:bidi="ar-SA"/>
        </w:rPr>
        <w:t>一、</w:t>
      </w:r>
      <w:r>
        <w:rPr>
          <w:rStyle w:val="73"/>
          <w:rFonts w:hint="eastAsia" w:ascii="宋体" w:hAnsi="宋体" w:eastAsia="宋体" w:cs="宋体"/>
          <w:b/>
          <w:sz w:val="24"/>
          <w:szCs w:val="24"/>
        </w:rPr>
        <w:t>服务内容</w:t>
      </w:r>
    </w:p>
    <w:p w14:paraId="4D80B014">
      <w:pPr>
        <w:pStyle w:val="13"/>
        <w:keepLines w:val="0"/>
        <w:pageBreakBefore w:val="0"/>
        <w:widowControl w:val="0"/>
        <w:kinsoku/>
        <w:wordWrap/>
        <w:overflowPunct/>
        <w:topLinePunct w:val="0"/>
        <w:bidi w:val="0"/>
        <w:spacing w:line="600" w:lineRule="exact"/>
        <w:ind w:left="0" w:right="0" w:firstLine="640"/>
        <w:textAlignment w:val="auto"/>
        <w:rPr>
          <w:rFonts w:hint="eastAsia" w:ascii="宋体" w:hAnsi="宋体" w:eastAsia="宋体" w:cs="宋体"/>
          <w:sz w:val="24"/>
          <w:szCs w:val="24"/>
        </w:rPr>
      </w:pPr>
      <w:r>
        <w:rPr>
          <w:rFonts w:hint="eastAsia" w:ascii="宋体" w:hAnsi="宋体" w:eastAsia="宋体" w:cs="宋体"/>
          <w:sz w:val="24"/>
          <w:szCs w:val="24"/>
        </w:rPr>
        <w:t>按照要求编制《宜川县城市公益性公墓及殡仪馆提升改造项目农用地转用和土地征收组卷报批</w:t>
      </w:r>
      <w:r>
        <w:rPr>
          <w:rFonts w:hint="eastAsia" w:ascii="宋体" w:hAnsi="宋体" w:eastAsia="宋体" w:cs="宋体"/>
          <w:bCs/>
          <w:sz w:val="24"/>
          <w:szCs w:val="24"/>
        </w:rPr>
        <w:t>服务</w:t>
      </w:r>
      <w:r>
        <w:rPr>
          <w:rFonts w:hint="eastAsia" w:ascii="宋体" w:hAnsi="宋体" w:eastAsia="宋体" w:cs="宋体"/>
          <w:sz w:val="24"/>
          <w:szCs w:val="24"/>
        </w:rPr>
        <w:t>》工作内容包括：确定项目范围；办理项目土地预选址意见书；节约集约用地论证分析专章报告；编制项目可行性研究报告；项目初步设计报告；勘测定界及地类认定；完成稳定性风险评估；地质灾害评估报告及备案；林、草地审核同意书；水土保持方案及批复；环境影响评价报告及批复；压覆重要矿产资源批复；建设用地土地组卷报批通过县市省审查并取得陕西省人民政府建设用地批文等工作。</w:t>
      </w:r>
    </w:p>
    <w:p w14:paraId="1572D981">
      <w:pPr>
        <w:pStyle w:val="13"/>
        <w:keepLines w:val="0"/>
        <w:pageBreakBefore w:val="0"/>
        <w:widowControl w:val="0"/>
        <w:kinsoku/>
        <w:wordWrap/>
        <w:overflowPunct/>
        <w:topLinePunct w:val="0"/>
        <w:bidi w:val="0"/>
        <w:spacing w:line="600" w:lineRule="exact"/>
        <w:ind w:left="0" w:right="0" w:firstLine="640"/>
        <w:textAlignment w:val="auto"/>
        <w:rPr>
          <w:rFonts w:hint="eastAsia" w:ascii="宋体" w:hAnsi="宋体" w:eastAsia="宋体" w:cs="宋体"/>
          <w:sz w:val="24"/>
          <w:szCs w:val="24"/>
        </w:rPr>
      </w:pPr>
      <w:r>
        <w:rPr>
          <w:rFonts w:hint="eastAsia" w:ascii="宋体" w:hAnsi="宋体" w:eastAsia="宋体" w:cs="宋体"/>
          <w:sz w:val="24"/>
          <w:szCs w:val="24"/>
        </w:rPr>
        <w:t>附件：宜川县城市公益性公墓及殡仪馆提升改造项目农用地转用和土地征收组卷报批</w:t>
      </w:r>
      <w:r>
        <w:rPr>
          <w:rFonts w:hint="eastAsia" w:ascii="宋体" w:hAnsi="宋体" w:eastAsia="宋体" w:cs="宋体"/>
          <w:bCs/>
          <w:sz w:val="24"/>
          <w:szCs w:val="24"/>
        </w:rPr>
        <w:t>服务</w:t>
      </w:r>
      <w:r>
        <w:rPr>
          <w:rFonts w:hint="eastAsia" w:ascii="宋体" w:hAnsi="宋体" w:eastAsia="宋体" w:cs="宋体"/>
          <w:sz w:val="24"/>
          <w:szCs w:val="24"/>
        </w:rPr>
        <w:t>工作内容明细表</w:t>
      </w:r>
    </w:p>
    <w:tbl>
      <w:tblPr>
        <w:tblStyle w:val="38"/>
        <w:tblW w:w="8300" w:type="dxa"/>
        <w:tblInd w:w="14" w:type="dxa"/>
        <w:tblLayout w:type="fixed"/>
        <w:tblCellMar>
          <w:top w:w="0" w:type="dxa"/>
          <w:left w:w="108" w:type="dxa"/>
          <w:bottom w:w="0" w:type="dxa"/>
          <w:right w:w="108" w:type="dxa"/>
        </w:tblCellMar>
      </w:tblPr>
      <w:tblGrid>
        <w:gridCol w:w="970"/>
        <w:gridCol w:w="3428"/>
        <w:gridCol w:w="3902"/>
      </w:tblGrid>
      <w:tr w14:paraId="0B170AAB">
        <w:tblPrEx>
          <w:tblCellMar>
            <w:top w:w="0" w:type="dxa"/>
            <w:left w:w="108" w:type="dxa"/>
            <w:bottom w:w="0" w:type="dxa"/>
            <w:right w:w="108" w:type="dxa"/>
          </w:tblCellMar>
        </w:tblPrEx>
        <w:trPr>
          <w:trHeight w:val="508"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3FBA0A3">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194B73E">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名称</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F0857A8">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内容</w:t>
            </w:r>
          </w:p>
        </w:tc>
      </w:tr>
      <w:tr w14:paraId="441F0D15">
        <w:tblPrEx>
          <w:tblCellMar>
            <w:top w:w="0" w:type="dxa"/>
            <w:left w:w="108" w:type="dxa"/>
            <w:bottom w:w="0" w:type="dxa"/>
            <w:right w:w="108" w:type="dxa"/>
          </w:tblCellMar>
        </w:tblPrEx>
        <w:trPr>
          <w:trHeight w:val="1858"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1B9C406">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bookmarkStart w:id="316" w:name="_Hlk234494858"/>
            <w:r>
              <w:rPr>
                <w:rFonts w:hint="eastAsia" w:ascii="宋体" w:hAnsi="宋体" w:eastAsia="宋体" w:cs="宋体"/>
                <w:color w:val="000000"/>
                <w:sz w:val="24"/>
                <w:szCs w:val="24"/>
              </w:rPr>
              <w:t>1</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94729F5">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土地预选址意见书</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184561C">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负责办理项目前期核查地块规划合规、用地规模、地类管控等事项，向自然资源部门提交预审材料申请，通过审查后，核发预选址意见书。</w:t>
            </w:r>
          </w:p>
        </w:tc>
      </w:tr>
      <w:bookmarkEnd w:id="316"/>
      <w:tr w14:paraId="7D1FF361">
        <w:tblPrEx>
          <w:tblCellMar>
            <w:top w:w="0" w:type="dxa"/>
            <w:left w:w="108" w:type="dxa"/>
            <w:bottom w:w="0" w:type="dxa"/>
            <w:right w:w="108" w:type="dxa"/>
          </w:tblCellMar>
        </w:tblPrEx>
        <w:trPr>
          <w:trHeight w:val="2215"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83E367D">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D9F8F89">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节约集约用地论证分析专章报告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D6519DB">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对项目占用耕地必要性和合理性、用地规模与功能分区合理性、节地水平先进性，进行多方案必选结论，并编制节约集约专章报告，上报自然资源部门审查通过后，取得相关批复。</w:t>
            </w:r>
          </w:p>
        </w:tc>
      </w:tr>
      <w:tr w14:paraId="456554F5">
        <w:tblPrEx>
          <w:tblCellMar>
            <w:top w:w="0" w:type="dxa"/>
            <w:left w:w="108" w:type="dxa"/>
            <w:bottom w:w="0" w:type="dxa"/>
            <w:right w:w="108" w:type="dxa"/>
          </w:tblCellMar>
        </w:tblPrEx>
        <w:trPr>
          <w:trHeight w:val="2327"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559A8DA">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BFACAB3">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可行性研究报告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57FE419">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对项目建设必要性、选址用地、工程技术方案、投资估算、资源配套等方面进行多维度论证，编制可研报告并提交行业主管部门审批，并拿到相关批复文件。</w:t>
            </w:r>
          </w:p>
        </w:tc>
      </w:tr>
      <w:tr w14:paraId="0F6D66A6">
        <w:tblPrEx>
          <w:tblCellMar>
            <w:top w:w="0" w:type="dxa"/>
            <w:left w:w="108" w:type="dxa"/>
            <w:bottom w:w="0" w:type="dxa"/>
            <w:right w:w="108" w:type="dxa"/>
          </w:tblCellMar>
        </w:tblPrEx>
        <w:trPr>
          <w:trHeight w:val="2728"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6AB0149">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AAF2A6D">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初步设计报告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CD90D8B">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对项目建筑结构、电气、暖通等各专业设计，配套工程、总平面设计、工程概算、节能、消防、环保等专项设计，细化各专业工程方案并编制概算，形成初步设计报告报送主管部门评审，并取得相关批复文件。</w:t>
            </w:r>
          </w:p>
        </w:tc>
      </w:tr>
      <w:tr w14:paraId="2E622E90">
        <w:tblPrEx>
          <w:tblCellMar>
            <w:top w:w="0" w:type="dxa"/>
            <w:left w:w="108" w:type="dxa"/>
            <w:bottom w:w="0" w:type="dxa"/>
            <w:right w:w="108" w:type="dxa"/>
          </w:tblCellMar>
        </w:tblPrEx>
        <w:trPr>
          <w:trHeight w:val="2399"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1AE34C3">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8AEB1A9">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勘测定界及地类认定</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025703F">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对项目实地测量用地边界、界址坐标，查清地块权属、地类、各地类面积并绘图制表形成技术测绘成果，上报自然资源部门审查后，出具正式勘测定界报告</w:t>
            </w:r>
          </w:p>
        </w:tc>
      </w:tr>
      <w:tr w14:paraId="4724679D">
        <w:tblPrEx>
          <w:tblCellMar>
            <w:top w:w="0" w:type="dxa"/>
            <w:left w:w="108" w:type="dxa"/>
            <w:bottom w:w="0" w:type="dxa"/>
            <w:right w:w="108" w:type="dxa"/>
          </w:tblCellMar>
        </w:tblPrEx>
        <w:trPr>
          <w:trHeight w:val="2754"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0DD45DB">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7716DA5C">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bookmarkStart w:id="317" w:name="OLE_LINK3"/>
            <w:bookmarkStart w:id="318" w:name="OLE_LINK4"/>
            <w:r>
              <w:rPr>
                <w:rFonts w:hint="eastAsia" w:ascii="宋体" w:hAnsi="宋体" w:eastAsia="宋体" w:cs="宋体"/>
                <w:color w:val="000000"/>
                <w:sz w:val="24"/>
                <w:szCs w:val="24"/>
              </w:rPr>
              <w:t>稳定性风险评估</w:t>
            </w:r>
            <w:bookmarkEnd w:id="317"/>
            <w:bookmarkEnd w:id="318"/>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DABA078">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负责办理建设项目稳评和土地征收稳评，评估项目整体全流程社会风险评估编制项目稳定性风险评估；走访征求群众意见，排查征地拆迁、环境影响等隐患，编制土地征收稳评分析材料并经专家评审通过、政法委备案。</w:t>
            </w:r>
          </w:p>
        </w:tc>
      </w:tr>
      <w:tr w14:paraId="36905111">
        <w:tblPrEx>
          <w:tblCellMar>
            <w:top w:w="0" w:type="dxa"/>
            <w:left w:w="108" w:type="dxa"/>
            <w:bottom w:w="0" w:type="dxa"/>
            <w:right w:w="108" w:type="dxa"/>
          </w:tblCellMar>
        </w:tblPrEx>
        <w:trPr>
          <w:trHeight w:val="3027"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A11B5EC">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73D2AF4B">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地质灾害评估报告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B97102E">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针对项目区现有滑坡、危岩、泥石流等隐患分布、规模进行现状评估，划分危险等级，收集区域地质灾害资料进行现场踏勘，并编制评估报告，组织专家评审通过后，上报自然资源部门备案，取得备案意见。</w:t>
            </w:r>
          </w:p>
        </w:tc>
      </w:tr>
      <w:tr w14:paraId="67969FB0">
        <w:tblPrEx>
          <w:tblCellMar>
            <w:top w:w="0" w:type="dxa"/>
            <w:left w:w="108" w:type="dxa"/>
            <w:bottom w:w="0" w:type="dxa"/>
            <w:right w:w="108" w:type="dxa"/>
          </w:tblCellMar>
        </w:tblPrEx>
        <w:trPr>
          <w:trHeight w:val="2325"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9C3833C">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D174B47">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林、草地审核同意书</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4E15D50">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编制林、草地使用专项报告并备齐项目手续向林业部门申报，林业部门进行现场查验、公示占地情况，并上报上级主管部门审查通过后，缴纳植被恢复费，并核发林、草地审核同意书。</w:t>
            </w:r>
          </w:p>
        </w:tc>
      </w:tr>
      <w:tr w14:paraId="7CD06827">
        <w:tblPrEx>
          <w:tblCellMar>
            <w:top w:w="0" w:type="dxa"/>
            <w:left w:w="108" w:type="dxa"/>
            <w:bottom w:w="0" w:type="dxa"/>
            <w:right w:w="108" w:type="dxa"/>
          </w:tblCellMar>
        </w:tblPrEx>
        <w:trPr>
          <w:trHeight w:val="3813"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A923E26">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39AEC53">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水土保持方案</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22C4F9B5">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地形地貌、土石方平衡、生态环境、水土流失现状实地勘测，核查区域内水土保持划分、生态红线、水土保持管控要求，完成现状水土流失评价，按照相关规范要求编制水土保持方案，并上报主管部门评审通过后，缴纳水土保持补偿费，取得相关批复文件。</w:t>
            </w:r>
          </w:p>
        </w:tc>
      </w:tr>
      <w:tr w14:paraId="6B13CAE7">
        <w:tblPrEx>
          <w:tblCellMar>
            <w:top w:w="0" w:type="dxa"/>
            <w:left w:w="108" w:type="dxa"/>
            <w:bottom w:w="0" w:type="dxa"/>
            <w:right w:w="108" w:type="dxa"/>
          </w:tblCellMar>
        </w:tblPrEx>
        <w:trPr>
          <w:trHeight w:val="3124"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55DCF3A">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8179DDF">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环境影响评价报告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C74D2B0">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选址周围环境现状分析，工程产污分析，环保治理措施，公示参与，采纳收集群众意见，收集区域内环境监测数据，现场踏勘，编制环评报告，组织专家评审通过后，上报生态环境局审批备案，取得相关批复文件。</w:t>
            </w:r>
          </w:p>
        </w:tc>
      </w:tr>
      <w:tr w14:paraId="210FFE0E">
        <w:tblPrEx>
          <w:tblCellMar>
            <w:top w:w="0" w:type="dxa"/>
            <w:left w:w="108" w:type="dxa"/>
            <w:bottom w:w="0" w:type="dxa"/>
            <w:right w:w="108" w:type="dxa"/>
          </w:tblCellMar>
        </w:tblPrEx>
        <w:trPr>
          <w:trHeight w:val="1784"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77041504">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FAABDA0">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压覆重要矿产资源批复</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118F5B9">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对项目区域内是否涉及矿产资源、已设探矿权、采矿权、国家规划矿区进行核实分析，并上报主管部门进行审核确认，最终取得相关批复文件。</w:t>
            </w:r>
          </w:p>
        </w:tc>
      </w:tr>
      <w:tr w14:paraId="4831A6FF">
        <w:tblPrEx>
          <w:tblCellMar>
            <w:top w:w="0" w:type="dxa"/>
            <w:left w:w="108" w:type="dxa"/>
            <w:bottom w:w="0" w:type="dxa"/>
            <w:right w:w="108" w:type="dxa"/>
          </w:tblCellMar>
        </w:tblPrEx>
        <w:trPr>
          <w:trHeight w:val="2746"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2A8D947D">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08D9347">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土地组卷报批</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FFC17E0">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项目完成立项、初设、地灾、林草地批复等单项资料后，出具勘测定界报告，履行征地程序，编制相关报批材料后，上报县、市、省级自然资源部门审查通过后，上报省政府审批，拿到建设用地批复文件。</w:t>
            </w:r>
          </w:p>
        </w:tc>
      </w:tr>
    </w:tbl>
    <w:p w14:paraId="2FAF39F1">
      <w:pPr>
        <w:keepNext/>
        <w:keepLines w:val="0"/>
        <w:pageBreakBefore w:val="0"/>
        <w:widowControl w:val="0"/>
        <w:tabs>
          <w:tab w:val="left" w:pos="0"/>
        </w:tabs>
        <w:kinsoku/>
        <w:wordWrap/>
        <w:overflowPunct/>
        <w:topLinePunct w:val="0"/>
        <w:bidi w:val="0"/>
        <w:snapToGrid w:val="0"/>
        <w:spacing w:line="600" w:lineRule="exact"/>
        <w:ind w:left="0" w:right="0"/>
        <w:textAlignment w:val="auto"/>
        <w:rPr>
          <w:rStyle w:val="73"/>
          <w:rFonts w:hint="eastAsia" w:ascii="宋体" w:hAnsi="宋体" w:eastAsia="宋体" w:cs="宋体"/>
          <w:b/>
          <w:kern w:val="0"/>
          <w:sz w:val="24"/>
          <w:szCs w:val="24"/>
        </w:rPr>
      </w:pPr>
      <w:r>
        <w:rPr>
          <w:rStyle w:val="73"/>
          <w:rFonts w:hint="eastAsia" w:ascii="宋体" w:hAnsi="宋体" w:eastAsia="宋体" w:cs="宋体"/>
          <w:b/>
          <w:kern w:val="0"/>
          <w:sz w:val="24"/>
          <w:szCs w:val="24"/>
        </w:rPr>
        <w:t>二、服务目标</w:t>
      </w:r>
    </w:p>
    <w:p w14:paraId="43DAC21B">
      <w:pPr>
        <w:keepLines w:val="0"/>
        <w:pageBreakBefore w:val="0"/>
        <w:widowControl w:val="0"/>
        <w:kinsoku/>
        <w:wordWrap/>
        <w:overflowPunct/>
        <w:topLinePunct w:val="0"/>
        <w:bidi w:val="0"/>
        <w:spacing w:line="6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本次采购的宜川县城市公益性公墓及殡仪馆提升改造项目农用地转用和土地征收组卷报批</w:t>
      </w:r>
      <w:r>
        <w:rPr>
          <w:rStyle w:val="73"/>
          <w:rFonts w:hint="eastAsia" w:ascii="宋体" w:hAnsi="宋体" w:eastAsia="宋体" w:cs="宋体"/>
          <w:sz w:val="24"/>
          <w:szCs w:val="24"/>
        </w:rPr>
        <w:t>服务</w:t>
      </w:r>
      <w:r>
        <w:rPr>
          <w:rFonts w:hint="eastAsia" w:ascii="宋体" w:hAnsi="宋体" w:eastAsia="宋体" w:cs="宋体"/>
          <w:sz w:val="24"/>
          <w:szCs w:val="24"/>
        </w:rPr>
        <w:t>工作，必须按照《中华人民共和国土地管理法》的相关规定实施，按时完成各项报告编制、组卷等工作内容，及时上报，进而完成土地报批工作。</w:t>
      </w:r>
    </w:p>
    <w:p w14:paraId="392F511B">
      <w:pPr>
        <w:keepLines w:val="0"/>
        <w:pageBreakBefore w:val="0"/>
        <w:widowControl w:val="0"/>
        <w:kinsoku/>
        <w:wordWrap/>
        <w:overflowPunct/>
        <w:topLinePunct w:val="0"/>
        <w:bidi w:val="0"/>
        <w:spacing w:line="600" w:lineRule="exact"/>
        <w:ind w:left="0" w:right="0" w:firstLine="482" w:firstLineChars="200"/>
        <w:textAlignment w:val="auto"/>
        <w:rPr>
          <w:rFonts w:hint="default" w:ascii="宋体" w:hAnsi="宋体" w:eastAsia="宋体" w:cs="宋体"/>
          <w:sz w:val="24"/>
          <w:szCs w:val="24"/>
          <w:lang w:val="en-US"/>
        </w:rPr>
      </w:pPr>
      <w:r>
        <w:rPr>
          <w:rStyle w:val="73"/>
          <w:rFonts w:hint="eastAsia" w:ascii="宋体" w:hAnsi="宋体" w:eastAsia="宋体" w:cs="宋体"/>
          <w:b/>
          <w:kern w:val="0"/>
          <w:sz w:val="24"/>
          <w:szCs w:val="24"/>
        </w:rPr>
        <w:t>三、</w:t>
      </w:r>
      <w:r>
        <w:rPr>
          <w:rStyle w:val="73"/>
          <w:rFonts w:hint="eastAsia" w:ascii="宋体" w:hAnsi="宋体" w:eastAsia="宋体" w:cs="宋体"/>
          <w:b/>
          <w:kern w:val="0"/>
          <w:sz w:val="24"/>
          <w:szCs w:val="24"/>
          <w:lang w:val="en-US"/>
        </w:rPr>
        <w:t>验收</w:t>
      </w:r>
    </w:p>
    <w:p w14:paraId="54072C78">
      <w:pPr>
        <w:keepLines w:val="0"/>
        <w:pageBreakBefore w:val="0"/>
        <w:widowControl w:val="0"/>
        <w:kinsoku/>
        <w:wordWrap/>
        <w:overflowPunct/>
        <w:topLinePunct w:val="0"/>
        <w:bidi w:val="0"/>
        <w:spacing w:line="600" w:lineRule="exact"/>
        <w:ind w:left="0" w:right="0" w:firstLine="480" w:firstLineChars="200"/>
        <w:textAlignment w:val="auto"/>
        <w:rPr>
          <w:rFonts w:hint="eastAsia" w:ascii="宋体" w:hAnsi="宋体" w:eastAsia="宋体" w:cs="宋体"/>
          <w:sz w:val="24"/>
          <w:szCs w:val="24"/>
        </w:rPr>
      </w:pPr>
      <w:r>
        <w:rPr>
          <w:rStyle w:val="73"/>
          <w:rFonts w:hint="eastAsia" w:ascii="宋体" w:hAnsi="宋体" w:eastAsia="宋体" w:cs="宋体"/>
          <w:kern w:val="0"/>
          <w:sz w:val="24"/>
          <w:szCs w:val="24"/>
        </w:rPr>
        <w:t>验收步骤为技术单位完成数据提交等工作后，将数据等资料提交自然资源局，由我局组织人员按照相关文件要求进行验收。</w:t>
      </w:r>
    </w:p>
    <w:p w14:paraId="3494A0D1"/>
    <w:p w14:paraId="054CC907">
      <w:pPr>
        <w:bidi w:val="0"/>
      </w:pPr>
      <w:bookmarkStart w:id="319" w:name="_Toc27433"/>
    </w:p>
    <w:p w14:paraId="4700213D">
      <w:pPr>
        <w:bidi w:val="0"/>
      </w:pPr>
    </w:p>
    <w:p w14:paraId="2D550DE2">
      <w:pPr>
        <w:bidi w:val="0"/>
      </w:pPr>
    </w:p>
    <w:p w14:paraId="1470ABE9">
      <w:pPr>
        <w:bidi w:val="0"/>
      </w:pPr>
    </w:p>
    <w:p w14:paraId="36EB93ED">
      <w:pPr>
        <w:bidi w:val="0"/>
      </w:pPr>
    </w:p>
    <w:p w14:paraId="148D71DB">
      <w:pPr>
        <w:bidi w:val="0"/>
      </w:pPr>
    </w:p>
    <w:p w14:paraId="7B52EE4A">
      <w:pPr>
        <w:bidi w:val="0"/>
      </w:pPr>
    </w:p>
    <w:p w14:paraId="5B7B6B2C">
      <w:pPr>
        <w:bidi w:val="0"/>
      </w:pPr>
    </w:p>
    <w:p w14:paraId="2C165F09">
      <w:pPr>
        <w:bidi w:val="0"/>
      </w:pPr>
    </w:p>
    <w:p w14:paraId="6090AFFC">
      <w:pPr>
        <w:bidi w:val="0"/>
      </w:pPr>
    </w:p>
    <w:p w14:paraId="54D73DB1">
      <w:pPr>
        <w:bidi w:val="0"/>
      </w:pPr>
    </w:p>
    <w:p w14:paraId="636F6E7C">
      <w:pPr>
        <w:bidi w:val="0"/>
      </w:pPr>
    </w:p>
    <w:p w14:paraId="36765F5E">
      <w:pPr>
        <w:bidi w:val="0"/>
      </w:pPr>
    </w:p>
    <w:p w14:paraId="63BA77E4">
      <w:pPr>
        <w:bidi w:val="0"/>
      </w:pPr>
    </w:p>
    <w:p w14:paraId="459C84DB">
      <w:pPr>
        <w:bidi w:val="0"/>
      </w:pPr>
    </w:p>
    <w:p w14:paraId="0D1EED11">
      <w:pPr>
        <w:bidi w:val="0"/>
      </w:pPr>
    </w:p>
    <w:p w14:paraId="1BC7F6B7">
      <w:pPr>
        <w:bidi w:val="0"/>
      </w:pPr>
    </w:p>
    <w:p w14:paraId="2682C690">
      <w:pPr>
        <w:bidi w:val="0"/>
      </w:pPr>
    </w:p>
    <w:p w14:paraId="1368C5BF">
      <w:pPr>
        <w:bidi w:val="0"/>
      </w:pPr>
    </w:p>
    <w:p w14:paraId="59F80AA5">
      <w:pPr>
        <w:bidi w:val="0"/>
      </w:pPr>
    </w:p>
    <w:p w14:paraId="5D228E19">
      <w:pPr>
        <w:bidi w:val="0"/>
      </w:pPr>
    </w:p>
    <w:p w14:paraId="1E0819A6">
      <w:pPr>
        <w:bidi w:val="0"/>
      </w:pPr>
    </w:p>
    <w:p w14:paraId="3FD9A819">
      <w:pPr>
        <w:bidi w:val="0"/>
      </w:pPr>
    </w:p>
    <w:p w14:paraId="1A045DB4">
      <w:pPr>
        <w:bidi w:val="0"/>
      </w:pPr>
    </w:p>
    <w:p w14:paraId="601586E9">
      <w:pPr>
        <w:bidi w:val="0"/>
      </w:pPr>
    </w:p>
    <w:p w14:paraId="73227422">
      <w:pPr>
        <w:bidi w:val="0"/>
      </w:pPr>
    </w:p>
    <w:p w14:paraId="7A52872D">
      <w:pPr>
        <w:bidi w:val="0"/>
      </w:pPr>
    </w:p>
    <w:p w14:paraId="5D59F057">
      <w:pPr>
        <w:bidi w:val="0"/>
      </w:pPr>
    </w:p>
    <w:p w14:paraId="4EE802FF">
      <w:pPr>
        <w:bidi w:val="0"/>
      </w:pPr>
    </w:p>
    <w:p w14:paraId="4CDA9504">
      <w:pPr>
        <w:bidi w:val="0"/>
      </w:pPr>
    </w:p>
    <w:p w14:paraId="1032C135">
      <w:pPr>
        <w:bidi w:val="0"/>
      </w:pPr>
    </w:p>
    <w:p w14:paraId="381FF538">
      <w:pPr>
        <w:bidi w:val="0"/>
      </w:pPr>
    </w:p>
    <w:p w14:paraId="261D6178">
      <w:pPr>
        <w:bidi w:val="0"/>
      </w:pPr>
    </w:p>
    <w:p w14:paraId="7CE45C2F">
      <w:pPr>
        <w:bidi w:val="0"/>
      </w:pPr>
    </w:p>
    <w:p w14:paraId="66D6A3E8">
      <w:pPr>
        <w:bidi w:val="0"/>
      </w:pPr>
    </w:p>
    <w:p w14:paraId="0B10A491">
      <w:pPr>
        <w:bidi w:val="0"/>
      </w:pPr>
    </w:p>
    <w:p w14:paraId="102377D7">
      <w:pPr>
        <w:bidi w:val="0"/>
      </w:pPr>
    </w:p>
    <w:p w14:paraId="5D6E2D67">
      <w:pPr>
        <w:bidi w:val="0"/>
      </w:pPr>
    </w:p>
    <w:p w14:paraId="53271EE7">
      <w:pPr>
        <w:bidi w:val="0"/>
      </w:pPr>
    </w:p>
    <w:p w14:paraId="61F0E066">
      <w:pPr>
        <w:bidi w:val="0"/>
      </w:pPr>
    </w:p>
    <w:p w14:paraId="77C7D84F">
      <w:pPr>
        <w:bidi w:val="0"/>
      </w:pPr>
    </w:p>
    <w:p w14:paraId="32E4D29F">
      <w:pPr>
        <w:bidi w:val="0"/>
      </w:pPr>
    </w:p>
    <w:p w14:paraId="46466A6A">
      <w:pPr>
        <w:bidi w:val="0"/>
      </w:pPr>
    </w:p>
    <w:p w14:paraId="5687BCC8">
      <w:pPr>
        <w:bidi w:val="0"/>
      </w:pPr>
    </w:p>
    <w:p w14:paraId="22864A17">
      <w:pPr>
        <w:bidi w:val="0"/>
      </w:pPr>
    </w:p>
    <w:p w14:paraId="37E031FB">
      <w:pPr>
        <w:pStyle w:val="2"/>
        <w:bidi w:val="0"/>
        <w:jc w:val="center"/>
        <w:rPr>
          <w:b/>
          <w:sz w:val="32"/>
        </w:rPr>
      </w:pPr>
      <w:r>
        <w:rPr>
          <w:b/>
          <w:sz w:val="32"/>
        </w:rPr>
        <w:t>第六章 磋商响应文件格式</w:t>
      </w:r>
      <w:bookmarkEnd w:id="319"/>
    </w:p>
    <w:p w14:paraId="311170CF">
      <w:pPr>
        <w:spacing w:line="360" w:lineRule="auto"/>
        <w:ind w:firstLine="560" w:firstLineChars="200"/>
        <w:rPr>
          <w:rFonts w:hint="eastAsia" w:ascii="宋体" w:hAnsi="宋体" w:eastAsia="宋体" w:cs="宋体"/>
          <w:bCs/>
          <w:color w:val="000000"/>
          <w:sz w:val="28"/>
          <w:szCs w:val="28"/>
          <w:lang w:eastAsia="zh-CN"/>
        </w:rPr>
      </w:pPr>
      <w:r>
        <w:rPr>
          <w:rFonts w:ascii="宋体" w:hAnsi="宋体" w:cs="宋体"/>
          <w:bCs/>
          <w:color w:val="000000"/>
          <w:sz w:val="28"/>
          <w:szCs w:val="28"/>
        </w:rPr>
        <w:t>1.响应文件格式由本章目录所列第1部分至第</w:t>
      </w:r>
      <w:r>
        <w:rPr>
          <w:rFonts w:hint="eastAsia" w:ascii="宋体" w:hAnsi="宋体" w:cs="宋体"/>
          <w:bCs/>
          <w:color w:val="000000"/>
          <w:sz w:val="28"/>
          <w:szCs w:val="28"/>
          <w:lang w:val="en-US" w:eastAsia="zh-CN"/>
        </w:rPr>
        <w:t>7</w:t>
      </w:r>
      <w:r>
        <w:rPr>
          <w:rFonts w:ascii="宋体" w:hAnsi="宋体" w:cs="宋体"/>
          <w:bCs/>
          <w:color w:val="000000"/>
          <w:sz w:val="28"/>
          <w:szCs w:val="28"/>
        </w:rPr>
        <w:t>部分构成。不得缺项漏项，否则按废标处理，相应要求详见须知前附表</w:t>
      </w:r>
      <w:r>
        <w:rPr>
          <w:rFonts w:hint="eastAsia" w:ascii="宋体" w:hAnsi="宋体" w:cs="宋体"/>
          <w:bCs/>
          <w:color w:val="000000"/>
          <w:sz w:val="28"/>
          <w:szCs w:val="28"/>
          <w:lang w:eastAsia="zh-CN"/>
        </w:rPr>
        <w:t>。</w:t>
      </w:r>
    </w:p>
    <w:p w14:paraId="5D38D701">
      <w:pPr>
        <w:spacing w:line="360" w:lineRule="auto"/>
        <w:ind w:firstLine="560" w:firstLineChars="200"/>
        <w:rPr>
          <w:rFonts w:ascii="宋体" w:hAnsi="宋体" w:cs="宋体"/>
          <w:bCs/>
          <w:color w:val="000000"/>
          <w:sz w:val="28"/>
          <w:szCs w:val="28"/>
        </w:rPr>
      </w:pPr>
      <w:r>
        <w:rPr>
          <w:rFonts w:ascii="宋体" w:hAnsi="宋体" w:cs="宋体"/>
          <w:bCs/>
          <w:color w:val="000000"/>
          <w:sz w:val="28"/>
          <w:szCs w:val="28"/>
        </w:rPr>
        <w:t>2.供应商应认真审阅本章内容，并参照格式要求编制响应文件。凡未按格式要求编制响应文件而造成的不利后果，由供应商自行承担。</w:t>
      </w:r>
    </w:p>
    <w:p w14:paraId="57E61F39">
      <w:pPr>
        <w:spacing w:line="360" w:lineRule="auto"/>
        <w:ind w:firstLine="562" w:firstLineChars="200"/>
        <w:rPr>
          <w:rFonts w:ascii="宋体" w:hAnsi="宋体" w:cs="宋体"/>
          <w:b/>
          <w:sz w:val="28"/>
          <w:szCs w:val="28"/>
        </w:rPr>
      </w:pPr>
    </w:p>
    <w:p w14:paraId="5B6EFDA4">
      <w:pPr>
        <w:spacing w:line="360" w:lineRule="auto"/>
        <w:ind w:firstLine="562" w:firstLineChars="200"/>
        <w:rPr>
          <w:rFonts w:ascii="宋体" w:hAnsi="宋体" w:cs="宋体"/>
          <w:b/>
          <w:sz w:val="28"/>
          <w:szCs w:val="28"/>
        </w:rPr>
      </w:pPr>
    </w:p>
    <w:p w14:paraId="5C076AB9">
      <w:pPr>
        <w:spacing w:line="360" w:lineRule="auto"/>
        <w:ind w:firstLine="562" w:firstLineChars="200"/>
        <w:rPr>
          <w:rFonts w:ascii="宋体" w:hAnsi="宋体" w:cs="宋体"/>
          <w:b/>
          <w:sz w:val="28"/>
          <w:szCs w:val="28"/>
        </w:rPr>
      </w:pPr>
    </w:p>
    <w:p w14:paraId="4C17338E">
      <w:pPr>
        <w:spacing w:line="360" w:lineRule="auto"/>
        <w:ind w:firstLine="562" w:firstLineChars="200"/>
        <w:rPr>
          <w:rFonts w:ascii="宋体" w:hAnsi="宋体" w:cs="宋体"/>
          <w:b/>
          <w:sz w:val="28"/>
          <w:szCs w:val="28"/>
        </w:rPr>
      </w:pPr>
    </w:p>
    <w:p w14:paraId="6B6F7A0E">
      <w:pPr>
        <w:spacing w:line="360" w:lineRule="auto"/>
        <w:ind w:firstLine="562" w:firstLineChars="200"/>
        <w:rPr>
          <w:rFonts w:ascii="宋体" w:hAnsi="宋体" w:cs="宋体"/>
          <w:b/>
          <w:sz w:val="28"/>
          <w:szCs w:val="28"/>
        </w:rPr>
      </w:pPr>
    </w:p>
    <w:p w14:paraId="6D617E2D">
      <w:pPr>
        <w:spacing w:line="360" w:lineRule="auto"/>
        <w:ind w:firstLine="562" w:firstLineChars="200"/>
        <w:rPr>
          <w:rFonts w:ascii="宋体" w:hAnsi="宋体" w:cs="宋体"/>
          <w:b/>
          <w:sz w:val="28"/>
          <w:szCs w:val="28"/>
        </w:rPr>
      </w:pPr>
    </w:p>
    <w:p w14:paraId="08BD8FFC">
      <w:pPr>
        <w:spacing w:line="360" w:lineRule="auto"/>
        <w:ind w:firstLine="562" w:firstLineChars="200"/>
        <w:rPr>
          <w:rFonts w:ascii="宋体" w:hAnsi="宋体" w:cs="宋体"/>
          <w:b/>
          <w:sz w:val="28"/>
          <w:szCs w:val="28"/>
        </w:rPr>
      </w:pPr>
    </w:p>
    <w:p w14:paraId="13BC5BA7">
      <w:pPr>
        <w:spacing w:line="360" w:lineRule="auto"/>
        <w:ind w:firstLine="562" w:firstLineChars="200"/>
        <w:rPr>
          <w:rFonts w:ascii="宋体" w:hAnsi="宋体" w:cs="宋体"/>
          <w:b/>
          <w:sz w:val="28"/>
          <w:szCs w:val="28"/>
        </w:rPr>
      </w:pPr>
    </w:p>
    <w:p w14:paraId="0F157323">
      <w:pPr>
        <w:spacing w:line="360" w:lineRule="auto"/>
        <w:ind w:firstLine="562" w:firstLineChars="200"/>
        <w:rPr>
          <w:rFonts w:ascii="宋体" w:hAnsi="宋体" w:cs="宋体"/>
          <w:b/>
          <w:sz w:val="28"/>
          <w:szCs w:val="28"/>
        </w:rPr>
      </w:pPr>
    </w:p>
    <w:p w14:paraId="0C95C069">
      <w:pPr>
        <w:spacing w:line="360" w:lineRule="auto"/>
        <w:ind w:firstLine="562" w:firstLineChars="200"/>
        <w:rPr>
          <w:rFonts w:ascii="宋体" w:hAnsi="宋体" w:cs="宋体"/>
          <w:b/>
          <w:sz w:val="28"/>
          <w:szCs w:val="28"/>
        </w:rPr>
      </w:pPr>
    </w:p>
    <w:p w14:paraId="7DC2D85A">
      <w:pPr>
        <w:spacing w:line="360" w:lineRule="auto"/>
        <w:ind w:firstLine="562" w:firstLineChars="200"/>
        <w:rPr>
          <w:rFonts w:ascii="宋体" w:hAnsi="宋体" w:cs="宋体"/>
          <w:b/>
          <w:sz w:val="28"/>
          <w:szCs w:val="28"/>
        </w:rPr>
      </w:pPr>
    </w:p>
    <w:p w14:paraId="7B24D501">
      <w:pPr>
        <w:spacing w:line="360" w:lineRule="auto"/>
        <w:ind w:firstLine="562" w:firstLineChars="200"/>
        <w:rPr>
          <w:rFonts w:ascii="宋体" w:hAnsi="宋体" w:cs="宋体"/>
          <w:b/>
          <w:sz w:val="28"/>
          <w:szCs w:val="28"/>
        </w:rPr>
      </w:pPr>
    </w:p>
    <w:p w14:paraId="1BA2DD3C">
      <w:pPr>
        <w:spacing w:line="360" w:lineRule="auto"/>
        <w:ind w:firstLine="562" w:firstLineChars="200"/>
        <w:rPr>
          <w:rFonts w:ascii="宋体" w:hAnsi="宋体" w:cs="宋体"/>
          <w:b/>
          <w:sz w:val="28"/>
          <w:szCs w:val="28"/>
        </w:rPr>
      </w:pPr>
    </w:p>
    <w:p w14:paraId="242A9442">
      <w:pPr>
        <w:pStyle w:val="72"/>
        <w:rPr>
          <w:rFonts w:ascii="宋体" w:hAnsi="宋体" w:cs="宋体"/>
          <w:b/>
          <w:sz w:val="28"/>
          <w:szCs w:val="28"/>
        </w:rPr>
      </w:pPr>
    </w:p>
    <w:p w14:paraId="735154AD">
      <w:pPr>
        <w:pStyle w:val="72"/>
        <w:rPr>
          <w:rFonts w:ascii="宋体" w:hAnsi="宋体" w:cs="宋体"/>
          <w:b/>
          <w:sz w:val="28"/>
          <w:szCs w:val="28"/>
        </w:rPr>
      </w:pPr>
    </w:p>
    <w:p w14:paraId="59928093">
      <w:pPr>
        <w:pStyle w:val="72"/>
        <w:rPr>
          <w:rFonts w:ascii="宋体" w:hAnsi="宋体" w:cs="宋体"/>
          <w:b/>
          <w:sz w:val="28"/>
          <w:szCs w:val="28"/>
        </w:rPr>
      </w:pPr>
    </w:p>
    <w:p w14:paraId="6D640C89">
      <w:pPr>
        <w:spacing w:line="360" w:lineRule="auto"/>
        <w:ind w:firstLine="562" w:firstLineChars="200"/>
        <w:rPr>
          <w:rFonts w:ascii="宋体" w:hAnsi="宋体" w:cs="宋体"/>
          <w:b/>
          <w:sz w:val="28"/>
          <w:szCs w:val="28"/>
        </w:rPr>
      </w:pPr>
    </w:p>
    <w:p w14:paraId="41A0BBC8">
      <w:pPr>
        <w:spacing w:line="360" w:lineRule="auto"/>
        <w:ind w:firstLine="562" w:firstLineChars="200"/>
        <w:rPr>
          <w:rFonts w:ascii="宋体" w:hAnsi="宋体" w:cs="宋体"/>
          <w:b/>
          <w:sz w:val="28"/>
          <w:szCs w:val="28"/>
        </w:rPr>
      </w:pPr>
    </w:p>
    <w:p w14:paraId="79F155D9">
      <w:pPr>
        <w:spacing w:line="360" w:lineRule="auto"/>
        <w:ind w:firstLine="562" w:firstLineChars="200"/>
        <w:rPr>
          <w:rFonts w:ascii="宋体" w:hAnsi="宋体" w:cs="宋体"/>
          <w:b/>
          <w:sz w:val="28"/>
          <w:szCs w:val="28"/>
        </w:rPr>
      </w:pPr>
    </w:p>
    <w:p w14:paraId="1D8F0C3D">
      <w:pPr>
        <w:spacing w:line="360" w:lineRule="auto"/>
        <w:ind w:firstLine="562" w:firstLineChars="200"/>
        <w:rPr>
          <w:rFonts w:ascii="宋体" w:hAnsi="宋体" w:cs="宋体"/>
          <w:b/>
          <w:sz w:val="28"/>
          <w:szCs w:val="28"/>
        </w:rPr>
      </w:pPr>
    </w:p>
    <w:p w14:paraId="6A734079">
      <w:pPr>
        <w:spacing w:line="360" w:lineRule="auto"/>
        <w:rPr>
          <w:rFonts w:hint="default" w:ascii="宋体" w:hAnsi="宋体" w:eastAsia="宋体" w:cs="宋体"/>
          <w:b/>
          <w:color w:val="000000"/>
          <w:sz w:val="28"/>
          <w:szCs w:val="28"/>
          <w:lang w:val="en-US" w:eastAsia="zh-CN"/>
        </w:rPr>
      </w:pPr>
      <w:r>
        <w:rPr>
          <w:rFonts w:ascii="宋体" w:hAnsi="宋体" w:cs="宋体"/>
          <w:b/>
          <w:sz w:val="28"/>
          <w:szCs w:val="28"/>
        </w:rPr>
        <w:t>项目编号：</w:t>
      </w:r>
      <w:r>
        <w:rPr>
          <w:rFonts w:hint="eastAsia" w:ascii="宋体" w:hAnsi="宋体" w:cs="宋体"/>
          <w:b/>
          <w:sz w:val="28"/>
          <w:szCs w:val="28"/>
          <w:lang w:eastAsia="zh-CN"/>
        </w:rPr>
        <w:t>SXCY2026-06</w:t>
      </w:r>
    </w:p>
    <w:p w14:paraId="22C205EB">
      <w:pPr>
        <w:pStyle w:val="17"/>
        <w:spacing w:line="360" w:lineRule="auto"/>
        <w:jc w:val="both"/>
        <w:rPr>
          <w:rFonts w:hint="eastAsia" w:ascii="宋体" w:hAnsi="宋体" w:cs="宋体"/>
          <w:b/>
          <w:color w:val="000000"/>
          <w:sz w:val="28"/>
          <w:szCs w:val="28"/>
        </w:rPr>
      </w:pPr>
      <w:r>
        <w:rPr>
          <w:rFonts w:hint="eastAsia" w:ascii="宋体" w:hAnsi="宋体" w:cs="宋体"/>
          <w:b/>
          <w:color w:val="000000"/>
          <w:sz w:val="28"/>
          <w:szCs w:val="28"/>
        </w:rPr>
        <w:t xml:space="preserve">                                                   </w:t>
      </w:r>
    </w:p>
    <w:p w14:paraId="0B47A4C9">
      <w:pPr>
        <w:spacing w:line="360" w:lineRule="auto"/>
        <w:ind w:firstLine="560" w:firstLineChars="200"/>
        <w:rPr>
          <w:rFonts w:ascii="宋体" w:hAnsi="宋体" w:cs="宋体"/>
          <w:color w:val="000000"/>
          <w:sz w:val="28"/>
          <w:szCs w:val="28"/>
        </w:rPr>
      </w:pPr>
    </w:p>
    <w:p w14:paraId="4C03845B">
      <w:pPr>
        <w:spacing w:line="360" w:lineRule="auto"/>
        <w:ind w:firstLine="560" w:firstLineChars="200"/>
        <w:rPr>
          <w:rFonts w:ascii="宋体" w:hAnsi="宋体" w:cs="宋体"/>
          <w:color w:val="000000"/>
          <w:sz w:val="28"/>
          <w:szCs w:val="28"/>
        </w:rPr>
      </w:pPr>
    </w:p>
    <w:p w14:paraId="35BA159A">
      <w:pPr>
        <w:spacing w:line="360" w:lineRule="auto"/>
        <w:jc w:val="center"/>
        <w:rPr>
          <w:rFonts w:ascii="宋体" w:hAnsi="宋体" w:cs="宋体"/>
          <w:b/>
          <w:color w:val="000000"/>
          <w:sz w:val="28"/>
          <w:szCs w:val="28"/>
        </w:rPr>
      </w:pPr>
    </w:p>
    <w:p w14:paraId="1AA11064">
      <w:pPr>
        <w:spacing w:line="360" w:lineRule="auto"/>
        <w:jc w:val="center"/>
        <w:rPr>
          <w:rFonts w:ascii="宋体" w:hAnsi="宋体" w:cs="宋体"/>
          <w:b/>
          <w:color w:val="000000"/>
          <w:sz w:val="28"/>
          <w:szCs w:val="28"/>
        </w:rPr>
      </w:pPr>
      <w:r>
        <w:rPr>
          <w:rFonts w:hint="eastAsia" w:ascii="宋体" w:hAnsi="宋体" w:cs="宋体"/>
          <w:b/>
          <w:color w:val="000000"/>
          <w:sz w:val="44"/>
          <w:szCs w:val="44"/>
          <w:lang w:eastAsia="zh-CN"/>
        </w:rPr>
        <w:t>宜川县城市公益性公墓及殡仪馆提升改造项目农用地专用和土地征收组卷报批服务</w:t>
      </w:r>
      <w:r>
        <w:rPr>
          <w:rFonts w:ascii="宋体" w:hAnsi="宋体" w:cs="宋体"/>
          <w:color w:val="000000"/>
          <w:sz w:val="28"/>
          <w:szCs w:val="28"/>
        </w:rPr>
        <w:t xml:space="preserve"> </w:t>
      </w:r>
    </w:p>
    <w:p w14:paraId="0229C244">
      <w:pPr>
        <w:spacing w:line="360" w:lineRule="auto"/>
        <w:jc w:val="center"/>
        <w:rPr>
          <w:rFonts w:ascii="宋体" w:hAnsi="宋体" w:cs="宋体"/>
          <w:b/>
          <w:color w:val="000000"/>
          <w:sz w:val="48"/>
          <w:szCs w:val="48"/>
        </w:rPr>
      </w:pPr>
    </w:p>
    <w:p w14:paraId="7C2F41BF">
      <w:pPr>
        <w:spacing w:line="360" w:lineRule="auto"/>
        <w:jc w:val="center"/>
        <w:rPr>
          <w:rFonts w:ascii="宋体" w:hAnsi="宋体" w:cs="宋体"/>
          <w:b/>
          <w:color w:val="000000"/>
          <w:sz w:val="48"/>
          <w:szCs w:val="48"/>
        </w:rPr>
      </w:pPr>
    </w:p>
    <w:p w14:paraId="5D811DB3">
      <w:pPr>
        <w:spacing w:line="360" w:lineRule="auto"/>
        <w:jc w:val="center"/>
        <w:rPr>
          <w:rFonts w:ascii="宋体" w:hAnsi="宋体" w:cs="宋体"/>
          <w:b/>
          <w:color w:val="000000"/>
          <w:sz w:val="48"/>
          <w:szCs w:val="48"/>
        </w:rPr>
      </w:pPr>
    </w:p>
    <w:p w14:paraId="120A66FD">
      <w:pPr>
        <w:spacing w:line="360" w:lineRule="auto"/>
        <w:jc w:val="center"/>
        <w:rPr>
          <w:rFonts w:ascii="宋体" w:hAnsi="宋体" w:cs="宋体"/>
          <w:b/>
          <w:color w:val="000000"/>
          <w:sz w:val="28"/>
          <w:szCs w:val="28"/>
        </w:rPr>
      </w:pPr>
      <w:r>
        <w:rPr>
          <w:rFonts w:ascii="宋体" w:hAnsi="宋体" w:cs="宋体"/>
          <w:b/>
          <w:color w:val="000000"/>
          <w:sz w:val="48"/>
          <w:szCs w:val="48"/>
        </w:rPr>
        <w:t>磋商响应文件</w:t>
      </w:r>
    </w:p>
    <w:p w14:paraId="426020C1">
      <w:pPr>
        <w:spacing w:line="360" w:lineRule="auto"/>
        <w:rPr>
          <w:rFonts w:ascii="宋体" w:hAnsi="宋体" w:cs="宋体"/>
          <w:color w:val="000000"/>
          <w:sz w:val="28"/>
          <w:szCs w:val="28"/>
        </w:rPr>
      </w:pPr>
    </w:p>
    <w:p w14:paraId="4BADBC72">
      <w:pPr>
        <w:spacing w:line="360" w:lineRule="auto"/>
        <w:rPr>
          <w:rFonts w:ascii="宋体" w:hAnsi="宋体" w:cs="宋体"/>
          <w:color w:val="000000"/>
          <w:sz w:val="28"/>
          <w:szCs w:val="28"/>
        </w:rPr>
      </w:pPr>
    </w:p>
    <w:p w14:paraId="56FE72E1">
      <w:pPr>
        <w:spacing w:line="360" w:lineRule="auto"/>
        <w:rPr>
          <w:rFonts w:ascii="宋体" w:hAnsi="宋体" w:cs="宋体"/>
          <w:color w:val="000000"/>
          <w:sz w:val="28"/>
          <w:szCs w:val="28"/>
        </w:rPr>
      </w:pPr>
    </w:p>
    <w:p w14:paraId="4409FF88">
      <w:pPr>
        <w:spacing w:line="360" w:lineRule="auto"/>
        <w:rPr>
          <w:rFonts w:ascii="宋体" w:hAnsi="宋体" w:cs="宋体"/>
          <w:color w:val="000000"/>
          <w:sz w:val="28"/>
          <w:szCs w:val="28"/>
        </w:rPr>
      </w:pPr>
    </w:p>
    <w:p w14:paraId="74BAF028">
      <w:pPr>
        <w:spacing w:line="360" w:lineRule="auto"/>
        <w:rPr>
          <w:rFonts w:ascii="宋体" w:hAnsi="宋体" w:cs="宋体"/>
          <w:color w:val="000000"/>
          <w:sz w:val="28"/>
          <w:szCs w:val="28"/>
        </w:rPr>
      </w:pPr>
    </w:p>
    <w:p w14:paraId="09B599C1">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ascii="宋体" w:hAnsi="宋体" w:cs="宋体"/>
          <w:b/>
          <w:color w:val="000000"/>
          <w:sz w:val="28"/>
          <w:szCs w:val="28"/>
          <w:u w:val="single"/>
        </w:rPr>
      </w:pPr>
      <w:r>
        <w:rPr>
          <w:rFonts w:ascii="宋体" w:hAnsi="宋体" w:cs="宋体"/>
          <w:b/>
          <w:color w:val="000000"/>
          <w:sz w:val="28"/>
          <w:szCs w:val="28"/>
        </w:rPr>
        <w:t>供  应  商：</w:t>
      </w:r>
      <w:r>
        <w:rPr>
          <w:rFonts w:ascii="宋体" w:hAnsi="宋体" w:cs="宋体"/>
          <w:b/>
          <w:color w:val="000000"/>
          <w:sz w:val="28"/>
          <w:szCs w:val="28"/>
          <w:u w:val="single"/>
        </w:rPr>
        <w:t xml:space="preserve">       （单位全称）    </w:t>
      </w:r>
      <w:r>
        <w:rPr>
          <w:rFonts w:ascii="宋体" w:hAnsi="宋体" w:cs="宋体"/>
          <w:b/>
          <w:color w:val="000000"/>
          <w:sz w:val="28"/>
          <w:szCs w:val="28"/>
        </w:rPr>
        <w:t>（盖单位公章）</w:t>
      </w:r>
    </w:p>
    <w:p w14:paraId="54D5AE5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ascii="宋体" w:hAnsi="宋体" w:cs="宋体"/>
          <w:b/>
          <w:color w:val="000000"/>
          <w:sz w:val="28"/>
          <w:szCs w:val="28"/>
        </w:rPr>
      </w:pPr>
      <w:bookmarkStart w:id="320" w:name="_Toc343512253"/>
      <w:r>
        <w:rPr>
          <w:rFonts w:hint="eastAsia" w:ascii="宋体" w:hAnsi="宋体" w:cs="宋体"/>
          <w:b/>
          <w:color w:val="000000"/>
          <w:sz w:val="28"/>
          <w:szCs w:val="28"/>
        </w:rPr>
        <w:t>法定代表人</w:t>
      </w:r>
      <w:r>
        <w:rPr>
          <w:rFonts w:hint="eastAsia" w:ascii="宋体" w:hAnsi="宋体" w:cs="宋体"/>
          <w:b/>
          <w:color w:val="000000"/>
          <w:sz w:val="28"/>
          <w:szCs w:val="28"/>
          <w:lang w:val="en-US" w:eastAsia="zh-CN"/>
        </w:rPr>
        <w:t>或</w:t>
      </w:r>
      <w:r>
        <w:rPr>
          <w:rFonts w:hint="eastAsia" w:ascii="宋体" w:hAnsi="宋体" w:cs="宋体"/>
          <w:b/>
          <w:color w:val="000000"/>
          <w:sz w:val="28"/>
          <w:szCs w:val="28"/>
        </w:rPr>
        <w:t>委托代理人</w:t>
      </w:r>
      <w:r>
        <w:rPr>
          <w:rFonts w:ascii="宋体" w:hAnsi="宋体" w:cs="宋体"/>
          <w:b/>
          <w:color w:val="000000"/>
          <w:sz w:val="28"/>
          <w:szCs w:val="28"/>
        </w:rPr>
        <w:t>：</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bookmarkEnd w:id="320"/>
    </w:p>
    <w:p w14:paraId="757D2272">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left"/>
        <w:textAlignment w:val="auto"/>
        <w:rPr>
          <w:rFonts w:ascii="宋体" w:hAnsi="宋体" w:cs="宋体"/>
          <w:b/>
          <w:color w:val="000000"/>
          <w:sz w:val="28"/>
          <w:szCs w:val="28"/>
        </w:rPr>
      </w:pPr>
      <w:bookmarkStart w:id="321" w:name="_Toc343512254"/>
      <w:r>
        <w:rPr>
          <w:rFonts w:ascii="宋体" w:hAnsi="宋体" w:cs="宋体"/>
          <w:b/>
          <w:color w:val="000000"/>
          <w:sz w:val="28"/>
          <w:szCs w:val="28"/>
        </w:rPr>
        <w:t>日      期：</w:t>
      </w:r>
      <w:r>
        <w:rPr>
          <w:rFonts w:ascii="宋体" w:hAnsi="宋体" w:cs="宋体"/>
          <w:b/>
          <w:color w:val="000000"/>
          <w:sz w:val="28"/>
          <w:szCs w:val="28"/>
          <w:u w:val="single"/>
        </w:rPr>
        <w:t xml:space="preserve">       </w:t>
      </w:r>
      <w:r>
        <w:rPr>
          <w:rFonts w:ascii="宋体" w:hAnsi="宋体" w:cs="宋体"/>
          <w:b/>
          <w:color w:val="000000"/>
          <w:sz w:val="28"/>
          <w:szCs w:val="28"/>
        </w:rPr>
        <w:t>年</w:t>
      </w:r>
      <w:r>
        <w:rPr>
          <w:rFonts w:ascii="宋体" w:hAnsi="宋体" w:cs="宋体"/>
          <w:b/>
          <w:color w:val="000000"/>
          <w:sz w:val="28"/>
          <w:szCs w:val="28"/>
          <w:u w:val="single"/>
        </w:rPr>
        <w:t xml:space="preserve">        </w:t>
      </w:r>
      <w:r>
        <w:rPr>
          <w:rFonts w:ascii="宋体" w:hAnsi="宋体" w:cs="宋体"/>
          <w:b/>
          <w:color w:val="000000"/>
          <w:sz w:val="28"/>
          <w:szCs w:val="28"/>
        </w:rPr>
        <w:t>月</w:t>
      </w:r>
      <w:r>
        <w:rPr>
          <w:rFonts w:ascii="宋体" w:hAnsi="宋体" w:cs="宋体"/>
          <w:b/>
          <w:color w:val="000000"/>
          <w:sz w:val="28"/>
          <w:szCs w:val="28"/>
          <w:u w:val="single"/>
        </w:rPr>
        <w:t xml:space="preserve">         </w:t>
      </w:r>
      <w:r>
        <w:rPr>
          <w:rFonts w:ascii="宋体" w:hAnsi="宋体" w:cs="宋体"/>
          <w:b/>
          <w:color w:val="000000"/>
          <w:sz w:val="28"/>
          <w:szCs w:val="28"/>
        </w:rPr>
        <w:t>日</w:t>
      </w:r>
      <w:bookmarkEnd w:id="321"/>
    </w:p>
    <w:p w14:paraId="58424EAA">
      <w:pPr>
        <w:spacing w:line="360" w:lineRule="auto"/>
        <w:rPr>
          <w:rFonts w:ascii="宋体" w:hAnsi="宋体" w:cs="宋体"/>
          <w:color w:val="000000"/>
          <w:sz w:val="28"/>
          <w:szCs w:val="28"/>
        </w:rPr>
        <w:sectPr>
          <w:headerReference r:id="rId12" w:type="default"/>
          <w:footerReference r:id="rId13"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4C768D48">
      <w:pPr>
        <w:spacing w:line="360" w:lineRule="auto"/>
        <w:jc w:val="center"/>
        <w:rPr>
          <w:rFonts w:ascii="宋体" w:hAnsi="宋体" w:cs="宋体"/>
          <w:b/>
          <w:color w:val="000000"/>
          <w:sz w:val="28"/>
          <w:szCs w:val="28"/>
        </w:rPr>
      </w:pPr>
      <w:bookmarkStart w:id="322" w:name="_Toc372885969"/>
      <w:bookmarkStart w:id="323" w:name="_Toc421778385"/>
      <w:bookmarkStart w:id="324" w:name="_Toc420591500"/>
      <w:bookmarkStart w:id="325" w:name="_Toc420591666"/>
      <w:r>
        <w:rPr>
          <w:rFonts w:ascii="宋体" w:hAnsi="宋体" w:cs="宋体"/>
          <w:b/>
          <w:color w:val="000000"/>
          <w:sz w:val="28"/>
          <w:szCs w:val="28"/>
        </w:rPr>
        <w:t>目    录</w:t>
      </w:r>
      <w:bookmarkEnd w:id="322"/>
      <w:bookmarkEnd w:id="323"/>
      <w:bookmarkEnd w:id="324"/>
      <w:bookmarkEnd w:id="325"/>
    </w:p>
    <w:p w14:paraId="498B60A6">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一</w:t>
      </w:r>
      <w:r>
        <w:rPr>
          <w:rFonts w:ascii="宋体" w:hAnsi="宋体" w:cs="宋体"/>
          <w:color w:val="000000"/>
          <w:sz w:val="28"/>
          <w:szCs w:val="28"/>
        </w:rPr>
        <w:t>、资格审查资料</w:t>
      </w:r>
    </w:p>
    <w:p w14:paraId="2712287B">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二</w:t>
      </w:r>
      <w:r>
        <w:rPr>
          <w:rFonts w:ascii="宋体" w:hAnsi="宋体" w:cs="宋体"/>
          <w:color w:val="000000"/>
          <w:sz w:val="28"/>
          <w:szCs w:val="28"/>
        </w:rPr>
        <w:t>、</w:t>
      </w:r>
      <w:r>
        <w:rPr>
          <w:rFonts w:hint="eastAsia" w:ascii="宋体" w:hAnsi="宋体" w:cs="宋体"/>
          <w:color w:val="000000"/>
          <w:sz w:val="28"/>
          <w:szCs w:val="28"/>
          <w:lang w:val="en-US" w:eastAsia="zh-CN"/>
        </w:rPr>
        <w:t>响应</w:t>
      </w:r>
      <w:r>
        <w:rPr>
          <w:rFonts w:ascii="宋体" w:hAnsi="宋体" w:cs="宋体"/>
          <w:color w:val="000000"/>
          <w:sz w:val="28"/>
          <w:szCs w:val="28"/>
        </w:rPr>
        <w:t>函</w:t>
      </w:r>
    </w:p>
    <w:p w14:paraId="028017DA">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三</w:t>
      </w:r>
      <w:r>
        <w:rPr>
          <w:rFonts w:ascii="宋体" w:hAnsi="宋体" w:cs="宋体"/>
          <w:color w:val="000000"/>
          <w:sz w:val="28"/>
          <w:szCs w:val="28"/>
        </w:rPr>
        <w:t>、磋商一览表（首次）</w:t>
      </w:r>
    </w:p>
    <w:p w14:paraId="096FBEBB">
      <w:pPr>
        <w:spacing w:line="360" w:lineRule="auto"/>
        <w:ind w:firstLine="560" w:firstLineChars="200"/>
        <w:rPr>
          <w:rFonts w:hint="eastAsia"/>
          <w:lang w:eastAsia="zh-CN"/>
        </w:rPr>
      </w:pPr>
      <w:r>
        <w:rPr>
          <w:rFonts w:hint="eastAsia" w:ascii="宋体" w:hAnsi="宋体" w:cs="宋体"/>
          <w:color w:val="000000"/>
          <w:sz w:val="28"/>
          <w:szCs w:val="28"/>
          <w:lang w:val="en-US" w:eastAsia="zh-CN"/>
        </w:rPr>
        <w:t>四</w:t>
      </w:r>
      <w:r>
        <w:rPr>
          <w:rFonts w:ascii="宋体" w:hAnsi="宋体" w:cs="宋体"/>
          <w:color w:val="000000"/>
          <w:sz w:val="28"/>
          <w:szCs w:val="28"/>
        </w:rPr>
        <w:t>、陕西省政府采购供应商拒绝政府采购领域商业贿赂承诺书</w:t>
      </w:r>
    </w:p>
    <w:p w14:paraId="43B9440C">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五</w:t>
      </w:r>
      <w:r>
        <w:rPr>
          <w:rFonts w:ascii="宋体" w:hAnsi="宋体" w:cs="宋体"/>
          <w:color w:val="000000"/>
          <w:sz w:val="28"/>
          <w:szCs w:val="28"/>
        </w:rPr>
        <w:t>、</w:t>
      </w:r>
      <w:r>
        <w:rPr>
          <w:rFonts w:hint="eastAsia" w:ascii="宋体" w:hAnsi="宋体" w:cs="宋体"/>
          <w:color w:val="000000"/>
          <w:sz w:val="28"/>
          <w:szCs w:val="28"/>
          <w:lang w:val="en-US" w:eastAsia="zh-CN"/>
        </w:rPr>
        <w:t>技术</w:t>
      </w:r>
      <w:r>
        <w:rPr>
          <w:rFonts w:ascii="宋体" w:hAnsi="宋体" w:cs="宋体"/>
          <w:color w:val="000000"/>
          <w:sz w:val="28"/>
          <w:szCs w:val="28"/>
        </w:rPr>
        <w:t>部分</w:t>
      </w:r>
    </w:p>
    <w:p w14:paraId="16626BA6">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六</w:t>
      </w:r>
      <w:r>
        <w:rPr>
          <w:rFonts w:ascii="宋体" w:hAnsi="宋体" w:cs="宋体"/>
          <w:color w:val="000000"/>
          <w:sz w:val="28"/>
          <w:szCs w:val="28"/>
        </w:rPr>
        <w:t>、</w:t>
      </w:r>
      <w:r>
        <w:rPr>
          <w:rFonts w:hint="eastAsia" w:ascii="宋体" w:hAnsi="宋体" w:cs="宋体"/>
          <w:color w:val="000000"/>
          <w:sz w:val="28"/>
          <w:szCs w:val="28"/>
          <w:lang w:val="en-US" w:eastAsia="zh-CN"/>
        </w:rPr>
        <w:t>商务部分</w:t>
      </w:r>
    </w:p>
    <w:p w14:paraId="199E1D1D">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七</w:t>
      </w:r>
      <w:r>
        <w:rPr>
          <w:rFonts w:ascii="宋体" w:hAnsi="宋体" w:cs="宋体"/>
          <w:color w:val="000000"/>
          <w:sz w:val="28"/>
          <w:szCs w:val="28"/>
        </w:rPr>
        <w:t>、其</w:t>
      </w:r>
      <w:r>
        <w:rPr>
          <w:rFonts w:hint="eastAsia" w:ascii="宋体" w:hAnsi="宋体" w:cs="宋体"/>
          <w:color w:val="000000"/>
          <w:sz w:val="28"/>
          <w:szCs w:val="28"/>
          <w:lang w:val="en-US" w:eastAsia="zh-CN"/>
        </w:rPr>
        <w:t>他</w:t>
      </w:r>
      <w:r>
        <w:rPr>
          <w:rFonts w:ascii="宋体" w:hAnsi="宋体" w:cs="宋体"/>
          <w:color w:val="000000"/>
          <w:sz w:val="28"/>
          <w:szCs w:val="28"/>
        </w:rPr>
        <w:t>资料</w:t>
      </w:r>
    </w:p>
    <w:p w14:paraId="483E12EE">
      <w:pPr>
        <w:widowControl/>
        <w:spacing w:line="360" w:lineRule="auto"/>
        <w:ind w:firstLine="562" w:firstLineChars="200"/>
        <w:jc w:val="center"/>
        <w:rPr>
          <w:rFonts w:hint="eastAsia" w:ascii="宋体" w:hAnsi="宋体" w:cs="宋体"/>
          <w:b/>
          <w:color w:val="000000"/>
          <w:sz w:val="28"/>
          <w:szCs w:val="28"/>
          <w:lang w:val="en-US" w:eastAsia="zh-CN"/>
        </w:rPr>
      </w:pPr>
      <w:bookmarkStart w:id="326" w:name="_Toc8505"/>
      <w:bookmarkStart w:id="327" w:name="_Toc420591667"/>
      <w:bookmarkStart w:id="328" w:name="_Toc425240481"/>
      <w:bookmarkStart w:id="329" w:name="_Toc32749"/>
      <w:bookmarkStart w:id="330" w:name="_Toc500323110"/>
      <w:bookmarkStart w:id="331" w:name="_Toc8037"/>
      <w:bookmarkStart w:id="332" w:name="_Toc28395"/>
      <w:bookmarkStart w:id="333" w:name="_Toc421778386"/>
    </w:p>
    <w:p w14:paraId="79C0DE63">
      <w:pPr>
        <w:widowControl/>
        <w:spacing w:line="360" w:lineRule="auto"/>
        <w:ind w:firstLine="562" w:firstLineChars="200"/>
        <w:jc w:val="center"/>
        <w:rPr>
          <w:rFonts w:hint="eastAsia" w:ascii="宋体" w:hAnsi="宋体" w:cs="宋体"/>
          <w:b/>
          <w:color w:val="000000"/>
          <w:sz w:val="28"/>
          <w:szCs w:val="28"/>
          <w:lang w:val="en-US" w:eastAsia="zh-CN"/>
        </w:rPr>
      </w:pPr>
    </w:p>
    <w:p w14:paraId="6CEB6A98">
      <w:pPr>
        <w:widowControl/>
        <w:spacing w:line="360" w:lineRule="auto"/>
        <w:ind w:firstLine="562" w:firstLineChars="200"/>
        <w:jc w:val="center"/>
        <w:rPr>
          <w:rFonts w:hint="eastAsia" w:ascii="宋体" w:hAnsi="宋体" w:cs="宋体"/>
          <w:b/>
          <w:color w:val="000000"/>
          <w:sz w:val="28"/>
          <w:szCs w:val="28"/>
          <w:lang w:val="en-US" w:eastAsia="zh-CN"/>
        </w:rPr>
      </w:pPr>
    </w:p>
    <w:p w14:paraId="39CD7BB9">
      <w:pPr>
        <w:widowControl/>
        <w:spacing w:line="360" w:lineRule="auto"/>
        <w:ind w:firstLine="562" w:firstLineChars="200"/>
        <w:jc w:val="center"/>
        <w:rPr>
          <w:rFonts w:hint="eastAsia" w:ascii="宋体" w:hAnsi="宋体" w:cs="宋体"/>
          <w:b/>
          <w:color w:val="000000"/>
          <w:sz w:val="28"/>
          <w:szCs w:val="28"/>
          <w:lang w:val="en-US" w:eastAsia="zh-CN"/>
        </w:rPr>
      </w:pPr>
    </w:p>
    <w:p w14:paraId="74C1A431">
      <w:pPr>
        <w:widowControl/>
        <w:spacing w:line="360" w:lineRule="auto"/>
        <w:ind w:firstLine="562" w:firstLineChars="200"/>
        <w:jc w:val="center"/>
        <w:rPr>
          <w:rFonts w:hint="eastAsia" w:ascii="宋体" w:hAnsi="宋体" w:cs="宋体"/>
          <w:b/>
          <w:color w:val="000000"/>
          <w:sz w:val="28"/>
          <w:szCs w:val="28"/>
          <w:lang w:val="en-US" w:eastAsia="zh-CN"/>
        </w:rPr>
      </w:pPr>
    </w:p>
    <w:p w14:paraId="77B548FA">
      <w:pPr>
        <w:widowControl/>
        <w:spacing w:line="360" w:lineRule="auto"/>
        <w:ind w:firstLine="562" w:firstLineChars="200"/>
        <w:jc w:val="center"/>
        <w:rPr>
          <w:rFonts w:hint="eastAsia" w:ascii="宋体" w:hAnsi="宋体" w:cs="宋体"/>
          <w:b/>
          <w:color w:val="000000"/>
          <w:sz w:val="28"/>
          <w:szCs w:val="28"/>
          <w:lang w:val="en-US" w:eastAsia="zh-CN"/>
        </w:rPr>
      </w:pPr>
    </w:p>
    <w:p w14:paraId="6BEA2E27">
      <w:pPr>
        <w:widowControl/>
        <w:spacing w:line="360" w:lineRule="auto"/>
        <w:ind w:firstLine="562" w:firstLineChars="200"/>
        <w:jc w:val="center"/>
        <w:rPr>
          <w:rFonts w:hint="eastAsia" w:ascii="宋体" w:hAnsi="宋体" w:cs="宋体"/>
          <w:b/>
          <w:color w:val="000000"/>
          <w:sz w:val="28"/>
          <w:szCs w:val="28"/>
          <w:lang w:val="en-US" w:eastAsia="zh-CN"/>
        </w:rPr>
      </w:pPr>
    </w:p>
    <w:p w14:paraId="37E463CF">
      <w:pPr>
        <w:widowControl/>
        <w:spacing w:line="360" w:lineRule="auto"/>
        <w:ind w:firstLine="562" w:firstLineChars="200"/>
        <w:jc w:val="center"/>
        <w:rPr>
          <w:rFonts w:hint="eastAsia" w:ascii="宋体" w:hAnsi="宋体" w:cs="宋体"/>
          <w:b/>
          <w:color w:val="000000"/>
          <w:sz w:val="28"/>
          <w:szCs w:val="28"/>
          <w:lang w:val="en-US" w:eastAsia="zh-CN"/>
        </w:rPr>
      </w:pPr>
    </w:p>
    <w:p w14:paraId="46169EEC">
      <w:pPr>
        <w:widowControl/>
        <w:spacing w:line="360" w:lineRule="auto"/>
        <w:ind w:firstLine="562" w:firstLineChars="200"/>
        <w:jc w:val="center"/>
        <w:rPr>
          <w:rFonts w:hint="eastAsia" w:ascii="宋体" w:hAnsi="宋体" w:cs="宋体"/>
          <w:b/>
          <w:color w:val="000000"/>
          <w:sz w:val="28"/>
          <w:szCs w:val="28"/>
          <w:lang w:val="en-US" w:eastAsia="zh-CN"/>
        </w:rPr>
      </w:pPr>
    </w:p>
    <w:p w14:paraId="7C5AF041">
      <w:pPr>
        <w:widowControl/>
        <w:spacing w:line="360" w:lineRule="auto"/>
        <w:ind w:firstLine="562" w:firstLineChars="200"/>
        <w:jc w:val="center"/>
        <w:rPr>
          <w:rFonts w:hint="eastAsia" w:ascii="宋体" w:hAnsi="宋体" w:cs="宋体"/>
          <w:b/>
          <w:color w:val="000000"/>
          <w:sz w:val="28"/>
          <w:szCs w:val="28"/>
          <w:lang w:val="en-US" w:eastAsia="zh-CN"/>
        </w:rPr>
      </w:pPr>
    </w:p>
    <w:p w14:paraId="6D827984">
      <w:pPr>
        <w:widowControl/>
        <w:spacing w:line="360" w:lineRule="auto"/>
        <w:ind w:firstLine="562" w:firstLineChars="200"/>
        <w:jc w:val="center"/>
        <w:rPr>
          <w:rFonts w:hint="eastAsia" w:ascii="宋体" w:hAnsi="宋体" w:cs="宋体"/>
          <w:b/>
          <w:color w:val="000000"/>
          <w:sz w:val="28"/>
          <w:szCs w:val="28"/>
          <w:lang w:val="en-US" w:eastAsia="zh-CN"/>
        </w:rPr>
      </w:pPr>
    </w:p>
    <w:p w14:paraId="08AD69F9">
      <w:pPr>
        <w:widowControl/>
        <w:spacing w:line="360" w:lineRule="auto"/>
        <w:ind w:firstLine="562" w:firstLineChars="200"/>
        <w:jc w:val="center"/>
        <w:rPr>
          <w:rFonts w:hint="eastAsia" w:ascii="宋体" w:hAnsi="宋体" w:cs="宋体"/>
          <w:b/>
          <w:color w:val="000000"/>
          <w:sz w:val="28"/>
          <w:szCs w:val="28"/>
          <w:lang w:val="en-US" w:eastAsia="zh-CN"/>
        </w:rPr>
      </w:pPr>
    </w:p>
    <w:p w14:paraId="40806BC3">
      <w:pPr>
        <w:widowControl/>
        <w:spacing w:line="360" w:lineRule="auto"/>
        <w:ind w:firstLine="562" w:firstLineChars="200"/>
        <w:jc w:val="center"/>
        <w:rPr>
          <w:rFonts w:hint="eastAsia" w:ascii="宋体" w:hAnsi="宋体" w:cs="宋体"/>
          <w:b/>
          <w:color w:val="000000"/>
          <w:sz w:val="28"/>
          <w:szCs w:val="28"/>
          <w:lang w:val="en-US" w:eastAsia="zh-CN"/>
        </w:rPr>
      </w:pPr>
    </w:p>
    <w:p w14:paraId="1A7263A0">
      <w:pPr>
        <w:widowControl/>
        <w:spacing w:line="360" w:lineRule="auto"/>
        <w:ind w:firstLine="562" w:firstLineChars="200"/>
        <w:jc w:val="center"/>
        <w:rPr>
          <w:rFonts w:hint="eastAsia" w:ascii="宋体" w:hAnsi="宋体" w:cs="宋体"/>
          <w:b/>
          <w:color w:val="000000"/>
          <w:sz w:val="28"/>
          <w:szCs w:val="28"/>
          <w:lang w:val="en-US" w:eastAsia="zh-CN"/>
        </w:rPr>
      </w:pPr>
    </w:p>
    <w:p w14:paraId="12A8631F">
      <w:pPr>
        <w:widowControl/>
        <w:spacing w:line="360" w:lineRule="auto"/>
        <w:ind w:firstLine="562" w:firstLineChars="200"/>
        <w:jc w:val="center"/>
        <w:rPr>
          <w:rFonts w:hint="eastAsia" w:ascii="宋体" w:hAnsi="宋体" w:cs="宋体"/>
          <w:b/>
          <w:color w:val="000000"/>
          <w:sz w:val="28"/>
          <w:szCs w:val="28"/>
          <w:lang w:val="en-US" w:eastAsia="zh-CN"/>
        </w:rPr>
      </w:pPr>
    </w:p>
    <w:p w14:paraId="0C21A039">
      <w:pPr>
        <w:widowControl/>
        <w:spacing w:line="360" w:lineRule="auto"/>
        <w:ind w:firstLine="562" w:firstLineChars="200"/>
        <w:jc w:val="center"/>
        <w:rPr>
          <w:rFonts w:hint="eastAsia" w:ascii="宋体" w:hAnsi="宋体" w:cs="宋体"/>
          <w:b/>
          <w:color w:val="000000"/>
          <w:sz w:val="28"/>
          <w:szCs w:val="28"/>
          <w:lang w:val="en-US" w:eastAsia="zh-CN"/>
        </w:rPr>
      </w:pPr>
    </w:p>
    <w:p w14:paraId="3A63347F">
      <w:pPr>
        <w:widowControl/>
        <w:spacing w:line="360" w:lineRule="auto"/>
        <w:ind w:firstLine="562" w:firstLineChars="200"/>
        <w:jc w:val="center"/>
        <w:rPr>
          <w:rFonts w:hint="eastAsia" w:ascii="宋体" w:hAnsi="宋体" w:cs="宋体"/>
          <w:b/>
          <w:color w:val="000000"/>
          <w:sz w:val="28"/>
          <w:szCs w:val="28"/>
          <w:lang w:val="en-US" w:eastAsia="zh-CN"/>
        </w:rPr>
      </w:pPr>
    </w:p>
    <w:p w14:paraId="64C49ADF">
      <w:pPr>
        <w:widowControl/>
        <w:spacing w:line="360" w:lineRule="auto"/>
        <w:ind w:firstLine="562" w:firstLineChars="200"/>
        <w:jc w:val="center"/>
        <w:rPr>
          <w:rFonts w:ascii="宋体" w:hAnsi="宋体" w:cs="宋体"/>
          <w:b/>
          <w:color w:val="000000"/>
          <w:sz w:val="28"/>
          <w:szCs w:val="28"/>
        </w:rPr>
      </w:pPr>
      <w:r>
        <w:rPr>
          <w:rFonts w:hint="eastAsia" w:ascii="宋体" w:hAnsi="宋体" w:cs="宋体"/>
          <w:b/>
          <w:color w:val="000000"/>
          <w:sz w:val="28"/>
          <w:szCs w:val="28"/>
          <w:lang w:val="en-US" w:eastAsia="zh-CN"/>
        </w:rPr>
        <w:t>一</w:t>
      </w:r>
      <w:r>
        <w:rPr>
          <w:rFonts w:ascii="宋体" w:hAnsi="宋体" w:cs="宋体"/>
          <w:b/>
          <w:color w:val="000000"/>
          <w:sz w:val="28"/>
          <w:szCs w:val="28"/>
        </w:rPr>
        <w:t>、资格审查资料</w:t>
      </w:r>
    </w:p>
    <w:p w14:paraId="421C333D">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（1）基本资格条件：</w:t>
      </w:r>
    </w:p>
    <w:p w14:paraId="7A13FEA0">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符合《中华人民共和国政府采购法》第二十二条的规定；</w:t>
      </w:r>
    </w:p>
    <w:p w14:paraId="2D16BE57">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（2）特定资格条件：</w:t>
      </w:r>
    </w:p>
    <w:p w14:paraId="24167CD4">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 xml:space="preserve">1.具有独立承担民事责任能力的法人、其他组织或自然人，并出具合法有效的营业执照或事业单位法人证书等国家规定的相关证明，自然人参与的提供其身份证明； </w:t>
      </w:r>
    </w:p>
    <w:p w14:paraId="2D361074">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2.法定代表人授权委托书及被授权人身份证（法定代表人直接参加时，只须出示法定代表人身份证)；</w:t>
      </w:r>
    </w:p>
    <w:p w14:paraId="5E6B0B72">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3.提供参加政府采购活动前3年内经营活动中没有重大违法记录声明；</w:t>
      </w:r>
    </w:p>
    <w:p w14:paraId="665EE0DE">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4.税收缴纳证明：自2026年1月1日以来已缴纳的至少一个月的纳税证明或完税证明，纳税证明或完税证明上应有代收机构或税务机关的公章。依法免税的供应商应提供相关文件证明；</w:t>
      </w:r>
    </w:p>
    <w:p w14:paraId="6E18F7E6">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5.社会保障资金缴纳证明：自2026年1月1日以来已缴存的至少一个月的社会保障资金缴存单据或社保机构开具的社会保险参保缴费情况证明，依法不需要缴纳社会保障资金的供应商应提供相关文件证明；</w:t>
      </w:r>
    </w:p>
    <w:p w14:paraId="4E120816">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0EEF8084">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7.投标人须同时具备土地规划乙级(含乙级)以上资质和测绘乙级(含乙级)以上资质；</w:t>
      </w:r>
    </w:p>
    <w:p w14:paraId="464C46CE">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8.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595570B7">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9.提供磋商保证金的银行转账或电汇凭证并确保响应文件递交截止时间前到达采购文件指定账户；</w:t>
      </w:r>
    </w:p>
    <w:p w14:paraId="58F7CE50">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10.本项目专门面向中小企业采购（提供中小企业声明函）； </w:t>
      </w:r>
    </w:p>
    <w:p w14:paraId="362B18E8">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11.本项目不接受联合体磋商。 </w:t>
      </w:r>
    </w:p>
    <w:p w14:paraId="69B0F844">
      <w:pPr>
        <w:keepLines/>
        <w:pageBreakBefore/>
        <w:spacing w:line="360" w:lineRule="auto"/>
        <w:jc w:val="center"/>
        <w:outlineLvl w:val="1"/>
        <w:rPr>
          <w:rFonts w:hint="eastAsia" w:ascii="宋体" w:hAnsi="宋体" w:cs="宋体"/>
          <w:b/>
          <w:color w:val="000000"/>
          <w:sz w:val="28"/>
          <w:szCs w:val="28"/>
          <w:lang w:val="en-US" w:eastAsia="zh-CN"/>
        </w:rPr>
        <w:sectPr>
          <w:footerReference r:id="rId14"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bookmarkStart w:id="334" w:name="_Toc2685"/>
    </w:p>
    <w:p w14:paraId="21F06904">
      <w:pPr>
        <w:adjustRightInd w:val="0"/>
        <w:snapToGrid w:val="0"/>
        <w:spacing w:line="360" w:lineRule="auto"/>
        <w:ind w:firstLine="562" w:firstLineChars="200"/>
        <w:jc w:val="left"/>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t>附件1</w:t>
      </w:r>
    </w:p>
    <w:p w14:paraId="1AA7B1ED">
      <w:pPr>
        <w:adjustRightInd w:val="0"/>
        <w:snapToGrid w:val="0"/>
        <w:spacing w:line="360" w:lineRule="auto"/>
        <w:ind w:firstLine="562" w:firstLineChars="200"/>
        <w:jc w:val="center"/>
        <w:rPr>
          <w:rFonts w:ascii="宋体" w:hAnsi="宋体" w:cs="宋体"/>
          <w:b/>
          <w:bCs/>
          <w:color w:val="000000"/>
          <w:sz w:val="28"/>
          <w:szCs w:val="28"/>
        </w:rPr>
      </w:pPr>
      <w:r>
        <w:rPr>
          <w:rFonts w:ascii="宋体" w:hAnsi="宋体" w:cs="宋体"/>
          <w:b/>
          <w:bCs/>
          <w:color w:val="000000"/>
          <w:sz w:val="28"/>
          <w:szCs w:val="28"/>
        </w:rPr>
        <w:t>法定代表人身份证明</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540D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67DA6300">
            <w:pPr>
              <w:tabs>
                <w:tab w:val="left" w:pos="1260"/>
              </w:tabs>
              <w:spacing w:line="360" w:lineRule="auto"/>
              <w:jc w:val="left"/>
              <w:rPr>
                <w:rFonts w:hint="eastAsia" w:ascii="宋体" w:hAnsi="宋体" w:eastAsia="宋体" w:cs="宋体"/>
                <w:bCs/>
                <w:sz w:val="24"/>
                <w:szCs w:val="24"/>
                <w:lang w:eastAsia="zh-CN"/>
              </w:rPr>
            </w:pPr>
            <w:bookmarkStart w:id="335" w:name="_Toc421778389"/>
            <w:bookmarkStart w:id="336" w:name="_Toc13782"/>
            <w:bookmarkStart w:id="337" w:name="_Toc32762"/>
            <w:bookmarkStart w:id="338" w:name="_Toc420591670"/>
            <w:bookmarkStart w:id="339" w:name="_Toc425240484"/>
            <w:bookmarkStart w:id="340" w:name="_Toc500323113"/>
            <w:r>
              <w:rPr>
                <w:rFonts w:ascii="宋体" w:hAnsi="宋体" w:cs="宋体"/>
                <w:sz w:val="24"/>
                <w:szCs w:val="24"/>
              </w:rPr>
              <w:t>致：</w:t>
            </w:r>
            <w:r>
              <w:rPr>
                <w:rFonts w:hint="eastAsia" w:ascii="宋体" w:hAnsi="宋体" w:cs="宋体"/>
                <w:sz w:val="24"/>
                <w:szCs w:val="24"/>
                <w:lang w:eastAsia="zh-CN"/>
              </w:rPr>
              <w:t>陕西宸永项目管理有限公司</w:t>
            </w:r>
          </w:p>
        </w:tc>
      </w:tr>
      <w:tr w14:paraId="1DFD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0AF64A18">
            <w:pPr>
              <w:tabs>
                <w:tab w:val="left" w:pos="1260"/>
              </w:tabs>
              <w:spacing w:line="360" w:lineRule="auto"/>
              <w:jc w:val="center"/>
              <w:rPr>
                <w:rFonts w:ascii="宋体" w:hAnsi="宋体" w:cs="宋体"/>
                <w:sz w:val="24"/>
                <w:szCs w:val="24"/>
              </w:rPr>
            </w:pPr>
            <w:r>
              <w:rPr>
                <w:rFonts w:ascii="宋体" w:hAnsi="宋体" w:cs="宋体"/>
                <w:sz w:val="24"/>
                <w:szCs w:val="24"/>
              </w:rPr>
              <w:t>企</w:t>
            </w:r>
          </w:p>
          <w:p w14:paraId="788A582A">
            <w:pPr>
              <w:tabs>
                <w:tab w:val="left" w:pos="1260"/>
              </w:tabs>
              <w:spacing w:line="360" w:lineRule="auto"/>
              <w:jc w:val="center"/>
              <w:rPr>
                <w:rFonts w:ascii="宋体" w:hAnsi="宋体" w:cs="宋体"/>
                <w:sz w:val="24"/>
                <w:szCs w:val="24"/>
              </w:rPr>
            </w:pPr>
            <w:r>
              <w:rPr>
                <w:rFonts w:ascii="宋体" w:hAnsi="宋体" w:cs="宋体"/>
                <w:sz w:val="24"/>
                <w:szCs w:val="24"/>
              </w:rPr>
              <w:t>业</w:t>
            </w:r>
          </w:p>
          <w:p w14:paraId="24CAEFB0">
            <w:pPr>
              <w:tabs>
                <w:tab w:val="left" w:pos="1260"/>
              </w:tabs>
              <w:spacing w:line="360" w:lineRule="auto"/>
              <w:jc w:val="center"/>
              <w:rPr>
                <w:rFonts w:ascii="宋体" w:hAnsi="宋体" w:cs="宋体"/>
                <w:sz w:val="24"/>
                <w:szCs w:val="24"/>
              </w:rPr>
            </w:pPr>
            <w:r>
              <w:rPr>
                <w:rFonts w:ascii="宋体" w:hAnsi="宋体" w:cs="宋体"/>
                <w:sz w:val="24"/>
                <w:szCs w:val="24"/>
              </w:rPr>
              <w:t>法</w:t>
            </w:r>
          </w:p>
          <w:p w14:paraId="56AB767E">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4F050CC3">
            <w:pPr>
              <w:tabs>
                <w:tab w:val="left" w:pos="1260"/>
              </w:tabs>
              <w:spacing w:line="360" w:lineRule="auto"/>
              <w:jc w:val="center"/>
              <w:rPr>
                <w:rFonts w:ascii="宋体" w:hAnsi="宋体" w:cs="宋体"/>
                <w:sz w:val="24"/>
                <w:szCs w:val="24"/>
              </w:rPr>
            </w:pPr>
            <w:r>
              <w:rPr>
                <w:rFonts w:ascii="宋体" w:hAnsi="宋体" w:cs="宋体"/>
                <w:sz w:val="24"/>
                <w:szCs w:val="24"/>
              </w:rPr>
              <w:t>企业名称</w:t>
            </w:r>
          </w:p>
        </w:tc>
        <w:tc>
          <w:tcPr>
            <w:tcW w:w="6140" w:type="dxa"/>
            <w:gridSpan w:val="3"/>
            <w:noWrap w:val="0"/>
            <w:vAlign w:val="top"/>
          </w:tcPr>
          <w:p w14:paraId="388A7FE7">
            <w:pPr>
              <w:tabs>
                <w:tab w:val="left" w:pos="1260"/>
              </w:tabs>
              <w:spacing w:line="360" w:lineRule="auto"/>
              <w:rPr>
                <w:rFonts w:ascii="宋体" w:hAnsi="宋体" w:cs="宋体"/>
                <w:bCs/>
                <w:sz w:val="24"/>
                <w:szCs w:val="24"/>
              </w:rPr>
            </w:pPr>
          </w:p>
        </w:tc>
      </w:tr>
      <w:tr w14:paraId="14F8F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68E7C9B8">
            <w:pPr>
              <w:spacing w:line="360" w:lineRule="auto"/>
              <w:rPr>
                <w:rFonts w:ascii="宋体" w:hAnsi="宋体" w:cs="宋体"/>
                <w:sz w:val="24"/>
                <w:szCs w:val="24"/>
              </w:rPr>
            </w:pPr>
          </w:p>
        </w:tc>
        <w:tc>
          <w:tcPr>
            <w:tcW w:w="2240" w:type="dxa"/>
            <w:noWrap w:val="0"/>
            <w:vAlign w:val="center"/>
          </w:tcPr>
          <w:p w14:paraId="12E9675B">
            <w:pPr>
              <w:tabs>
                <w:tab w:val="left" w:pos="1260"/>
              </w:tabs>
              <w:spacing w:line="360" w:lineRule="auto"/>
              <w:jc w:val="center"/>
              <w:rPr>
                <w:rFonts w:ascii="宋体" w:hAnsi="宋体" w:cs="宋体"/>
                <w:sz w:val="24"/>
                <w:szCs w:val="24"/>
              </w:rPr>
            </w:pPr>
            <w:r>
              <w:rPr>
                <w:rFonts w:ascii="宋体" w:hAnsi="宋体" w:cs="宋体"/>
                <w:sz w:val="24"/>
                <w:szCs w:val="24"/>
              </w:rPr>
              <w:t>法定地址</w:t>
            </w:r>
          </w:p>
        </w:tc>
        <w:tc>
          <w:tcPr>
            <w:tcW w:w="6140" w:type="dxa"/>
            <w:gridSpan w:val="3"/>
            <w:noWrap w:val="0"/>
            <w:vAlign w:val="top"/>
          </w:tcPr>
          <w:p w14:paraId="2A6058AF">
            <w:pPr>
              <w:tabs>
                <w:tab w:val="left" w:pos="1260"/>
              </w:tabs>
              <w:spacing w:line="360" w:lineRule="auto"/>
              <w:rPr>
                <w:rFonts w:ascii="宋体" w:hAnsi="宋体" w:cs="宋体"/>
                <w:bCs/>
                <w:sz w:val="24"/>
                <w:szCs w:val="24"/>
              </w:rPr>
            </w:pPr>
          </w:p>
        </w:tc>
      </w:tr>
      <w:tr w14:paraId="212E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582FD3F">
            <w:pPr>
              <w:spacing w:line="360" w:lineRule="auto"/>
              <w:rPr>
                <w:rFonts w:ascii="宋体" w:hAnsi="宋体" w:cs="宋体"/>
                <w:sz w:val="24"/>
                <w:szCs w:val="24"/>
              </w:rPr>
            </w:pPr>
          </w:p>
        </w:tc>
        <w:tc>
          <w:tcPr>
            <w:tcW w:w="2240" w:type="dxa"/>
            <w:noWrap w:val="0"/>
            <w:vAlign w:val="center"/>
          </w:tcPr>
          <w:p w14:paraId="566A3118">
            <w:pPr>
              <w:tabs>
                <w:tab w:val="left" w:pos="1260"/>
              </w:tabs>
              <w:spacing w:line="360" w:lineRule="auto"/>
              <w:jc w:val="center"/>
              <w:rPr>
                <w:rFonts w:ascii="宋体" w:hAnsi="宋体" w:cs="宋体"/>
                <w:sz w:val="24"/>
                <w:szCs w:val="24"/>
              </w:rPr>
            </w:pPr>
            <w:r>
              <w:rPr>
                <w:rFonts w:ascii="宋体" w:hAnsi="宋体" w:cs="宋体"/>
                <w:sz w:val="24"/>
                <w:szCs w:val="24"/>
              </w:rPr>
              <w:t>邮政编码</w:t>
            </w:r>
          </w:p>
        </w:tc>
        <w:tc>
          <w:tcPr>
            <w:tcW w:w="6140" w:type="dxa"/>
            <w:gridSpan w:val="3"/>
            <w:noWrap w:val="0"/>
            <w:vAlign w:val="top"/>
          </w:tcPr>
          <w:p w14:paraId="003E7BC5">
            <w:pPr>
              <w:tabs>
                <w:tab w:val="left" w:pos="1260"/>
              </w:tabs>
              <w:spacing w:line="360" w:lineRule="auto"/>
              <w:rPr>
                <w:rFonts w:ascii="宋体" w:hAnsi="宋体" w:cs="宋体"/>
                <w:bCs/>
                <w:sz w:val="24"/>
                <w:szCs w:val="24"/>
              </w:rPr>
            </w:pPr>
          </w:p>
        </w:tc>
      </w:tr>
      <w:tr w14:paraId="0436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2E18DCD">
            <w:pPr>
              <w:spacing w:line="360" w:lineRule="auto"/>
              <w:rPr>
                <w:rFonts w:ascii="宋体" w:hAnsi="宋体" w:cs="宋体"/>
                <w:sz w:val="24"/>
                <w:szCs w:val="24"/>
              </w:rPr>
            </w:pPr>
          </w:p>
        </w:tc>
        <w:tc>
          <w:tcPr>
            <w:tcW w:w="2240" w:type="dxa"/>
            <w:noWrap w:val="0"/>
            <w:vAlign w:val="center"/>
          </w:tcPr>
          <w:p w14:paraId="08B9CAFD">
            <w:pPr>
              <w:tabs>
                <w:tab w:val="left" w:pos="1260"/>
              </w:tabs>
              <w:spacing w:line="360" w:lineRule="auto"/>
              <w:jc w:val="center"/>
              <w:rPr>
                <w:rFonts w:ascii="宋体" w:hAnsi="宋体" w:cs="宋体"/>
                <w:sz w:val="24"/>
                <w:szCs w:val="24"/>
              </w:rPr>
            </w:pPr>
            <w:r>
              <w:rPr>
                <w:rFonts w:ascii="宋体" w:hAnsi="宋体" w:cs="宋体"/>
                <w:sz w:val="24"/>
                <w:szCs w:val="24"/>
              </w:rPr>
              <w:t>网    址</w:t>
            </w:r>
          </w:p>
        </w:tc>
        <w:tc>
          <w:tcPr>
            <w:tcW w:w="6140" w:type="dxa"/>
            <w:gridSpan w:val="3"/>
            <w:noWrap w:val="0"/>
            <w:vAlign w:val="top"/>
          </w:tcPr>
          <w:p w14:paraId="4998E31A">
            <w:pPr>
              <w:tabs>
                <w:tab w:val="left" w:pos="1260"/>
              </w:tabs>
              <w:spacing w:line="360" w:lineRule="auto"/>
              <w:rPr>
                <w:rFonts w:ascii="宋体" w:hAnsi="宋体" w:cs="宋体"/>
                <w:bCs/>
                <w:sz w:val="24"/>
                <w:szCs w:val="24"/>
              </w:rPr>
            </w:pPr>
          </w:p>
        </w:tc>
      </w:tr>
      <w:tr w14:paraId="7F213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A740B99">
            <w:pPr>
              <w:spacing w:line="360" w:lineRule="auto"/>
              <w:rPr>
                <w:rFonts w:ascii="宋体" w:hAnsi="宋体" w:cs="宋体"/>
                <w:sz w:val="24"/>
                <w:szCs w:val="24"/>
              </w:rPr>
            </w:pPr>
          </w:p>
        </w:tc>
        <w:tc>
          <w:tcPr>
            <w:tcW w:w="2240" w:type="dxa"/>
            <w:noWrap w:val="0"/>
            <w:vAlign w:val="top"/>
          </w:tcPr>
          <w:p w14:paraId="1760EEAA">
            <w:pPr>
              <w:tabs>
                <w:tab w:val="left" w:pos="1260"/>
              </w:tabs>
              <w:spacing w:line="360" w:lineRule="auto"/>
              <w:jc w:val="center"/>
              <w:rPr>
                <w:rFonts w:ascii="宋体" w:hAnsi="宋体" w:cs="宋体"/>
                <w:bCs/>
                <w:sz w:val="24"/>
                <w:szCs w:val="24"/>
              </w:rPr>
            </w:pPr>
            <w:r>
              <w:rPr>
                <w:rFonts w:ascii="宋体" w:hAnsi="宋体" w:cs="宋体"/>
                <w:sz w:val="24"/>
                <w:szCs w:val="24"/>
              </w:rPr>
              <w:t>工商登记机关</w:t>
            </w:r>
          </w:p>
        </w:tc>
        <w:tc>
          <w:tcPr>
            <w:tcW w:w="6140" w:type="dxa"/>
            <w:gridSpan w:val="3"/>
            <w:noWrap w:val="0"/>
            <w:vAlign w:val="top"/>
          </w:tcPr>
          <w:p w14:paraId="77DA6C7B">
            <w:pPr>
              <w:tabs>
                <w:tab w:val="left" w:pos="1260"/>
              </w:tabs>
              <w:spacing w:line="360" w:lineRule="auto"/>
              <w:rPr>
                <w:rFonts w:ascii="宋体" w:hAnsi="宋体" w:cs="宋体"/>
                <w:bCs/>
                <w:sz w:val="24"/>
                <w:szCs w:val="24"/>
              </w:rPr>
            </w:pPr>
          </w:p>
        </w:tc>
      </w:tr>
      <w:tr w14:paraId="4417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26E3295A">
            <w:pPr>
              <w:spacing w:line="360" w:lineRule="auto"/>
              <w:rPr>
                <w:rFonts w:ascii="宋体" w:hAnsi="宋体" w:cs="宋体"/>
                <w:sz w:val="24"/>
                <w:szCs w:val="24"/>
              </w:rPr>
            </w:pPr>
          </w:p>
        </w:tc>
        <w:tc>
          <w:tcPr>
            <w:tcW w:w="2240" w:type="dxa"/>
            <w:noWrap w:val="0"/>
            <w:vAlign w:val="center"/>
          </w:tcPr>
          <w:p w14:paraId="49FFE292">
            <w:pPr>
              <w:tabs>
                <w:tab w:val="left" w:pos="1260"/>
              </w:tabs>
              <w:spacing w:line="360" w:lineRule="auto"/>
              <w:jc w:val="center"/>
              <w:rPr>
                <w:rFonts w:ascii="宋体" w:hAnsi="宋体" w:cs="宋体"/>
                <w:sz w:val="24"/>
                <w:szCs w:val="24"/>
              </w:rPr>
            </w:pPr>
            <w:r>
              <w:rPr>
                <w:rFonts w:ascii="宋体" w:hAnsi="宋体" w:cs="宋体"/>
                <w:sz w:val="24"/>
                <w:szCs w:val="24"/>
              </w:rPr>
              <w:t>税务登记机关</w:t>
            </w:r>
          </w:p>
        </w:tc>
        <w:tc>
          <w:tcPr>
            <w:tcW w:w="6140" w:type="dxa"/>
            <w:gridSpan w:val="3"/>
            <w:noWrap w:val="0"/>
            <w:vAlign w:val="top"/>
          </w:tcPr>
          <w:p w14:paraId="69A99668">
            <w:pPr>
              <w:tabs>
                <w:tab w:val="left" w:pos="1260"/>
              </w:tabs>
              <w:spacing w:line="360" w:lineRule="auto"/>
              <w:rPr>
                <w:rFonts w:ascii="宋体" w:hAnsi="宋体" w:cs="宋体"/>
                <w:sz w:val="24"/>
                <w:szCs w:val="24"/>
              </w:rPr>
            </w:pPr>
          </w:p>
        </w:tc>
      </w:tr>
      <w:tr w14:paraId="7F37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2E9F907C">
            <w:pPr>
              <w:spacing w:line="360" w:lineRule="auto"/>
              <w:rPr>
                <w:rFonts w:ascii="宋体" w:hAnsi="宋体" w:cs="宋体"/>
                <w:sz w:val="24"/>
                <w:szCs w:val="24"/>
              </w:rPr>
            </w:pPr>
          </w:p>
        </w:tc>
        <w:tc>
          <w:tcPr>
            <w:tcW w:w="2240" w:type="dxa"/>
            <w:noWrap w:val="0"/>
            <w:vAlign w:val="top"/>
          </w:tcPr>
          <w:p w14:paraId="1C37EF86">
            <w:pPr>
              <w:tabs>
                <w:tab w:val="left" w:pos="1260"/>
              </w:tabs>
              <w:spacing w:line="360" w:lineRule="auto"/>
              <w:rPr>
                <w:rFonts w:ascii="宋体" w:hAnsi="宋体" w:cs="宋体"/>
                <w:bCs/>
                <w:sz w:val="24"/>
                <w:szCs w:val="24"/>
              </w:rPr>
            </w:pPr>
            <w:r>
              <w:rPr>
                <w:rFonts w:ascii="宋体" w:hAnsi="宋体" w:cs="宋体"/>
                <w:sz w:val="24"/>
                <w:szCs w:val="24"/>
              </w:rPr>
              <w:t>机构代码证号（统一社会信用代码）</w:t>
            </w:r>
          </w:p>
        </w:tc>
        <w:tc>
          <w:tcPr>
            <w:tcW w:w="6140" w:type="dxa"/>
            <w:gridSpan w:val="3"/>
            <w:noWrap w:val="0"/>
            <w:vAlign w:val="top"/>
          </w:tcPr>
          <w:p w14:paraId="0ABE13D6">
            <w:pPr>
              <w:tabs>
                <w:tab w:val="left" w:pos="1260"/>
              </w:tabs>
              <w:spacing w:line="360" w:lineRule="auto"/>
              <w:rPr>
                <w:rFonts w:ascii="宋体" w:hAnsi="宋体" w:cs="宋体"/>
                <w:bCs/>
                <w:sz w:val="24"/>
                <w:szCs w:val="24"/>
              </w:rPr>
            </w:pPr>
          </w:p>
        </w:tc>
      </w:tr>
      <w:tr w14:paraId="2DC5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2CBCE88F">
            <w:pPr>
              <w:tabs>
                <w:tab w:val="left" w:pos="1260"/>
              </w:tabs>
              <w:spacing w:line="360" w:lineRule="auto"/>
              <w:jc w:val="center"/>
              <w:rPr>
                <w:rFonts w:ascii="宋体" w:hAnsi="宋体" w:cs="宋体"/>
                <w:sz w:val="24"/>
                <w:szCs w:val="24"/>
              </w:rPr>
            </w:pPr>
            <w:r>
              <w:rPr>
                <w:rFonts w:ascii="宋体" w:hAnsi="宋体" w:cs="宋体"/>
                <w:sz w:val="24"/>
                <w:szCs w:val="24"/>
              </w:rPr>
              <w:t>法  定</w:t>
            </w:r>
          </w:p>
          <w:p w14:paraId="475A5F14">
            <w:pPr>
              <w:tabs>
                <w:tab w:val="left" w:pos="1260"/>
              </w:tabs>
              <w:spacing w:line="360" w:lineRule="auto"/>
              <w:jc w:val="center"/>
              <w:rPr>
                <w:rFonts w:ascii="宋体" w:hAnsi="宋体" w:cs="宋体"/>
                <w:sz w:val="24"/>
                <w:szCs w:val="24"/>
              </w:rPr>
            </w:pPr>
            <w:r>
              <w:rPr>
                <w:rFonts w:ascii="宋体" w:hAnsi="宋体" w:cs="宋体"/>
                <w:sz w:val="24"/>
                <w:szCs w:val="24"/>
              </w:rPr>
              <w:t>代</w:t>
            </w:r>
          </w:p>
          <w:p w14:paraId="7AD34334">
            <w:pPr>
              <w:tabs>
                <w:tab w:val="left" w:pos="1260"/>
              </w:tabs>
              <w:spacing w:line="360" w:lineRule="auto"/>
              <w:jc w:val="center"/>
              <w:rPr>
                <w:rFonts w:ascii="宋体" w:hAnsi="宋体" w:cs="宋体"/>
                <w:sz w:val="24"/>
                <w:szCs w:val="24"/>
              </w:rPr>
            </w:pPr>
            <w:r>
              <w:rPr>
                <w:rFonts w:ascii="宋体" w:hAnsi="宋体" w:cs="宋体"/>
                <w:sz w:val="24"/>
                <w:szCs w:val="24"/>
              </w:rPr>
              <w:t>表</w:t>
            </w:r>
          </w:p>
          <w:p w14:paraId="05D0D38F">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4192D197">
            <w:pPr>
              <w:tabs>
                <w:tab w:val="left" w:pos="1260"/>
              </w:tabs>
              <w:spacing w:line="360" w:lineRule="auto"/>
              <w:jc w:val="center"/>
              <w:rPr>
                <w:rFonts w:ascii="宋体" w:hAnsi="宋体" w:cs="宋体"/>
                <w:sz w:val="24"/>
                <w:szCs w:val="24"/>
              </w:rPr>
            </w:pPr>
            <w:r>
              <w:rPr>
                <w:rFonts w:ascii="宋体" w:hAnsi="宋体" w:cs="宋体"/>
                <w:sz w:val="24"/>
                <w:szCs w:val="24"/>
              </w:rPr>
              <w:t>姓    名</w:t>
            </w:r>
          </w:p>
        </w:tc>
        <w:tc>
          <w:tcPr>
            <w:tcW w:w="2950" w:type="dxa"/>
            <w:noWrap w:val="0"/>
            <w:vAlign w:val="top"/>
          </w:tcPr>
          <w:p w14:paraId="3927F49D">
            <w:pPr>
              <w:tabs>
                <w:tab w:val="left" w:pos="1260"/>
              </w:tabs>
              <w:spacing w:line="360" w:lineRule="auto"/>
              <w:rPr>
                <w:rFonts w:ascii="宋体" w:hAnsi="宋体" w:cs="宋体"/>
                <w:sz w:val="24"/>
                <w:szCs w:val="24"/>
              </w:rPr>
            </w:pPr>
          </w:p>
        </w:tc>
        <w:tc>
          <w:tcPr>
            <w:tcW w:w="1039" w:type="dxa"/>
            <w:noWrap w:val="0"/>
            <w:vAlign w:val="center"/>
          </w:tcPr>
          <w:p w14:paraId="0ACDFBEA">
            <w:pPr>
              <w:tabs>
                <w:tab w:val="left" w:pos="1260"/>
              </w:tabs>
              <w:spacing w:line="360" w:lineRule="auto"/>
              <w:jc w:val="center"/>
              <w:rPr>
                <w:rFonts w:ascii="宋体" w:hAnsi="宋体" w:cs="宋体"/>
                <w:sz w:val="24"/>
                <w:szCs w:val="24"/>
              </w:rPr>
            </w:pPr>
            <w:r>
              <w:rPr>
                <w:rFonts w:ascii="宋体" w:hAnsi="宋体" w:cs="宋体"/>
                <w:sz w:val="24"/>
                <w:szCs w:val="24"/>
              </w:rPr>
              <w:t>性  别</w:t>
            </w:r>
          </w:p>
        </w:tc>
        <w:tc>
          <w:tcPr>
            <w:tcW w:w="2151" w:type="dxa"/>
            <w:noWrap w:val="0"/>
            <w:vAlign w:val="top"/>
          </w:tcPr>
          <w:p w14:paraId="150788C9">
            <w:pPr>
              <w:tabs>
                <w:tab w:val="left" w:pos="1260"/>
              </w:tabs>
              <w:spacing w:line="360" w:lineRule="auto"/>
              <w:rPr>
                <w:rFonts w:ascii="宋体" w:hAnsi="宋体" w:cs="宋体"/>
                <w:sz w:val="24"/>
                <w:szCs w:val="24"/>
              </w:rPr>
            </w:pPr>
          </w:p>
        </w:tc>
      </w:tr>
      <w:tr w14:paraId="0F3DC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225EA7A5">
            <w:pPr>
              <w:spacing w:line="360" w:lineRule="auto"/>
              <w:rPr>
                <w:rFonts w:ascii="宋体" w:hAnsi="宋体" w:cs="宋体"/>
                <w:sz w:val="24"/>
                <w:szCs w:val="24"/>
              </w:rPr>
            </w:pPr>
          </w:p>
        </w:tc>
        <w:tc>
          <w:tcPr>
            <w:tcW w:w="2240" w:type="dxa"/>
            <w:noWrap w:val="0"/>
            <w:vAlign w:val="center"/>
          </w:tcPr>
          <w:p w14:paraId="1723F842">
            <w:pPr>
              <w:tabs>
                <w:tab w:val="left" w:pos="1260"/>
              </w:tabs>
              <w:spacing w:line="360" w:lineRule="auto"/>
              <w:jc w:val="center"/>
              <w:rPr>
                <w:rFonts w:ascii="宋体" w:hAnsi="宋体" w:cs="宋体"/>
                <w:sz w:val="24"/>
                <w:szCs w:val="24"/>
              </w:rPr>
            </w:pPr>
            <w:r>
              <w:rPr>
                <w:rFonts w:ascii="宋体" w:hAnsi="宋体" w:cs="宋体"/>
                <w:sz w:val="24"/>
                <w:szCs w:val="24"/>
              </w:rPr>
              <w:t>职    务</w:t>
            </w:r>
          </w:p>
        </w:tc>
        <w:tc>
          <w:tcPr>
            <w:tcW w:w="2950" w:type="dxa"/>
            <w:noWrap w:val="0"/>
            <w:vAlign w:val="top"/>
          </w:tcPr>
          <w:p w14:paraId="3E7EA94E">
            <w:pPr>
              <w:tabs>
                <w:tab w:val="left" w:pos="1260"/>
              </w:tabs>
              <w:spacing w:line="360" w:lineRule="auto"/>
              <w:rPr>
                <w:rFonts w:ascii="宋体" w:hAnsi="宋体" w:cs="宋体"/>
                <w:sz w:val="24"/>
                <w:szCs w:val="24"/>
              </w:rPr>
            </w:pPr>
          </w:p>
        </w:tc>
        <w:tc>
          <w:tcPr>
            <w:tcW w:w="1039" w:type="dxa"/>
            <w:noWrap w:val="0"/>
            <w:vAlign w:val="center"/>
          </w:tcPr>
          <w:p w14:paraId="3AA66FDC">
            <w:pPr>
              <w:tabs>
                <w:tab w:val="left" w:pos="1260"/>
              </w:tabs>
              <w:spacing w:line="360" w:lineRule="auto"/>
              <w:jc w:val="center"/>
              <w:rPr>
                <w:rFonts w:ascii="宋体" w:hAnsi="宋体" w:cs="宋体"/>
                <w:sz w:val="24"/>
                <w:szCs w:val="24"/>
              </w:rPr>
            </w:pPr>
            <w:r>
              <w:rPr>
                <w:rFonts w:ascii="宋体" w:hAnsi="宋体" w:cs="宋体"/>
                <w:sz w:val="24"/>
                <w:szCs w:val="24"/>
              </w:rPr>
              <w:t>联系</w:t>
            </w:r>
          </w:p>
          <w:p w14:paraId="17F27BBB">
            <w:pPr>
              <w:tabs>
                <w:tab w:val="left" w:pos="1260"/>
              </w:tabs>
              <w:spacing w:line="360" w:lineRule="auto"/>
              <w:jc w:val="center"/>
              <w:rPr>
                <w:rFonts w:ascii="宋体" w:hAnsi="宋体" w:cs="宋体"/>
                <w:sz w:val="24"/>
                <w:szCs w:val="24"/>
              </w:rPr>
            </w:pPr>
            <w:r>
              <w:rPr>
                <w:rFonts w:ascii="宋体" w:hAnsi="宋体" w:cs="宋体"/>
                <w:sz w:val="24"/>
                <w:szCs w:val="24"/>
              </w:rPr>
              <w:t>电话</w:t>
            </w:r>
          </w:p>
        </w:tc>
        <w:tc>
          <w:tcPr>
            <w:tcW w:w="2151" w:type="dxa"/>
            <w:noWrap w:val="0"/>
            <w:vAlign w:val="top"/>
          </w:tcPr>
          <w:p w14:paraId="31DF4FDC">
            <w:pPr>
              <w:tabs>
                <w:tab w:val="left" w:pos="1260"/>
              </w:tabs>
              <w:spacing w:line="360" w:lineRule="auto"/>
              <w:rPr>
                <w:rFonts w:ascii="宋体" w:hAnsi="宋体" w:cs="宋体"/>
                <w:sz w:val="24"/>
                <w:szCs w:val="24"/>
              </w:rPr>
            </w:pPr>
          </w:p>
        </w:tc>
      </w:tr>
      <w:tr w14:paraId="0F1B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74E33D75">
            <w:pPr>
              <w:spacing w:line="360" w:lineRule="auto"/>
              <w:rPr>
                <w:rFonts w:ascii="宋体" w:hAnsi="宋体" w:cs="宋体"/>
                <w:sz w:val="24"/>
                <w:szCs w:val="24"/>
              </w:rPr>
            </w:pPr>
          </w:p>
        </w:tc>
        <w:tc>
          <w:tcPr>
            <w:tcW w:w="2240" w:type="dxa"/>
            <w:noWrap w:val="0"/>
            <w:vAlign w:val="center"/>
          </w:tcPr>
          <w:p w14:paraId="76CFC8D7">
            <w:pPr>
              <w:tabs>
                <w:tab w:val="left" w:pos="1260"/>
              </w:tabs>
              <w:spacing w:line="360" w:lineRule="auto"/>
              <w:jc w:val="center"/>
              <w:rPr>
                <w:rFonts w:ascii="宋体" w:hAnsi="宋体" w:cs="宋体"/>
                <w:sz w:val="24"/>
                <w:szCs w:val="24"/>
              </w:rPr>
            </w:pPr>
            <w:r>
              <w:rPr>
                <w:rFonts w:ascii="宋体" w:hAnsi="宋体" w:cs="宋体"/>
                <w:sz w:val="24"/>
                <w:szCs w:val="24"/>
              </w:rPr>
              <w:t>传    真</w:t>
            </w:r>
          </w:p>
        </w:tc>
        <w:tc>
          <w:tcPr>
            <w:tcW w:w="6140" w:type="dxa"/>
            <w:gridSpan w:val="3"/>
            <w:noWrap w:val="0"/>
            <w:vAlign w:val="top"/>
          </w:tcPr>
          <w:p w14:paraId="4E8D7FBD">
            <w:pPr>
              <w:tabs>
                <w:tab w:val="left" w:pos="1260"/>
              </w:tabs>
              <w:spacing w:line="360" w:lineRule="auto"/>
              <w:rPr>
                <w:rFonts w:ascii="宋体" w:hAnsi="宋体" w:cs="宋体"/>
                <w:sz w:val="24"/>
                <w:szCs w:val="24"/>
              </w:rPr>
            </w:pPr>
          </w:p>
        </w:tc>
      </w:tr>
      <w:tr w14:paraId="2FCA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5E1ACD5F">
            <w:pPr>
              <w:tabs>
                <w:tab w:val="left" w:pos="1260"/>
              </w:tabs>
              <w:spacing w:line="360" w:lineRule="auto"/>
              <w:jc w:val="center"/>
              <w:rPr>
                <w:rFonts w:ascii="宋体" w:hAnsi="宋体" w:cs="宋体"/>
                <w:sz w:val="24"/>
                <w:szCs w:val="24"/>
              </w:rPr>
            </w:pPr>
            <w:r>
              <w:rPr>
                <w:rFonts w:ascii="宋体" w:hAnsi="宋体" w:cs="宋体"/>
                <w:sz w:val="24"/>
                <w:szCs w:val="24"/>
              </w:rPr>
              <w:t>法定代表人身份证复印件</w:t>
            </w:r>
          </w:p>
        </w:tc>
        <w:tc>
          <w:tcPr>
            <w:tcW w:w="5190" w:type="dxa"/>
            <w:gridSpan w:val="2"/>
            <w:vMerge w:val="restart"/>
            <w:noWrap w:val="0"/>
            <w:vAlign w:val="center"/>
          </w:tcPr>
          <w:p w14:paraId="651E17D9">
            <w:pPr>
              <w:tabs>
                <w:tab w:val="left" w:pos="1260"/>
              </w:tabs>
              <w:spacing w:line="360" w:lineRule="auto"/>
              <w:jc w:val="center"/>
              <w:rPr>
                <w:rFonts w:ascii="宋体" w:hAnsi="宋体" w:cs="宋体"/>
                <w:bCs/>
                <w:sz w:val="24"/>
                <w:szCs w:val="24"/>
              </w:rPr>
            </w:pPr>
            <w:r>
              <w:rPr>
                <w:rFonts w:ascii="宋体" w:hAnsi="宋体" w:cs="宋体"/>
                <w:sz w:val="24"/>
                <w:szCs w:val="24"/>
              </w:rPr>
              <w:t>（正反面粘贴处）</w:t>
            </w:r>
          </w:p>
        </w:tc>
        <w:tc>
          <w:tcPr>
            <w:tcW w:w="3190" w:type="dxa"/>
            <w:gridSpan w:val="2"/>
            <w:noWrap w:val="0"/>
            <w:vAlign w:val="center"/>
          </w:tcPr>
          <w:p w14:paraId="41E0A41E">
            <w:pPr>
              <w:tabs>
                <w:tab w:val="left" w:pos="1260"/>
              </w:tabs>
              <w:spacing w:line="360" w:lineRule="auto"/>
              <w:jc w:val="center"/>
              <w:rPr>
                <w:rFonts w:hint="eastAsia" w:ascii="宋体" w:hAnsi="宋体" w:eastAsia="宋体" w:cs="宋体"/>
                <w:sz w:val="24"/>
                <w:szCs w:val="24"/>
                <w:lang w:eastAsia="zh-CN"/>
              </w:rPr>
            </w:pPr>
            <w:r>
              <w:rPr>
                <w:rFonts w:ascii="宋体" w:hAnsi="宋体" w:cs="宋体"/>
                <w:sz w:val="24"/>
                <w:szCs w:val="24"/>
              </w:rPr>
              <w:t>法定代表人签字</w:t>
            </w:r>
            <w:r>
              <w:rPr>
                <w:rFonts w:hint="eastAsia" w:ascii="宋体" w:hAnsi="宋体" w:cs="宋体"/>
                <w:sz w:val="24"/>
                <w:szCs w:val="24"/>
                <w:lang w:eastAsia="zh-CN"/>
              </w:rPr>
              <w:t>或盖章</w:t>
            </w:r>
          </w:p>
        </w:tc>
      </w:tr>
      <w:tr w14:paraId="3BAD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3" w:hRule="atLeast"/>
          <w:jc w:val="center"/>
        </w:trPr>
        <w:tc>
          <w:tcPr>
            <w:tcW w:w="820" w:type="dxa"/>
            <w:vMerge w:val="continue"/>
            <w:noWrap w:val="0"/>
            <w:vAlign w:val="top"/>
          </w:tcPr>
          <w:p w14:paraId="62549D44">
            <w:pPr>
              <w:spacing w:line="360" w:lineRule="auto"/>
              <w:rPr>
                <w:rFonts w:ascii="宋体" w:hAnsi="宋体" w:cs="宋体"/>
                <w:sz w:val="24"/>
                <w:szCs w:val="24"/>
              </w:rPr>
            </w:pPr>
          </w:p>
        </w:tc>
        <w:tc>
          <w:tcPr>
            <w:tcW w:w="5190" w:type="dxa"/>
            <w:gridSpan w:val="2"/>
            <w:vMerge w:val="continue"/>
            <w:noWrap w:val="0"/>
            <w:vAlign w:val="top"/>
          </w:tcPr>
          <w:p w14:paraId="25885DD9">
            <w:pPr>
              <w:spacing w:line="360" w:lineRule="auto"/>
              <w:rPr>
                <w:rFonts w:ascii="宋体" w:hAnsi="宋体" w:cs="宋体"/>
                <w:sz w:val="24"/>
                <w:szCs w:val="24"/>
              </w:rPr>
            </w:pPr>
          </w:p>
        </w:tc>
        <w:tc>
          <w:tcPr>
            <w:tcW w:w="3190" w:type="dxa"/>
            <w:gridSpan w:val="2"/>
            <w:noWrap w:val="0"/>
            <w:vAlign w:val="center"/>
          </w:tcPr>
          <w:p w14:paraId="49803D98">
            <w:pPr>
              <w:tabs>
                <w:tab w:val="left" w:pos="1260"/>
              </w:tabs>
              <w:spacing w:line="360" w:lineRule="auto"/>
              <w:ind w:firstLine="459"/>
              <w:jc w:val="center"/>
              <w:rPr>
                <w:rFonts w:ascii="宋体" w:hAnsi="宋体" w:cs="宋体"/>
                <w:sz w:val="24"/>
                <w:szCs w:val="24"/>
              </w:rPr>
            </w:pPr>
          </w:p>
          <w:p w14:paraId="044206D9">
            <w:pPr>
              <w:tabs>
                <w:tab w:val="left" w:pos="1260"/>
              </w:tabs>
              <w:spacing w:line="360" w:lineRule="auto"/>
              <w:jc w:val="center"/>
              <w:rPr>
                <w:rFonts w:ascii="宋体" w:hAnsi="宋体" w:cs="宋体"/>
                <w:sz w:val="24"/>
                <w:szCs w:val="24"/>
              </w:rPr>
            </w:pPr>
            <w:r>
              <w:rPr>
                <w:rFonts w:ascii="宋体" w:hAnsi="宋体" w:cs="宋体"/>
                <w:sz w:val="24"/>
                <w:szCs w:val="24"/>
              </w:rPr>
              <w:t>（企业公章）</w:t>
            </w:r>
          </w:p>
          <w:p w14:paraId="775AA86D">
            <w:pPr>
              <w:tabs>
                <w:tab w:val="left" w:pos="1260"/>
              </w:tabs>
              <w:spacing w:line="360" w:lineRule="auto"/>
              <w:ind w:firstLine="459"/>
              <w:jc w:val="center"/>
              <w:rPr>
                <w:rFonts w:ascii="宋体" w:hAnsi="宋体" w:cs="宋体"/>
                <w:sz w:val="24"/>
                <w:szCs w:val="24"/>
              </w:rPr>
            </w:pPr>
          </w:p>
          <w:p w14:paraId="2B0FC852">
            <w:pPr>
              <w:tabs>
                <w:tab w:val="left" w:pos="1260"/>
              </w:tabs>
              <w:spacing w:line="360" w:lineRule="auto"/>
              <w:ind w:right="280" w:firstLine="459"/>
              <w:jc w:val="center"/>
              <w:rPr>
                <w:rFonts w:ascii="宋体" w:hAnsi="宋体" w:cs="宋体"/>
                <w:sz w:val="24"/>
                <w:szCs w:val="24"/>
              </w:rPr>
            </w:pPr>
            <w:r>
              <w:rPr>
                <w:rFonts w:ascii="宋体" w:hAnsi="宋体" w:cs="宋体"/>
                <w:sz w:val="24"/>
                <w:szCs w:val="24"/>
              </w:rPr>
              <w:t>年   月   日</w:t>
            </w:r>
          </w:p>
        </w:tc>
      </w:tr>
    </w:tbl>
    <w:p w14:paraId="5C07E6F8">
      <w:pPr>
        <w:adjustRightInd w:val="0"/>
        <w:snapToGrid w:val="0"/>
        <w:spacing w:line="360" w:lineRule="auto"/>
        <w:jc w:val="left"/>
        <w:rPr>
          <w:rFonts w:hint="eastAsia" w:ascii="宋体" w:hAnsi="宋体" w:cs="宋体"/>
          <w:b/>
          <w:bCs/>
          <w:color w:val="000000"/>
          <w:sz w:val="28"/>
          <w:szCs w:val="28"/>
          <w:lang w:val="en-US" w:eastAsia="zh-CN"/>
        </w:rPr>
      </w:pPr>
      <w:bookmarkStart w:id="341" w:name="_Toc23118"/>
      <w:bookmarkStart w:id="342" w:name="_Toc22123"/>
      <w:r>
        <w:rPr>
          <w:rFonts w:hint="eastAsia" w:ascii="宋体" w:hAnsi="宋体" w:cs="宋体"/>
          <w:b/>
          <w:bCs/>
          <w:color w:val="000000"/>
          <w:sz w:val="28"/>
          <w:szCs w:val="28"/>
          <w:lang w:val="en-US" w:eastAsia="zh-CN"/>
        </w:rPr>
        <w:t>附件2</w:t>
      </w:r>
    </w:p>
    <w:bookmarkEnd w:id="335"/>
    <w:bookmarkEnd w:id="336"/>
    <w:bookmarkEnd w:id="337"/>
    <w:bookmarkEnd w:id="338"/>
    <w:bookmarkEnd w:id="339"/>
    <w:bookmarkEnd w:id="340"/>
    <w:bookmarkEnd w:id="341"/>
    <w:bookmarkEnd w:id="342"/>
    <w:p w14:paraId="25DD5CE9">
      <w:pPr>
        <w:adjustRightInd w:val="0"/>
        <w:snapToGrid w:val="0"/>
        <w:spacing w:line="360" w:lineRule="auto"/>
        <w:jc w:val="center"/>
        <w:rPr>
          <w:rFonts w:ascii="宋体" w:hAnsi="宋体" w:cs="宋体"/>
          <w:b/>
          <w:color w:val="000000"/>
          <w:sz w:val="28"/>
          <w:szCs w:val="28"/>
        </w:rPr>
      </w:pPr>
      <w:bookmarkStart w:id="343" w:name="_Hlk518637502"/>
      <w:bookmarkStart w:id="344" w:name="_Toc420591675"/>
      <w:bookmarkStart w:id="345" w:name="_Toc425240488"/>
      <w:bookmarkStart w:id="346" w:name="_Toc17898"/>
      <w:bookmarkStart w:id="347" w:name="_Toc421778393"/>
      <w:bookmarkStart w:id="348" w:name="_Toc410976269"/>
      <w:bookmarkStart w:id="349" w:name="_Toc25286"/>
      <w:bookmarkStart w:id="350" w:name="_Hlk519176925"/>
      <w:r>
        <w:rPr>
          <w:rFonts w:ascii="宋体" w:hAnsi="宋体" w:cs="宋体"/>
          <w:b/>
          <w:color w:val="000000"/>
          <w:sz w:val="28"/>
          <w:szCs w:val="28"/>
        </w:rPr>
        <w:t>法定代表人授权委托书</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049C2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460" w:type="dxa"/>
            <w:gridSpan w:val="7"/>
            <w:noWrap w:val="0"/>
            <w:vAlign w:val="center"/>
          </w:tcPr>
          <w:p w14:paraId="797AC72E">
            <w:pPr>
              <w:tabs>
                <w:tab w:val="left" w:pos="1260"/>
              </w:tabs>
              <w:spacing w:line="360" w:lineRule="auto"/>
              <w:ind w:firstLine="134" w:firstLineChars="56"/>
              <w:rPr>
                <w:rFonts w:hint="eastAsia" w:ascii="宋体" w:hAnsi="宋体" w:eastAsia="宋体" w:cs="宋体"/>
                <w:color w:val="auto"/>
                <w:sz w:val="24"/>
                <w:szCs w:val="24"/>
              </w:rPr>
            </w:pPr>
            <w:r>
              <w:rPr>
                <w:rFonts w:ascii="宋体" w:hAnsi="宋体" w:cs="宋体"/>
                <w:sz w:val="24"/>
                <w:szCs w:val="24"/>
              </w:rPr>
              <w:t>致：</w:t>
            </w:r>
            <w:r>
              <w:rPr>
                <w:rFonts w:hint="eastAsia" w:ascii="宋体" w:hAnsi="宋体" w:cs="宋体"/>
                <w:sz w:val="24"/>
                <w:szCs w:val="24"/>
                <w:lang w:eastAsia="zh-CN"/>
              </w:rPr>
              <w:t>陕西宸永项目管理有限公司</w:t>
            </w:r>
          </w:p>
        </w:tc>
      </w:tr>
      <w:tr w14:paraId="6B3A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580BBE3C">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被授权人</w:t>
            </w:r>
          </w:p>
        </w:tc>
        <w:tc>
          <w:tcPr>
            <w:tcW w:w="2155" w:type="dxa"/>
            <w:gridSpan w:val="2"/>
            <w:noWrap w:val="0"/>
            <w:vAlign w:val="center"/>
          </w:tcPr>
          <w:p w14:paraId="5E64BA1E">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姓    名</w:t>
            </w:r>
          </w:p>
        </w:tc>
        <w:tc>
          <w:tcPr>
            <w:tcW w:w="1960" w:type="dxa"/>
            <w:gridSpan w:val="2"/>
            <w:noWrap w:val="0"/>
            <w:vAlign w:val="top"/>
          </w:tcPr>
          <w:p w14:paraId="4C2BFCBC">
            <w:pPr>
              <w:tabs>
                <w:tab w:val="left" w:pos="1260"/>
              </w:tabs>
              <w:spacing w:line="360" w:lineRule="auto"/>
              <w:rPr>
                <w:rFonts w:hint="eastAsia" w:ascii="宋体" w:hAnsi="宋体" w:eastAsia="宋体" w:cs="宋体"/>
                <w:color w:val="auto"/>
                <w:sz w:val="24"/>
                <w:szCs w:val="24"/>
              </w:rPr>
            </w:pPr>
          </w:p>
        </w:tc>
        <w:tc>
          <w:tcPr>
            <w:tcW w:w="2156" w:type="dxa"/>
            <w:noWrap w:val="0"/>
            <w:vAlign w:val="top"/>
          </w:tcPr>
          <w:p w14:paraId="4A4D3746">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性    别</w:t>
            </w:r>
          </w:p>
        </w:tc>
        <w:tc>
          <w:tcPr>
            <w:tcW w:w="2370" w:type="dxa"/>
            <w:noWrap w:val="0"/>
            <w:vAlign w:val="top"/>
          </w:tcPr>
          <w:p w14:paraId="4070CAC3">
            <w:pPr>
              <w:tabs>
                <w:tab w:val="left" w:pos="1260"/>
              </w:tabs>
              <w:spacing w:line="360" w:lineRule="auto"/>
              <w:rPr>
                <w:rFonts w:hint="eastAsia" w:ascii="宋体" w:hAnsi="宋体" w:eastAsia="宋体" w:cs="宋体"/>
                <w:color w:val="auto"/>
                <w:sz w:val="24"/>
                <w:szCs w:val="24"/>
              </w:rPr>
            </w:pPr>
          </w:p>
        </w:tc>
      </w:tr>
      <w:tr w14:paraId="3AA87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A1F77D3">
            <w:pPr>
              <w:tabs>
                <w:tab w:val="left" w:pos="1260"/>
              </w:tabs>
              <w:spacing w:line="360" w:lineRule="auto"/>
              <w:rPr>
                <w:rFonts w:hint="eastAsia" w:ascii="宋体" w:hAnsi="宋体" w:eastAsia="宋体" w:cs="宋体"/>
                <w:color w:val="auto"/>
                <w:sz w:val="24"/>
                <w:szCs w:val="24"/>
              </w:rPr>
            </w:pPr>
          </w:p>
        </w:tc>
        <w:tc>
          <w:tcPr>
            <w:tcW w:w="2155" w:type="dxa"/>
            <w:gridSpan w:val="2"/>
            <w:noWrap w:val="0"/>
            <w:vAlign w:val="center"/>
          </w:tcPr>
          <w:p w14:paraId="4725F854">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职    务</w:t>
            </w:r>
          </w:p>
        </w:tc>
        <w:tc>
          <w:tcPr>
            <w:tcW w:w="1960" w:type="dxa"/>
            <w:gridSpan w:val="2"/>
            <w:noWrap w:val="0"/>
            <w:vAlign w:val="top"/>
          </w:tcPr>
          <w:p w14:paraId="6DE6FE80">
            <w:pPr>
              <w:tabs>
                <w:tab w:val="left" w:pos="1260"/>
              </w:tabs>
              <w:spacing w:line="360" w:lineRule="auto"/>
              <w:rPr>
                <w:rFonts w:hint="eastAsia" w:ascii="宋体" w:hAnsi="宋体" w:eastAsia="宋体" w:cs="宋体"/>
                <w:color w:val="auto"/>
                <w:sz w:val="24"/>
                <w:szCs w:val="24"/>
              </w:rPr>
            </w:pPr>
          </w:p>
        </w:tc>
        <w:tc>
          <w:tcPr>
            <w:tcW w:w="2156" w:type="dxa"/>
            <w:noWrap w:val="0"/>
            <w:vAlign w:val="top"/>
          </w:tcPr>
          <w:p w14:paraId="53A300D8">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手机号码</w:t>
            </w:r>
          </w:p>
        </w:tc>
        <w:tc>
          <w:tcPr>
            <w:tcW w:w="2370" w:type="dxa"/>
            <w:noWrap w:val="0"/>
            <w:vAlign w:val="top"/>
          </w:tcPr>
          <w:p w14:paraId="4AD24307">
            <w:pPr>
              <w:tabs>
                <w:tab w:val="left" w:pos="1260"/>
              </w:tabs>
              <w:spacing w:line="360" w:lineRule="auto"/>
              <w:rPr>
                <w:rFonts w:hint="eastAsia" w:ascii="宋体" w:hAnsi="宋体" w:eastAsia="宋体" w:cs="宋体"/>
                <w:color w:val="auto"/>
                <w:sz w:val="24"/>
                <w:szCs w:val="24"/>
              </w:rPr>
            </w:pPr>
          </w:p>
        </w:tc>
      </w:tr>
      <w:tr w14:paraId="5BF5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37B83E6C">
            <w:pPr>
              <w:tabs>
                <w:tab w:val="left" w:pos="1260"/>
              </w:tabs>
              <w:spacing w:line="360" w:lineRule="auto"/>
              <w:rPr>
                <w:rFonts w:hint="eastAsia" w:ascii="宋体" w:hAnsi="宋体" w:eastAsia="宋体" w:cs="宋体"/>
                <w:color w:val="auto"/>
                <w:sz w:val="24"/>
                <w:szCs w:val="24"/>
              </w:rPr>
            </w:pPr>
          </w:p>
        </w:tc>
        <w:tc>
          <w:tcPr>
            <w:tcW w:w="2155" w:type="dxa"/>
            <w:gridSpan w:val="2"/>
            <w:noWrap w:val="0"/>
            <w:vAlign w:val="center"/>
          </w:tcPr>
          <w:p w14:paraId="3CF0ABDD">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联系电话</w:t>
            </w:r>
          </w:p>
        </w:tc>
        <w:tc>
          <w:tcPr>
            <w:tcW w:w="1960" w:type="dxa"/>
            <w:gridSpan w:val="2"/>
            <w:noWrap w:val="0"/>
            <w:vAlign w:val="top"/>
          </w:tcPr>
          <w:p w14:paraId="777E3091">
            <w:pPr>
              <w:tabs>
                <w:tab w:val="left" w:pos="1260"/>
              </w:tabs>
              <w:spacing w:line="360" w:lineRule="auto"/>
              <w:rPr>
                <w:rFonts w:hint="eastAsia" w:ascii="宋体" w:hAnsi="宋体" w:eastAsia="宋体" w:cs="宋体"/>
                <w:color w:val="auto"/>
                <w:sz w:val="24"/>
                <w:szCs w:val="24"/>
              </w:rPr>
            </w:pPr>
          </w:p>
        </w:tc>
        <w:tc>
          <w:tcPr>
            <w:tcW w:w="2156" w:type="dxa"/>
            <w:noWrap w:val="0"/>
            <w:vAlign w:val="top"/>
          </w:tcPr>
          <w:p w14:paraId="060C10D3">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图文传真</w:t>
            </w:r>
          </w:p>
        </w:tc>
        <w:tc>
          <w:tcPr>
            <w:tcW w:w="2370" w:type="dxa"/>
            <w:noWrap w:val="0"/>
            <w:vAlign w:val="top"/>
          </w:tcPr>
          <w:p w14:paraId="6505D82A">
            <w:pPr>
              <w:tabs>
                <w:tab w:val="left" w:pos="1260"/>
              </w:tabs>
              <w:spacing w:line="360" w:lineRule="auto"/>
              <w:rPr>
                <w:rFonts w:hint="eastAsia" w:ascii="宋体" w:hAnsi="宋体" w:eastAsia="宋体" w:cs="宋体"/>
                <w:color w:val="auto"/>
                <w:sz w:val="24"/>
                <w:szCs w:val="24"/>
              </w:rPr>
            </w:pPr>
          </w:p>
        </w:tc>
      </w:tr>
      <w:tr w14:paraId="1A2A6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11AEF12">
            <w:pPr>
              <w:tabs>
                <w:tab w:val="left" w:pos="1260"/>
              </w:tabs>
              <w:spacing w:line="360" w:lineRule="auto"/>
              <w:rPr>
                <w:rFonts w:hint="eastAsia" w:ascii="宋体" w:hAnsi="宋体" w:eastAsia="宋体" w:cs="宋体"/>
                <w:color w:val="auto"/>
                <w:sz w:val="24"/>
                <w:szCs w:val="24"/>
              </w:rPr>
            </w:pPr>
          </w:p>
        </w:tc>
        <w:tc>
          <w:tcPr>
            <w:tcW w:w="2155" w:type="dxa"/>
            <w:gridSpan w:val="2"/>
            <w:noWrap w:val="0"/>
            <w:vAlign w:val="center"/>
          </w:tcPr>
          <w:p w14:paraId="4617D8A6">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通讯地址</w:t>
            </w:r>
          </w:p>
        </w:tc>
        <w:tc>
          <w:tcPr>
            <w:tcW w:w="6486" w:type="dxa"/>
            <w:gridSpan w:val="4"/>
            <w:noWrap w:val="0"/>
            <w:vAlign w:val="top"/>
          </w:tcPr>
          <w:p w14:paraId="2926D655">
            <w:pPr>
              <w:tabs>
                <w:tab w:val="left" w:pos="1260"/>
              </w:tabs>
              <w:spacing w:line="360" w:lineRule="auto"/>
              <w:rPr>
                <w:rFonts w:hint="eastAsia" w:ascii="宋体" w:hAnsi="宋体" w:eastAsia="宋体" w:cs="宋体"/>
                <w:color w:val="auto"/>
                <w:sz w:val="24"/>
                <w:szCs w:val="24"/>
              </w:rPr>
            </w:pPr>
          </w:p>
        </w:tc>
      </w:tr>
      <w:tr w14:paraId="0A86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4E8AF269">
            <w:pPr>
              <w:tabs>
                <w:tab w:val="left" w:pos="1260"/>
              </w:tabs>
              <w:spacing w:line="360" w:lineRule="auto"/>
              <w:rPr>
                <w:rFonts w:hint="eastAsia" w:ascii="宋体" w:hAnsi="宋体" w:eastAsia="宋体" w:cs="宋体"/>
                <w:color w:val="auto"/>
                <w:sz w:val="24"/>
                <w:szCs w:val="24"/>
              </w:rPr>
            </w:pPr>
          </w:p>
        </w:tc>
        <w:tc>
          <w:tcPr>
            <w:tcW w:w="2155" w:type="dxa"/>
            <w:gridSpan w:val="2"/>
            <w:noWrap w:val="0"/>
            <w:vAlign w:val="center"/>
          </w:tcPr>
          <w:p w14:paraId="24A492A8">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网    址</w:t>
            </w:r>
          </w:p>
        </w:tc>
        <w:tc>
          <w:tcPr>
            <w:tcW w:w="6486" w:type="dxa"/>
            <w:gridSpan w:val="4"/>
            <w:noWrap w:val="0"/>
            <w:vAlign w:val="top"/>
          </w:tcPr>
          <w:p w14:paraId="2C879C21">
            <w:pPr>
              <w:tabs>
                <w:tab w:val="left" w:pos="1260"/>
              </w:tabs>
              <w:spacing w:line="360" w:lineRule="auto"/>
              <w:rPr>
                <w:rFonts w:hint="eastAsia" w:ascii="宋体" w:hAnsi="宋体" w:eastAsia="宋体" w:cs="宋体"/>
                <w:color w:val="auto"/>
                <w:sz w:val="24"/>
                <w:szCs w:val="24"/>
              </w:rPr>
            </w:pPr>
          </w:p>
        </w:tc>
      </w:tr>
      <w:tr w14:paraId="5D03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1F527A5E">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被授权项目与内容</w:t>
            </w:r>
          </w:p>
        </w:tc>
        <w:tc>
          <w:tcPr>
            <w:tcW w:w="2145" w:type="dxa"/>
            <w:noWrap w:val="0"/>
            <w:vAlign w:val="center"/>
          </w:tcPr>
          <w:p w14:paraId="6442DDAC">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项目名称</w:t>
            </w:r>
          </w:p>
        </w:tc>
        <w:tc>
          <w:tcPr>
            <w:tcW w:w="6496" w:type="dxa"/>
            <w:gridSpan w:val="5"/>
            <w:noWrap w:val="0"/>
            <w:vAlign w:val="top"/>
          </w:tcPr>
          <w:p w14:paraId="1AE1FFED">
            <w:pPr>
              <w:tabs>
                <w:tab w:val="left" w:pos="1260"/>
              </w:tabs>
              <w:spacing w:line="360" w:lineRule="auto"/>
              <w:rPr>
                <w:rFonts w:hint="eastAsia" w:ascii="宋体" w:hAnsi="宋体" w:eastAsia="宋体" w:cs="宋体"/>
                <w:color w:val="auto"/>
                <w:sz w:val="24"/>
                <w:szCs w:val="24"/>
              </w:rPr>
            </w:pPr>
          </w:p>
        </w:tc>
      </w:tr>
      <w:tr w14:paraId="1330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753FD5F9">
            <w:pPr>
              <w:tabs>
                <w:tab w:val="left" w:pos="1260"/>
              </w:tabs>
              <w:spacing w:line="360" w:lineRule="auto"/>
              <w:rPr>
                <w:rFonts w:hint="eastAsia" w:ascii="宋体" w:hAnsi="宋体" w:eastAsia="宋体" w:cs="宋体"/>
                <w:color w:val="auto"/>
                <w:sz w:val="24"/>
                <w:szCs w:val="24"/>
              </w:rPr>
            </w:pPr>
          </w:p>
        </w:tc>
        <w:tc>
          <w:tcPr>
            <w:tcW w:w="2145" w:type="dxa"/>
            <w:noWrap w:val="0"/>
            <w:vAlign w:val="center"/>
          </w:tcPr>
          <w:p w14:paraId="2233CBEC">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文件编号</w:t>
            </w:r>
          </w:p>
        </w:tc>
        <w:tc>
          <w:tcPr>
            <w:tcW w:w="6496" w:type="dxa"/>
            <w:gridSpan w:val="5"/>
            <w:noWrap w:val="0"/>
            <w:vAlign w:val="top"/>
          </w:tcPr>
          <w:p w14:paraId="4CA13FF2">
            <w:pPr>
              <w:tabs>
                <w:tab w:val="left" w:pos="1260"/>
              </w:tabs>
              <w:spacing w:line="360" w:lineRule="auto"/>
              <w:rPr>
                <w:rFonts w:hint="eastAsia" w:ascii="宋体" w:hAnsi="宋体" w:eastAsia="宋体" w:cs="宋体"/>
                <w:color w:val="auto"/>
                <w:sz w:val="24"/>
                <w:szCs w:val="24"/>
              </w:rPr>
            </w:pPr>
          </w:p>
        </w:tc>
      </w:tr>
      <w:tr w14:paraId="00B7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4686A15F">
            <w:pPr>
              <w:tabs>
                <w:tab w:val="left" w:pos="1260"/>
              </w:tabs>
              <w:spacing w:line="360" w:lineRule="auto"/>
              <w:rPr>
                <w:rFonts w:hint="eastAsia" w:ascii="宋体" w:hAnsi="宋体" w:eastAsia="宋体" w:cs="宋体"/>
                <w:color w:val="auto"/>
                <w:sz w:val="24"/>
                <w:szCs w:val="24"/>
              </w:rPr>
            </w:pPr>
          </w:p>
        </w:tc>
        <w:tc>
          <w:tcPr>
            <w:tcW w:w="2145" w:type="dxa"/>
            <w:noWrap w:val="0"/>
            <w:vAlign w:val="center"/>
          </w:tcPr>
          <w:p w14:paraId="7D7552AC">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授权范围</w:t>
            </w:r>
          </w:p>
        </w:tc>
        <w:tc>
          <w:tcPr>
            <w:tcW w:w="6496" w:type="dxa"/>
            <w:gridSpan w:val="5"/>
            <w:noWrap w:val="0"/>
            <w:vAlign w:val="center"/>
          </w:tcPr>
          <w:p w14:paraId="2345ECD8">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全权办理本采购项目的</w:t>
            </w:r>
            <w:r>
              <w:rPr>
                <w:rFonts w:hint="eastAsia" w:ascii="宋体" w:hAnsi="宋体" w:cs="宋体"/>
                <w:sz w:val="24"/>
                <w:szCs w:val="24"/>
                <w:lang w:val="en-US" w:eastAsia="zh-CN"/>
              </w:rPr>
              <w:t>磋商</w:t>
            </w:r>
            <w:r>
              <w:rPr>
                <w:rFonts w:ascii="宋体" w:hAnsi="宋体" w:cs="宋体"/>
                <w:sz w:val="24"/>
                <w:szCs w:val="24"/>
              </w:rPr>
              <w:t>、联系、洽谈、签约、执行等具体事务，签署全部有关的文件、文书、协议及合同。</w:t>
            </w:r>
          </w:p>
        </w:tc>
      </w:tr>
      <w:tr w14:paraId="1341D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43BAB1DF">
            <w:pPr>
              <w:tabs>
                <w:tab w:val="left" w:pos="1260"/>
              </w:tabs>
              <w:spacing w:line="360" w:lineRule="auto"/>
              <w:rPr>
                <w:rFonts w:hint="eastAsia" w:ascii="宋体" w:hAnsi="宋体" w:eastAsia="宋体" w:cs="宋体"/>
                <w:color w:val="auto"/>
                <w:sz w:val="24"/>
                <w:szCs w:val="24"/>
              </w:rPr>
            </w:pPr>
          </w:p>
        </w:tc>
        <w:tc>
          <w:tcPr>
            <w:tcW w:w="2145" w:type="dxa"/>
            <w:noWrap w:val="0"/>
            <w:vAlign w:val="center"/>
          </w:tcPr>
          <w:p w14:paraId="6221F02D">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法律责任</w:t>
            </w:r>
          </w:p>
        </w:tc>
        <w:tc>
          <w:tcPr>
            <w:tcW w:w="6496" w:type="dxa"/>
            <w:gridSpan w:val="5"/>
            <w:noWrap w:val="0"/>
            <w:vAlign w:val="center"/>
          </w:tcPr>
          <w:p w14:paraId="43628161">
            <w:pPr>
              <w:tabs>
                <w:tab w:val="left" w:pos="1260"/>
              </w:tabs>
              <w:spacing w:line="360" w:lineRule="auto"/>
              <w:rPr>
                <w:rFonts w:hint="eastAsia" w:ascii="宋体" w:hAnsi="宋体" w:eastAsia="宋体" w:cs="宋体"/>
                <w:color w:val="auto"/>
                <w:spacing w:val="-10"/>
                <w:sz w:val="24"/>
                <w:szCs w:val="24"/>
              </w:rPr>
            </w:pPr>
            <w:r>
              <w:rPr>
                <w:rFonts w:ascii="宋体" w:hAnsi="宋体" w:cs="宋体"/>
                <w:spacing w:val="-10"/>
                <w:sz w:val="24"/>
                <w:szCs w:val="24"/>
              </w:rPr>
              <w:t>本公司对被授权人在本项目中的签名承担全部法律责任。</w:t>
            </w:r>
          </w:p>
        </w:tc>
      </w:tr>
      <w:tr w14:paraId="667E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199B6AF5">
            <w:pPr>
              <w:tabs>
                <w:tab w:val="left" w:pos="1260"/>
              </w:tabs>
              <w:spacing w:line="360" w:lineRule="auto"/>
              <w:rPr>
                <w:rFonts w:hint="eastAsia" w:ascii="宋体" w:hAnsi="宋体" w:eastAsia="宋体" w:cs="宋体"/>
                <w:color w:val="auto"/>
                <w:sz w:val="24"/>
                <w:szCs w:val="24"/>
              </w:rPr>
            </w:pPr>
          </w:p>
        </w:tc>
        <w:tc>
          <w:tcPr>
            <w:tcW w:w="2145" w:type="dxa"/>
            <w:noWrap w:val="0"/>
            <w:vAlign w:val="center"/>
          </w:tcPr>
          <w:p w14:paraId="64691FF1">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授权期限</w:t>
            </w:r>
          </w:p>
        </w:tc>
        <w:tc>
          <w:tcPr>
            <w:tcW w:w="6496" w:type="dxa"/>
            <w:gridSpan w:val="5"/>
            <w:noWrap w:val="0"/>
            <w:vAlign w:val="center"/>
          </w:tcPr>
          <w:p w14:paraId="70538A8D">
            <w:pPr>
              <w:tabs>
                <w:tab w:val="left" w:pos="1260"/>
              </w:tabs>
              <w:spacing w:line="360" w:lineRule="auto"/>
              <w:rPr>
                <w:rFonts w:hint="eastAsia" w:ascii="宋体" w:hAnsi="宋体" w:eastAsia="宋体" w:cs="宋体"/>
                <w:color w:val="auto"/>
                <w:sz w:val="24"/>
                <w:szCs w:val="24"/>
                <w:lang w:eastAsia="zh-CN"/>
              </w:rPr>
            </w:pPr>
            <w:r>
              <w:rPr>
                <w:rFonts w:hint="eastAsia" w:ascii="宋体" w:hAnsi="宋体" w:cs="宋体"/>
                <w:sz w:val="24"/>
                <w:szCs w:val="24"/>
                <w:lang w:val="en-US" w:eastAsia="zh-CN"/>
              </w:rPr>
              <w:t>自本委托书签署之日起至投标有效期期满</w:t>
            </w:r>
          </w:p>
        </w:tc>
      </w:tr>
      <w:tr w14:paraId="665EA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1" w:hRule="atLeast"/>
          <w:jc w:val="center"/>
        </w:trPr>
        <w:tc>
          <w:tcPr>
            <w:tcW w:w="4623" w:type="dxa"/>
            <w:gridSpan w:val="4"/>
            <w:noWrap w:val="0"/>
            <w:vAlign w:val="center"/>
          </w:tcPr>
          <w:p w14:paraId="08E4E2D3">
            <w:pPr>
              <w:tabs>
                <w:tab w:val="left" w:pos="1260"/>
              </w:tabs>
              <w:spacing w:line="360" w:lineRule="auto"/>
              <w:jc w:val="center"/>
              <w:rPr>
                <w:rFonts w:ascii="宋体" w:hAnsi="宋体" w:cs="宋体"/>
                <w:sz w:val="24"/>
                <w:szCs w:val="24"/>
              </w:rPr>
            </w:pPr>
            <w:r>
              <w:rPr>
                <w:rFonts w:hint="eastAsia" w:ascii="宋体" w:hAnsi="宋体" w:cs="宋体"/>
                <w:sz w:val="24"/>
                <w:szCs w:val="24"/>
                <w:lang w:val="en-US" w:eastAsia="zh-CN"/>
              </w:rPr>
              <w:t>法定代表人</w:t>
            </w:r>
            <w:r>
              <w:rPr>
                <w:rFonts w:ascii="宋体" w:hAnsi="宋体" w:cs="宋体"/>
                <w:sz w:val="24"/>
                <w:szCs w:val="24"/>
              </w:rPr>
              <w:t>身份证复印件</w:t>
            </w:r>
          </w:p>
          <w:p w14:paraId="69B54B6F">
            <w:pPr>
              <w:tabs>
                <w:tab w:val="left" w:pos="1260"/>
              </w:tabs>
              <w:spacing w:line="360" w:lineRule="auto"/>
              <w:jc w:val="center"/>
              <w:rPr>
                <w:rFonts w:hint="eastAsia" w:ascii="宋体" w:hAnsi="宋体" w:eastAsia="宋体" w:cs="宋体"/>
                <w:color w:val="auto"/>
                <w:sz w:val="24"/>
                <w:szCs w:val="24"/>
              </w:rPr>
            </w:pPr>
            <w:r>
              <w:rPr>
                <w:rFonts w:hint="eastAsia" w:ascii="宋体" w:hAnsi="宋体" w:eastAsia="宋体" w:cs="宋体"/>
                <w:sz w:val="24"/>
                <w:szCs w:val="24"/>
                <w:lang w:val="en-US" w:eastAsia="zh-CN"/>
              </w:rPr>
              <w:t>（正反面粘贴处）</w:t>
            </w:r>
          </w:p>
        </w:tc>
        <w:tc>
          <w:tcPr>
            <w:tcW w:w="4837" w:type="dxa"/>
            <w:gridSpan w:val="3"/>
            <w:noWrap w:val="0"/>
            <w:vAlign w:val="center"/>
          </w:tcPr>
          <w:p w14:paraId="38D7F0B7">
            <w:pPr>
              <w:tabs>
                <w:tab w:val="left" w:pos="1260"/>
              </w:tabs>
              <w:spacing w:line="360" w:lineRule="auto"/>
              <w:jc w:val="center"/>
              <w:rPr>
                <w:rFonts w:ascii="宋体" w:hAnsi="宋体" w:cs="宋体"/>
                <w:sz w:val="24"/>
                <w:szCs w:val="24"/>
              </w:rPr>
            </w:pPr>
            <w:r>
              <w:rPr>
                <w:rFonts w:ascii="宋体" w:hAnsi="宋体" w:cs="宋体"/>
                <w:sz w:val="24"/>
                <w:szCs w:val="24"/>
              </w:rPr>
              <w:t>被授权人身份证复印件</w:t>
            </w:r>
          </w:p>
          <w:p w14:paraId="65A50AF7">
            <w:pPr>
              <w:tabs>
                <w:tab w:val="left" w:pos="1260"/>
              </w:tabs>
              <w:spacing w:line="360" w:lineRule="auto"/>
              <w:jc w:val="center"/>
              <w:rPr>
                <w:rFonts w:hint="eastAsia" w:ascii="宋体" w:hAnsi="宋体" w:eastAsia="宋体" w:cs="宋体"/>
                <w:color w:val="auto"/>
                <w:sz w:val="24"/>
                <w:szCs w:val="24"/>
              </w:rPr>
            </w:pPr>
            <w:r>
              <w:rPr>
                <w:rFonts w:hint="eastAsia" w:ascii="宋体" w:hAnsi="宋体" w:cs="宋体"/>
                <w:sz w:val="24"/>
                <w:szCs w:val="24"/>
              </w:rPr>
              <w:t>（正反面粘贴处）</w:t>
            </w:r>
          </w:p>
        </w:tc>
      </w:tr>
      <w:tr w14:paraId="5A42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4623" w:type="dxa"/>
            <w:gridSpan w:val="4"/>
            <w:noWrap w:val="0"/>
            <w:vAlign w:val="center"/>
          </w:tcPr>
          <w:p w14:paraId="59684B48">
            <w:pPr>
              <w:tabs>
                <w:tab w:val="left" w:pos="1260"/>
              </w:tabs>
              <w:spacing w:line="360" w:lineRule="auto"/>
              <w:jc w:val="center"/>
              <w:rPr>
                <w:rFonts w:hint="eastAsia" w:ascii="宋体" w:hAnsi="宋体" w:eastAsia="宋体" w:cs="宋体"/>
                <w:color w:val="auto"/>
                <w:sz w:val="24"/>
                <w:szCs w:val="24"/>
              </w:rPr>
            </w:pPr>
            <w:r>
              <w:rPr>
                <w:rFonts w:hint="eastAsia" w:ascii="宋体" w:hAnsi="宋体" w:cs="宋体"/>
                <w:sz w:val="24"/>
              </w:rPr>
              <w:t>法定代表人签字或盖章</w:t>
            </w:r>
            <w:r>
              <w:rPr>
                <w:rFonts w:hint="eastAsia" w:ascii="宋体" w:hAnsi="宋体" w:cs="宋体"/>
                <w:sz w:val="24"/>
                <w:lang w:eastAsia="zh-CN"/>
              </w:rPr>
              <w:t>：</w:t>
            </w:r>
          </w:p>
        </w:tc>
        <w:tc>
          <w:tcPr>
            <w:tcW w:w="4837" w:type="dxa"/>
            <w:gridSpan w:val="3"/>
            <w:noWrap w:val="0"/>
            <w:vAlign w:val="center"/>
          </w:tcPr>
          <w:p w14:paraId="67859E02">
            <w:pPr>
              <w:tabs>
                <w:tab w:val="left" w:pos="1260"/>
              </w:tabs>
              <w:spacing w:line="360" w:lineRule="auto"/>
              <w:jc w:val="center"/>
              <w:rPr>
                <w:rFonts w:hint="eastAsia" w:ascii="宋体" w:hAnsi="宋体" w:eastAsia="宋体" w:cs="宋体"/>
                <w:color w:val="auto"/>
                <w:sz w:val="24"/>
                <w:szCs w:val="24"/>
              </w:rPr>
            </w:pPr>
            <w:r>
              <w:rPr>
                <w:rFonts w:hint="eastAsia" w:ascii="宋体" w:hAnsi="宋体" w:cs="宋体"/>
                <w:sz w:val="24"/>
              </w:rPr>
              <w:t>被授权人签字或盖章</w:t>
            </w:r>
            <w:r>
              <w:rPr>
                <w:rFonts w:hint="eastAsia" w:ascii="宋体" w:hAnsi="宋体" w:cs="宋体"/>
                <w:sz w:val="24"/>
                <w:lang w:eastAsia="zh-CN"/>
              </w:rPr>
              <w:t>：</w:t>
            </w:r>
          </w:p>
        </w:tc>
      </w:tr>
      <w:tr w14:paraId="0C5D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jc w:val="center"/>
        </w:trPr>
        <w:tc>
          <w:tcPr>
            <w:tcW w:w="9460" w:type="dxa"/>
            <w:gridSpan w:val="7"/>
            <w:noWrap w:val="0"/>
            <w:vAlign w:val="center"/>
          </w:tcPr>
          <w:p w14:paraId="32E61A18">
            <w:pPr>
              <w:spacing w:line="360" w:lineRule="auto"/>
              <w:rPr>
                <w:rFonts w:hint="eastAsia" w:ascii="宋体" w:hAnsi="宋体" w:eastAsia="宋体" w:cs="宋体"/>
                <w:color w:val="auto"/>
                <w:sz w:val="24"/>
                <w:szCs w:val="24"/>
              </w:rPr>
            </w:pPr>
            <w:r>
              <w:rPr>
                <w:rFonts w:hint="eastAsia" w:ascii="宋体" w:hAnsi="宋体" w:cs="宋体"/>
                <w:b w:val="0"/>
                <w:bCs/>
                <w:color w:val="000000"/>
                <w:sz w:val="24"/>
                <w:szCs w:val="24"/>
              </w:rPr>
              <w:t>投标人：</w:t>
            </w:r>
            <w:r>
              <w:rPr>
                <w:rFonts w:hint="eastAsia" w:ascii="宋体" w:hAnsi="宋体" w:cs="宋体"/>
                <w:b w:val="0"/>
                <w:bCs/>
                <w:color w:val="000000"/>
                <w:sz w:val="24"/>
                <w:szCs w:val="24"/>
                <w:u w:val="single"/>
              </w:rPr>
              <w:t xml:space="preserve">    </w:t>
            </w:r>
            <w:r>
              <w:rPr>
                <w:rFonts w:hint="eastAsia" w:ascii="宋体" w:hAnsi="宋体" w:cs="宋体"/>
                <w:b w:val="0"/>
                <w:bCs/>
                <w:color w:val="000000"/>
                <w:sz w:val="24"/>
                <w:szCs w:val="24"/>
                <w:u w:val="single"/>
                <w:lang w:val="en-US" w:eastAsia="zh-CN"/>
              </w:rPr>
              <w:t xml:space="preserve">   </w:t>
            </w:r>
            <w:r>
              <w:rPr>
                <w:rFonts w:hint="eastAsia" w:ascii="宋体" w:hAnsi="宋体" w:cs="宋体"/>
                <w:b w:val="0"/>
                <w:bCs/>
                <w:color w:val="000000"/>
                <w:sz w:val="24"/>
                <w:szCs w:val="24"/>
                <w:u w:val="single"/>
              </w:rPr>
              <w:t xml:space="preserve">   </w:t>
            </w:r>
            <w:r>
              <w:rPr>
                <w:rFonts w:hint="eastAsia" w:ascii="宋体" w:hAnsi="宋体" w:cs="宋体"/>
                <w:b w:val="0"/>
                <w:bCs/>
                <w:color w:val="000000"/>
                <w:sz w:val="24"/>
                <w:szCs w:val="24"/>
              </w:rPr>
              <w:t>（盖章）</w:t>
            </w:r>
            <w:r>
              <w:rPr>
                <w:rFonts w:hint="eastAsia" w:ascii="宋体" w:hAnsi="宋体" w:cs="宋体"/>
                <w:b w:val="0"/>
                <w:bCs/>
                <w:color w:val="000000"/>
                <w:sz w:val="24"/>
                <w:szCs w:val="24"/>
                <w:lang w:val="en-US" w:eastAsia="zh-CN"/>
              </w:rPr>
              <w:t xml:space="preserve">                     </w:t>
            </w:r>
            <w:r>
              <w:rPr>
                <w:rFonts w:hint="eastAsia" w:ascii="宋体" w:hAnsi="宋体" w:cs="宋体"/>
                <w:b w:val="0"/>
                <w:bCs/>
                <w:color w:val="000000"/>
                <w:sz w:val="24"/>
                <w:szCs w:val="24"/>
              </w:rPr>
              <w:t>日期：  年  月  日</w:t>
            </w:r>
          </w:p>
        </w:tc>
      </w:tr>
    </w:tbl>
    <w:p w14:paraId="2AA1CC56">
      <w:pPr>
        <w:pStyle w:val="36"/>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附件</w:t>
      </w:r>
      <w:r>
        <w:rPr>
          <w:rFonts w:hint="eastAsia" w:ascii="宋体" w:hAnsi="宋体" w:eastAsia="宋体" w:cs="宋体"/>
          <w:b/>
          <w:bCs/>
          <w:sz w:val="28"/>
          <w:szCs w:val="28"/>
          <w:lang w:val="en-US" w:eastAsia="zh-CN"/>
        </w:rPr>
        <w:t>3</w:t>
      </w:r>
    </w:p>
    <w:p w14:paraId="48CC820F">
      <w:pPr>
        <w:pStyle w:val="36"/>
        <w:rPr>
          <w:rFonts w:hint="eastAsia"/>
          <w:lang w:val="en-US" w:eastAsia="zh-CN"/>
        </w:rPr>
      </w:pPr>
    </w:p>
    <w:p w14:paraId="2F07F36A">
      <w:pPr>
        <w:pStyle w:val="36"/>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《中华人民共和国政府采购法》第二十二条的</w:t>
      </w:r>
      <w:r>
        <w:rPr>
          <w:rFonts w:hint="eastAsia" w:ascii="宋体" w:hAnsi="宋体" w:eastAsia="宋体" w:cs="宋体"/>
          <w:b/>
          <w:color w:val="000000"/>
          <w:sz w:val="32"/>
          <w:szCs w:val="32"/>
        </w:rPr>
        <w:t>书面</w:t>
      </w:r>
      <w:r>
        <w:rPr>
          <w:rFonts w:hint="eastAsia" w:ascii="宋体" w:hAnsi="宋体" w:eastAsia="宋体" w:cs="宋体"/>
          <w:b/>
          <w:color w:val="000000"/>
          <w:sz w:val="32"/>
          <w:szCs w:val="32"/>
          <w:lang w:val="en-US" w:eastAsia="zh-CN"/>
        </w:rPr>
        <w:t>承诺函</w:t>
      </w:r>
    </w:p>
    <w:p w14:paraId="7B790038">
      <w:pPr>
        <w:pStyle w:val="36"/>
        <w:rPr>
          <w:rFonts w:hint="eastAsia"/>
          <w:lang w:val="en-US" w:eastAsia="zh-CN"/>
        </w:rPr>
      </w:pPr>
    </w:p>
    <w:p w14:paraId="0CE29C21">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3FA9C106">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我单位作为参加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采购项目的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 xml:space="preserve">单位，现郑重承诺我单位具备《中华人民共和国政府采购法》第二十二条供应商参加政府采购活动的基本资格条件： </w:t>
      </w:r>
    </w:p>
    <w:p w14:paraId="7B30AD19">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（一）我单位具有独立承担民事责任的能力； </w:t>
      </w:r>
    </w:p>
    <w:p w14:paraId="469577A4">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（二）我单位具有良好的商业信誉和健全的财务会计制度；</w:t>
      </w:r>
    </w:p>
    <w:p w14:paraId="0D15F590">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（三）我单位具有履行合同所必需的设备和专业技术能力； </w:t>
      </w:r>
    </w:p>
    <w:p w14:paraId="7AF290C8">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（四）我单位有依法缴纳税收和社会保障资金的良好记录； </w:t>
      </w:r>
    </w:p>
    <w:p w14:paraId="402625BC">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（五）我单位参加政府采购活动前三年内，在经营活动中没有重大违法记录； </w:t>
      </w:r>
    </w:p>
    <w:p w14:paraId="31E299D7">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（六）我单位满足法律、行政法规规定的其他条件。</w:t>
      </w:r>
    </w:p>
    <w:p w14:paraId="195BFA70">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p>
    <w:p w14:paraId="07500B48">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5271B1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770FCF9">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746093C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ascii="宋体" w:hAnsi="宋体" w:cs="宋体"/>
          <w:b/>
          <w:color w:val="000000"/>
          <w:sz w:val="28"/>
          <w:szCs w:val="28"/>
        </w:rPr>
      </w:pPr>
    </w:p>
    <w:p w14:paraId="07BBBDD7">
      <w:pPr>
        <w:spacing w:line="360" w:lineRule="auto"/>
        <w:jc w:val="left"/>
        <w:rPr>
          <w:rFonts w:hint="eastAsia" w:ascii="宋体" w:hAnsi="宋体" w:eastAsia="宋体" w:cs="宋体"/>
          <w:b/>
          <w:color w:val="000000"/>
          <w:sz w:val="24"/>
        </w:rPr>
      </w:pPr>
    </w:p>
    <w:p w14:paraId="7B61906C">
      <w:pPr>
        <w:spacing w:line="360" w:lineRule="auto"/>
        <w:jc w:val="left"/>
        <w:rPr>
          <w:rFonts w:hint="eastAsia" w:ascii="宋体" w:hAnsi="宋体" w:cs="宋体"/>
          <w:b/>
          <w:color w:val="000000"/>
          <w:sz w:val="28"/>
          <w:szCs w:val="24"/>
          <w:lang w:val="en-US" w:eastAsia="zh-CN"/>
        </w:rPr>
      </w:pPr>
      <w:r>
        <w:rPr>
          <w:rFonts w:hint="eastAsia" w:ascii="宋体" w:hAnsi="宋体" w:eastAsia="宋体" w:cs="宋体"/>
          <w:b/>
          <w:color w:val="000000"/>
          <w:sz w:val="28"/>
          <w:szCs w:val="24"/>
        </w:rPr>
        <w:t>附件</w:t>
      </w:r>
      <w:r>
        <w:rPr>
          <w:rFonts w:hint="eastAsia" w:ascii="宋体" w:hAnsi="宋体" w:cs="宋体"/>
          <w:b/>
          <w:color w:val="000000"/>
          <w:sz w:val="28"/>
          <w:szCs w:val="24"/>
          <w:lang w:val="en-US" w:eastAsia="zh-CN"/>
        </w:rPr>
        <w:t>4</w:t>
      </w:r>
    </w:p>
    <w:p w14:paraId="3A199A4E">
      <w:pPr>
        <w:pStyle w:val="16"/>
        <w:rPr>
          <w:rFonts w:hint="eastAsia"/>
          <w:lang w:eastAsia="zh-CN"/>
        </w:rPr>
      </w:pPr>
    </w:p>
    <w:p w14:paraId="2411748A">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参加政府采购活动前3年内在经营活动中</w:t>
      </w:r>
      <w:r>
        <w:rPr>
          <w:rFonts w:hint="eastAsia" w:ascii="宋体" w:hAnsi="宋体" w:eastAsia="宋体" w:cs="宋体"/>
          <w:b/>
          <w:color w:val="000000"/>
          <w:sz w:val="28"/>
          <w:szCs w:val="28"/>
          <w:lang w:val="en-US" w:eastAsia="zh-CN"/>
        </w:rPr>
        <w:t>没有</w:t>
      </w:r>
      <w:r>
        <w:rPr>
          <w:rFonts w:hint="eastAsia" w:ascii="宋体" w:hAnsi="宋体" w:eastAsia="宋体" w:cs="宋体"/>
          <w:b/>
          <w:color w:val="000000"/>
          <w:sz w:val="28"/>
          <w:szCs w:val="28"/>
        </w:rPr>
        <w:t>重大违法记录的书面声明</w:t>
      </w:r>
    </w:p>
    <w:p w14:paraId="1F97E217">
      <w:pPr>
        <w:spacing w:line="360" w:lineRule="auto"/>
        <w:jc w:val="left"/>
        <w:rPr>
          <w:rFonts w:hint="eastAsia" w:ascii="宋体" w:hAnsi="宋体" w:eastAsia="宋体" w:cs="宋体"/>
          <w:color w:val="000000"/>
          <w:sz w:val="28"/>
          <w:szCs w:val="28"/>
        </w:rPr>
      </w:pPr>
    </w:p>
    <w:p w14:paraId="35967074">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14CF71E6">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 xml:space="preserve">  （供应商名称）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val="en-US" w:eastAsia="zh-CN"/>
        </w:rPr>
        <w:t>没有</w:t>
      </w:r>
      <w:r>
        <w:rPr>
          <w:rFonts w:hint="eastAsia" w:ascii="宋体" w:hAnsi="宋体" w:eastAsia="宋体" w:cs="宋体"/>
          <w:color w:val="000000"/>
          <w:sz w:val="28"/>
          <w:szCs w:val="28"/>
        </w:rPr>
        <w:t>重大违法记录，特此声明。</w:t>
      </w:r>
    </w:p>
    <w:p w14:paraId="13279707">
      <w:pPr>
        <w:keepNext w:val="0"/>
        <w:keepLines w:val="0"/>
        <w:pageBreakBefore w:val="0"/>
        <w:widowControl w:val="0"/>
        <w:kinsoku/>
        <w:wordWrap/>
        <w:overflowPunct/>
        <w:topLinePunct w:val="0"/>
        <w:autoSpaceDE/>
        <w:autoSpaceDN/>
        <w:bidi w:val="0"/>
        <w:adjustRightInd/>
        <w:snapToGrid/>
        <w:spacing w:line="700" w:lineRule="exact"/>
        <w:ind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过程中发现我单位参加政府采购活动前3年内，在经营活动中存在重大违法记录，我单位将无条件地退出本项目的</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活动，并承担因此引起的一切后果。</w:t>
      </w:r>
    </w:p>
    <w:p w14:paraId="1B7489BD">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271120C4">
      <w:pPr>
        <w:pStyle w:val="17"/>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color w:val="000000"/>
          <w:sz w:val="28"/>
          <w:szCs w:val="28"/>
        </w:rPr>
      </w:pPr>
    </w:p>
    <w:p w14:paraId="66889A40">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rPr>
      </w:pPr>
    </w:p>
    <w:p w14:paraId="7BAFD20E">
      <w:pPr>
        <w:pStyle w:val="17"/>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rPr>
      </w:pPr>
    </w:p>
    <w:p w14:paraId="5779F8EC">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BACB256">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16E85DD5">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7745B9DE">
      <w:pPr>
        <w:keepNext w:val="0"/>
        <w:keepLines w:val="0"/>
        <w:pageBreakBefore w:val="0"/>
        <w:widowControl w:val="0"/>
        <w:kinsoku/>
        <w:wordWrap/>
        <w:overflowPunct/>
        <w:topLinePunct w:val="0"/>
        <w:autoSpaceDE/>
        <w:autoSpaceDN/>
        <w:bidi w:val="0"/>
        <w:adjustRightInd/>
        <w:snapToGrid/>
        <w:spacing w:line="700" w:lineRule="exact"/>
        <w:ind w:firstLine="562" w:firstLineChars="200"/>
        <w:textAlignment w:val="auto"/>
        <w:rPr>
          <w:rFonts w:ascii="宋体" w:hAnsi="宋体" w:cs="宋体"/>
          <w:b/>
          <w:color w:val="000000"/>
          <w:sz w:val="28"/>
          <w:szCs w:val="28"/>
        </w:rPr>
      </w:pPr>
    </w:p>
    <w:p w14:paraId="7BE35FE5">
      <w:pPr>
        <w:spacing w:line="360" w:lineRule="auto"/>
        <w:jc w:val="left"/>
        <w:rPr>
          <w:rFonts w:hint="eastAsia" w:ascii="宋体" w:hAnsi="宋体" w:eastAsia="宋体" w:cs="宋体"/>
          <w:color w:val="000000"/>
          <w:sz w:val="24"/>
        </w:rPr>
      </w:pPr>
    </w:p>
    <w:p w14:paraId="145E0AA2">
      <w:pPr>
        <w:spacing w:line="360" w:lineRule="auto"/>
        <w:jc w:val="left"/>
        <w:rPr>
          <w:rFonts w:hint="eastAsia" w:ascii="宋体" w:hAnsi="宋体" w:eastAsia="宋体" w:cs="宋体"/>
          <w:color w:val="000000"/>
          <w:sz w:val="24"/>
        </w:rPr>
      </w:pPr>
    </w:p>
    <w:p w14:paraId="3D62E1E7">
      <w:pPr>
        <w:spacing w:line="360" w:lineRule="auto"/>
        <w:jc w:val="left"/>
        <w:rPr>
          <w:rFonts w:hint="eastAsia" w:ascii="宋体" w:hAnsi="宋体" w:eastAsia="宋体" w:cs="宋体"/>
          <w:color w:val="000000"/>
          <w:sz w:val="24"/>
        </w:rPr>
      </w:pPr>
    </w:p>
    <w:p w14:paraId="791CD0A5">
      <w:pPr>
        <w:pStyle w:val="16"/>
        <w:rPr>
          <w:rFonts w:hint="eastAsia"/>
        </w:rPr>
      </w:pPr>
    </w:p>
    <w:p w14:paraId="5AAF6E5D">
      <w:pPr>
        <w:spacing w:line="360" w:lineRule="auto"/>
        <w:jc w:val="left"/>
        <w:rPr>
          <w:rFonts w:hint="eastAsia" w:ascii="宋体" w:hAnsi="宋体" w:eastAsia="宋体" w:cs="宋体"/>
          <w:color w:val="000000"/>
          <w:sz w:val="24"/>
        </w:rPr>
      </w:pPr>
    </w:p>
    <w:p w14:paraId="68C34CD8">
      <w:pPr>
        <w:spacing w:line="360" w:lineRule="auto"/>
        <w:jc w:val="left"/>
        <w:rPr>
          <w:rFonts w:hint="eastAsia" w:ascii="宋体" w:hAnsi="宋体" w:cs="宋体"/>
          <w:b/>
          <w:color w:val="000000"/>
          <w:sz w:val="28"/>
          <w:szCs w:val="24"/>
          <w:lang w:val="en-US" w:eastAsia="zh-CN"/>
        </w:rPr>
      </w:pPr>
      <w:r>
        <w:rPr>
          <w:rFonts w:hint="eastAsia" w:ascii="宋体" w:hAnsi="宋体" w:eastAsia="宋体" w:cs="宋体"/>
          <w:b/>
          <w:color w:val="000000"/>
          <w:sz w:val="28"/>
          <w:szCs w:val="24"/>
        </w:rPr>
        <w:t>附件</w:t>
      </w:r>
      <w:r>
        <w:rPr>
          <w:rFonts w:hint="eastAsia" w:ascii="宋体" w:hAnsi="宋体" w:cs="宋体"/>
          <w:b/>
          <w:color w:val="000000"/>
          <w:sz w:val="28"/>
          <w:szCs w:val="24"/>
          <w:lang w:val="en-US" w:eastAsia="zh-CN"/>
        </w:rPr>
        <w:t>5</w:t>
      </w:r>
    </w:p>
    <w:p w14:paraId="3EF97FDF">
      <w:pPr>
        <w:pStyle w:val="16"/>
        <w:rPr>
          <w:rFonts w:hint="eastAsia"/>
          <w:lang w:eastAsia="zh-CN"/>
        </w:rPr>
      </w:pPr>
    </w:p>
    <w:p w14:paraId="2C700728">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非联合体</w:t>
      </w:r>
      <w:r>
        <w:rPr>
          <w:rFonts w:hint="eastAsia" w:ascii="宋体" w:hAnsi="宋体" w:cs="宋体"/>
          <w:b/>
          <w:color w:val="000000"/>
          <w:sz w:val="32"/>
          <w:szCs w:val="32"/>
          <w:lang w:eastAsia="zh-CN"/>
        </w:rPr>
        <w:t>磋商</w:t>
      </w:r>
      <w:r>
        <w:rPr>
          <w:rFonts w:hint="eastAsia" w:ascii="宋体" w:hAnsi="宋体" w:eastAsia="宋体" w:cs="宋体"/>
          <w:b/>
          <w:color w:val="000000"/>
          <w:sz w:val="32"/>
          <w:szCs w:val="32"/>
        </w:rPr>
        <w:t>声明</w:t>
      </w:r>
    </w:p>
    <w:p w14:paraId="6A4B0170">
      <w:pPr>
        <w:spacing w:line="360" w:lineRule="auto"/>
        <w:jc w:val="left"/>
        <w:rPr>
          <w:rFonts w:hint="eastAsia" w:ascii="宋体" w:hAnsi="宋体" w:eastAsia="宋体" w:cs="宋体"/>
          <w:color w:val="000000"/>
          <w:sz w:val="28"/>
          <w:szCs w:val="28"/>
        </w:rPr>
      </w:pPr>
    </w:p>
    <w:p w14:paraId="36EE79DA">
      <w:pPr>
        <w:keepNext w:val="0"/>
        <w:keepLines w:val="0"/>
        <w:pageBreakBefore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003A94DF">
      <w:pPr>
        <w:keepNext w:val="0"/>
        <w:keepLines w:val="0"/>
        <w:pageBreakBefore w:val="0"/>
        <w:kinsoku/>
        <w:wordWrap/>
        <w:overflowPunct/>
        <w:topLinePunct w:val="0"/>
        <w:autoSpaceDE/>
        <w:autoSpaceDN/>
        <w:bidi w:val="0"/>
        <w:adjustRightInd/>
        <w:snapToGrid/>
        <w:spacing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cs="宋体"/>
          <w:color w:val="000000"/>
          <w:sz w:val="28"/>
          <w:szCs w:val="28"/>
          <w:lang w:eastAsia="zh-CN"/>
        </w:rPr>
        <w:t>项目</w:t>
      </w:r>
      <w:r>
        <w:rPr>
          <w:rFonts w:hint="eastAsia" w:ascii="宋体" w:hAnsi="宋体" w:eastAsia="宋体" w:cs="宋体"/>
          <w:color w:val="000000"/>
          <w:sz w:val="28"/>
          <w:szCs w:val="28"/>
        </w:rPr>
        <w:t>竞争性磋商（项目编号：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）的磋商文件，经详细研究，我们决定参加该项目的磋商活动。为此，我方郑重声明以下内容，并负法律责任。</w:t>
      </w:r>
    </w:p>
    <w:p w14:paraId="4FC97B44">
      <w:pPr>
        <w:keepNext w:val="0"/>
        <w:keepLines w:val="0"/>
        <w:pageBreakBefore w:val="0"/>
        <w:kinsoku/>
        <w:wordWrap/>
        <w:overflowPunct/>
        <w:topLinePunct w:val="0"/>
        <w:autoSpaceDE/>
        <w:autoSpaceDN/>
        <w:bidi w:val="0"/>
        <w:adjustRightInd/>
        <w:snapToGrid/>
        <w:spacing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，不存在联合体</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的情况。</w:t>
      </w:r>
    </w:p>
    <w:p w14:paraId="39E825C9">
      <w:pPr>
        <w:pStyle w:val="34"/>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0000687C">
      <w:pPr>
        <w:pStyle w:val="34"/>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112D512C">
      <w:pPr>
        <w:pStyle w:val="34"/>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p>
    <w:bookmarkEnd w:id="343"/>
    <w:p w14:paraId="6B350214">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3FD0572E">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4F2BD397">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6985021C">
      <w:pPr>
        <w:keepNext w:val="0"/>
        <w:keepLines w:val="0"/>
        <w:pageBreakBefore w:val="0"/>
        <w:kinsoku/>
        <w:wordWrap/>
        <w:overflowPunct/>
        <w:topLinePunct w:val="0"/>
        <w:autoSpaceDE/>
        <w:autoSpaceDN/>
        <w:bidi w:val="0"/>
        <w:adjustRightInd/>
        <w:snapToGrid/>
        <w:spacing w:line="700" w:lineRule="exact"/>
        <w:ind w:firstLine="562" w:firstLineChars="200"/>
        <w:textAlignment w:val="auto"/>
        <w:rPr>
          <w:rFonts w:ascii="宋体" w:hAnsi="宋体" w:cs="宋体"/>
          <w:b/>
          <w:color w:val="000000"/>
          <w:sz w:val="28"/>
          <w:szCs w:val="28"/>
        </w:rPr>
      </w:pPr>
    </w:p>
    <w:p w14:paraId="2F4C69DF">
      <w:pPr>
        <w:spacing w:line="360" w:lineRule="auto"/>
        <w:ind w:firstLine="560" w:firstLineChars="200"/>
        <w:rPr>
          <w:rFonts w:ascii="宋体" w:hAnsi="宋体" w:cs="宋体"/>
          <w:bCs/>
          <w:sz w:val="28"/>
          <w:szCs w:val="28"/>
        </w:rPr>
      </w:pPr>
    </w:p>
    <w:p w14:paraId="18DD226D">
      <w:pPr>
        <w:spacing w:line="360" w:lineRule="auto"/>
        <w:ind w:firstLine="562" w:firstLineChars="200"/>
        <w:rPr>
          <w:rFonts w:ascii="宋体" w:hAnsi="宋体" w:cs="宋体"/>
          <w:b/>
          <w:color w:val="000000"/>
          <w:sz w:val="28"/>
          <w:szCs w:val="28"/>
        </w:rPr>
      </w:pPr>
    </w:p>
    <w:p w14:paraId="1C348723">
      <w:pPr>
        <w:spacing w:line="360" w:lineRule="auto"/>
        <w:rPr>
          <w:rFonts w:ascii="宋体" w:hAnsi="宋体" w:cs="宋体"/>
          <w:color w:val="000000"/>
          <w:sz w:val="28"/>
          <w:szCs w:val="28"/>
        </w:rPr>
      </w:pPr>
    </w:p>
    <w:bookmarkEnd w:id="344"/>
    <w:bookmarkEnd w:id="345"/>
    <w:bookmarkEnd w:id="346"/>
    <w:bookmarkEnd w:id="347"/>
    <w:bookmarkEnd w:id="348"/>
    <w:bookmarkEnd w:id="349"/>
    <w:bookmarkEnd w:id="350"/>
    <w:p w14:paraId="66209FD2">
      <w:pPr>
        <w:pStyle w:val="17"/>
        <w:jc w:val="left"/>
        <w:rPr>
          <w:rFonts w:hint="eastAsia" w:ascii="宋体" w:hAnsi="宋体" w:eastAsia="宋体" w:cs="宋体"/>
          <w:b/>
          <w:color w:val="000000"/>
          <w:sz w:val="24"/>
          <w:lang w:val="en-US" w:eastAsia="zh-CN"/>
        </w:rPr>
      </w:pPr>
      <w:bookmarkStart w:id="351" w:name="_Toc500323121"/>
      <w:bookmarkStart w:id="352" w:name="_Toc10352"/>
      <w:r>
        <w:rPr>
          <w:rFonts w:ascii="宋体" w:hAnsi="宋体" w:cs="宋体"/>
          <w:color w:val="000000"/>
          <w:sz w:val="28"/>
          <w:szCs w:val="28"/>
        </w:rPr>
        <w:br w:type="page"/>
      </w:r>
      <w:r>
        <w:rPr>
          <w:rFonts w:hint="eastAsia" w:ascii="宋体" w:hAnsi="宋体" w:eastAsia="宋体" w:cs="宋体"/>
          <w:b/>
          <w:color w:val="000000"/>
          <w:sz w:val="28"/>
          <w:szCs w:val="28"/>
        </w:rPr>
        <w:t>附件</w:t>
      </w:r>
      <w:r>
        <w:rPr>
          <w:rFonts w:hint="eastAsia" w:ascii="宋体" w:hAnsi="宋体" w:eastAsia="宋体" w:cs="宋体"/>
          <w:b/>
          <w:color w:val="000000"/>
          <w:sz w:val="28"/>
          <w:szCs w:val="28"/>
          <w:lang w:val="en-US" w:eastAsia="zh-CN"/>
        </w:rPr>
        <w:t>6</w:t>
      </w:r>
    </w:p>
    <w:p w14:paraId="2C194F1B">
      <w:pPr>
        <w:rPr>
          <w:rFonts w:hint="eastAsia" w:ascii="宋体" w:hAnsi="宋体" w:eastAsia="宋体" w:cs="宋体"/>
          <w:b/>
          <w:color w:val="000000"/>
          <w:sz w:val="24"/>
          <w:lang w:val="en-US" w:eastAsia="zh-CN"/>
        </w:rPr>
      </w:pPr>
    </w:p>
    <w:p w14:paraId="5CF3A31A">
      <w:pPr>
        <w:jc w:val="center"/>
        <w:rPr>
          <w:rFonts w:hint="eastAsia"/>
          <w:b/>
          <w:bCs/>
          <w:sz w:val="32"/>
          <w:szCs w:val="32"/>
        </w:rPr>
      </w:pPr>
      <w:r>
        <w:rPr>
          <w:rFonts w:hint="eastAsia"/>
          <w:b/>
          <w:bCs/>
          <w:sz w:val="32"/>
          <w:szCs w:val="32"/>
        </w:rPr>
        <w:t>控股管理关系承诺书</w:t>
      </w:r>
    </w:p>
    <w:p w14:paraId="1CC238D3">
      <w:pPr>
        <w:jc w:val="center"/>
        <w:rPr>
          <w:rFonts w:hint="eastAsia"/>
        </w:rPr>
      </w:pPr>
    </w:p>
    <w:p w14:paraId="4F933BB4">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530433F9">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我公司参加贵单位组织的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项目名称</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）的投标，现我公司向贵单位承诺：</w:t>
      </w:r>
    </w:p>
    <w:p w14:paraId="2C7359DC">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我公司郑重承诺，我公司参加此次项目的投标，不存在单位负责人为同一人或直接控股、管理关系。如有虚假或隐瞒，我公司愿承担一切后果。</w:t>
      </w:r>
    </w:p>
    <w:p w14:paraId="06AEEFD8">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52E92E9F">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27FC1A0A">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5F2D074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3206E2F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56C80ECF">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340073E9">
      <w:pPr>
        <w:spacing w:line="360" w:lineRule="auto"/>
        <w:jc w:val="left"/>
        <w:rPr>
          <w:rFonts w:ascii="宋体" w:hAnsi="宋体" w:cs="宋体"/>
          <w:b/>
          <w:color w:val="000000"/>
          <w:sz w:val="28"/>
          <w:szCs w:val="28"/>
        </w:rPr>
      </w:pPr>
    </w:p>
    <w:p w14:paraId="3D32D3CA">
      <w:pPr>
        <w:spacing w:line="360" w:lineRule="auto"/>
        <w:jc w:val="left"/>
        <w:rPr>
          <w:rFonts w:ascii="宋体" w:hAnsi="宋体" w:cs="宋体"/>
          <w:b/>
          <w:color w:val="000000"/>
          <w:sz w:val="28"/>
          <w:szCs w:val="28"/>
        </w:rPr>
      </w:pPr>
    </w:p>
    <w:p w14:paraId="2884BA6F">
      <w:pPr>
        <w:spacing w:line="360" w:lineRule="auto"/>
        <w:jc w:val="left"/>
        <w:rPr>
          <w:rFonts w:ascii="宋体" w:hAnsi="宋体" w:cs="宋体"/>
          <w:b/>
          <w:color w:val="000000"/>
          <w:sz w:val="28"/>
          <w:szCs w:val="28"/>
        </w:rPr>
      </w:pPr>
    </w:p>
    <w:p w14:paraId="7F2BC5E5">
      <w:pPr>
        <w:spacing w:line="360" w:lineRule="auto"/>
        <w:jc w:val="left"/>
        <w:rPr>
          <w:rFonts w:ascii="宋体" w:hAnsi="宋体" w:cs="宋体"/>
          <w:b/>
          <w:color w:val="000000"/>
          <w:sz w:val="28"/>
          <w:szCs w:val="28"/>
        </w:rPr>
      </w:pPr>
    </w:p>
    <w:p w14:paraId="10220556">
      <w:pPr>
        <w:spacing w:line="360" w:lineRule="auto"/>
        <w:jc w:val="left"/>
        <w:rPr>
          <w:rFonts w:ascii="宋体" w:hAnsi="宋体" w:cs="宋体"/>
          <w:b/>
          <w:color w:val="000000"/>
          <w:sz w:val="28"/>
          <w:szCs w:val="28"/>
        </w:rPr>
      </w:pPr>
    </w:p>
    <w:p w14:paraId="535B8FFB">
      <w:pPr>
        <w:spacing w:line="360" w:lineRule="auto"/>
        <w:jc w:val="left"/>
        <w:rPr>
          <w:rFonts w:ascii="宋体" w:hAnsi="宋体" w:cs="宋体"/>
          <w:b/>
          <w:color w:val="000000"/>
          <w:sz w:val="28"/>
          <w:szCs w:val="28"/>
        </w:rPr>
      </w:pPr>
    </w:p>
    <w:p w14:paraId="0F122E2C">
      <w:pPr>
        <w:spacing w:line="360" w:lineRule="auto"/>
        <w:jc w:val="left"/>
        <w:rPr>
          <w:rFonts w:ascii="宋体" w:hAnsi="宋体" w:cs="宋体"/>
          <w:b/>
          <w:color w:val="000000"/>
          <w:sz w:val="28"/>
          <w:szCs w:val="28"/>
        </w:rPr>
      </w:pPr>
    </w:p>
    <w:p w14:paraId="21BBBABF">
      <w:pPr>
        <w:spacing w:line="360" w:lineRule="auto"/>
        <w:jc w:val="left"/>
        <w:rPr>
          <w:rFonts w:ascii="宋体" w:hAnsi="宋体" w:cs="宋体"/>
          <w:b/>
          <w:color w:val="000000"/>
          <w:sz w:val="28"/>
          <w:szCs w:val="28"/>
        </w:rPr>
      </w:pPr>
    </w:p>
    <w:p w14:paraId="531F533F">
      <w:pPr>
        <w:spacing w:line="360" w:lineRule="auto"/>
        <w:jc w:val="left"/>
        <w:rPr>
          <w:rFonts w:ascii="宋体" w:hAnsi="宋体" w:cs="宋体"/>
          <w:b/>
          <w:color w:val="000000"/>
          <w:sz w:val="28"/>
          <w:szCs w:val="28"/>
        </w:rPr>
      </w:pPr>
    </w:p>
    <w:bookmarkEnd w:id="351"/>
    <w:bookmarkEnd w:id="352"/>
    <w:p w14:paraId="6DE95BFE">
      <w:pPr>
        <w:keepLines/>
        <w:pageBreakBefore/>
        <w:spacing w:line="360" w:lineRule="auto"/>
        <w:jc w:val="both"/>
        <w:outlineLvl w:val="1"/>
        <w:rPr>
          <w:rFonts w:hint="eastAsia" w:ascii="宋体" w:hAnsi="宋体" w:cs="宋体"/>
          <w:b/>
          <w:color w:val="000000"/>
          <w:sz w:val="28"/>
          <w:szCs w:val="28"/>
          <w:lang w:val="en-US" w:eastAsia="zh-CN"/>
        </w:rPr>
        <w:sectPr>
          <w:footerReference r:id="rId15"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646CC889">
      <w:pPr>
        <w:outlineLvl w:val="0"/>
        <w:rPr>
          <w:rFonts w:hint="eastAsia" w:ascii="宋体" w:hAnsi="宋体" w:eastAsia="宋体" w:cs="宋体"/>
          <w:b/>
          <w:color w:val="000000"/>
          <w:sz w:val="24"/>
          <w:lang w:val="en-US" w:eastAsia="zh-CN"/>
        </w:rPr>
      </w:pPr>
      <w:r>
        <w:rPr>
          <w:rFonts w:hint="eastAsia" w:ascii="宋体" w:hAnsi="宋体" w:eastAsia="宋体" w:cs="宋体"/>
          <w:b/>
          <w:color w:val="000000"/>
          <w:sz w:val="24"/>
        </w:rPr>
        <w:t>附件</w:t>
      </w:r>
      <w:r>
        <w:rPr>
          <w:rFonts w:hint="eastAsia" w:ascii="宋体" w:hAnsi="宋体" w:eastAsia="宋体" w:cs="宋体"/>
          <w:b/>
          <w:color w:val="000000"/>
          <w:sz w:val="24"/>
          <w:lang w:val="en-US" w:eastAsia="zh-CN"/>
        </w:rPr>
        <w:t>7</w:t>
      </w:r>
    </w:p>
    <w:p w14:paraId="0C588ED4">
      <w:pPr>
        <w:rPr>
          <w:rFonts w:hint="eastAsia"/>
        </w:rPr>
      </w:pPr>
    </w:p>
    <w:p w14:paraId="5D9BD99B">
      <w:pPr>
        <w:widowControl/>
        <w:jc w:val="left"/>
        <w:rPr>
          <w:rFonts w:hint="eastAsia" w:ascii="宋体" w:hAnsi="宋体" w:cs="宋体"/>
          <w:color w:val="000000"/>
          <w:sz w:val="24"/>
        </w:rPr>
      </w:pPr>
    </w:p>
    <w:p w14:paraId="13E3CEED">
      <w:pPr>
        <w:jc w:val="center"/>
        <w:rPr>
          <w:rFonts w:hint="eastAsia" w:ascii="宋体" w:hAnsi="宋体" w:eastAsia="宋体" w:cs="Times New Roman"/>
          <w:b/>
          <w:bCs/>
          <w:color w:val="auto"/>
          <w:kern w:val="2"/>
          <w:sz w:val="28"/>
          <w:szCs w:val="28"/>
          <w:highlight w:val="none"/>
          <w:lang w:val="en-US" w:eastAsia="zh-CN" w:bidi="ar-SA"/>
        </w:rPr>
      </w:pPr>
      <w:r>
        <w:rPr>
          <w:rFonts w:hint="eastAsia" w:ascii="宋体" w:hAnsi="宋体" w:eastAsia="宋体" w:cs="Times New Roman"/>
          <w:b/>
          <w:bCs/>
          <w:color w:val="auto"/>
          <w:kern w:val="2"/>
          <w:sz w:val="28"/>
          <w:szCs w:val="28"/>
          <w:highlight w:val="none"/>
          <w:lang w:val="en-US" w:eastAsia="zh-CN" w:bidi="ar-SA"/>
        </w:rPr>
        <w:t>中小企业声明函（服务）</w:t>
      </w:r>
    </w:p>
    <w:p w14:paraId="255302A7">
      <w:pPr>
        <w:pStyle w:val="17"/>
        <w:spacing w:before="5"/>
        <w:rPr>
          <w:rFonts w:ascii="宋体" w:hAnsi="宋体" w:cs="宋体"/>
          <w:b/>
          <w:color w:val="auto"/>
          <w:sz w:val="24"/>
          <w:highlight w:val="none"/>
        </w:rPr>
      </w:pPr>
    </w:p>
    <w:p w14:paraId="7DC8B00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46CF279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24CFEBE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07E5190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6D2ACDD">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DA4E4BA">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EFD409B">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09447BD4">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06FE0A0A">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w:t>
      </w:r>
    </w:p>
    <w:p w14:paraId="02B1D836">
      <w:pPr>
        <w:ind w:firstLine="480" w:firstLineChars="200"/>
        <w:rPr>
          <w:rFonts w:hint="eastAsia" w:ascii="宋体" w:hAnsi="宋体" w:eastAsia="宋体" w:cs="宋体"/>
          <w:color w:val="auto"/>
          <w:sz w:val="24"/>
          <w:szCs w:val="24"/>
          <w:highlight w:val="none"/>
        </w:rPr>
      </w:pPr>
    </w:p>
    <w:p w14:paraId="68312B9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企业可不填报。</w:t>
      </w:r>
    </w:p>
    <w:p w14:paraId="3C9E1694">
      <w:pPr>
        <w:keepLines/>
        <w:pageBreakBefore/>
        <w:spacing w:line="360" w:lineRule="auto"/>
        <w:jc w:val="left"/>
        <w:outlineLvl w:val="1"/>
        <w:rPr>
          <w:rFonts w:hint="eastAsia" w:ascii="宋体" w:hAnsi="宋体" w:cs="宋体"/>
          <w:b/>
          <w:color w:val="000000"/>
          <w:sz w:val="28"/>
          <w:szCs w:val="28"/>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994EDC0">
      <w:pPr>
        <w:keepLines/>
        <w:pageBreakBefore/>
        <w:spacing w:line="360" w:lineRule="auto"/>
        <w:jc w:val="center"/>
        <w:outlineLvl w:val="1"/>
        <w:rPr>
          <w:rFonts w:ascii="宋体" w:hAnsi="宋体" w:cs="宋体"/>
          <w:b/>
          <w:color w:val="000000"/>
          <w:sz w:val="28"/>
          <w:szCs w:val="28"/>
        </w:rPr>
      </w:pPr>
      <w:r>
        <w:rPr>
          <w:rFonts w:hint="eastAsia" w:ascii="宋体" w:hAnsi="宋体" w:cs="宋体"/>
          <w:b/>
          <w:color w:val="000000"/>
          <w:sz w:val="28"/>
          <w:szCs w:val="28"/>
          <w:lang w:val="en-US" w:eastAsia="zh-CN"/>
        </w:rPr>
        <w:t>二</w:t>
      </w:r>
      <w:r>
        <w:rPr>
          <w:rFonts w:ascii="宋体" w:hAnsi="宋体" w:cs="宋体"/>
          <w:b/>
          <w:color w:val="000000"/>
          <w:sz w:val="28"/>
          <w:szCs w:val="28"/>
        </w:rPr>
        <w:t>、</w:t>
      </w:r>
      <w:r>
        <w:rPr>
          <w:rFonts w:hint="eastAsia" w:ascii="宋体" w:hAnsi="宋体" w:cs="宋体"/>
          <w:b/>
          <w:color w:val="000000"/>
          <w:sz w:val="28"/>
          <w:szCs w:val="28"/>
          <w:lang w:val="en-US" w:eastAsia="zh-CN"/>
        </w:rPr>
        <w:t>响应</w:t>
      </w:r>
      <w:r>
        <w:rPr>
          <w:rFonts w:ascii="宋体" w:hAnsi="宋体" w:cs="宋体"/>
          <w:b/>
          <w:color w:val="000000"/>
          <w:sz w:val="28"/>
          <w:szCs w:val="28"/>
        </w:rPr>
        <w:t>函</w:t>
      </w:r>
      <w:bookmarkEnd w:id="326"/>
      <w:bookmarkEnd w:id="327"/>
      <w:bookmarkEnd w:id="328"/>
      <w:bookmarkEnd w:id="329"/>
      <w:bookmarkEnd w:id="330"/>
      <w:bookmarkEnd w:id="331"/>
      <w:bookmarkEnd w:id="332"/>
      <w:bookmarkEnd w:id="333"/>
      <w:bookmarkEnd w:id="334"/>
    </w:p>
    <w:p w14:paraId="5161325F">
      <w:pPr>
        <w:pStyle w:val="34"/>
        <w:spacing w:before="0" w:beforeAutospacing="0" w:after="0" w:afterAutospacing="0" w:line="360" w:lineRule="auto"/>
        <w:rPr>
          <w:rFonts w:cs="宋体"/>
          <w:color w:val="000000"/>
          <w:sz w:val="28"/>
          <w:szCs w:val="28"/>
        </w:rPr>
      </w:pPr>
      <w:r>
        <w:rPr>
          <w:rFonts w:cs="宋体"/>
          <w:color w:val="000000"/>
          <w:sz w:val="28"/>
          <w:szCs w:val="28"/>
        </w:rPr>
        <w:t>致：</w:t>
      </w:r>
      <w:r>
        <w:rPr>
          <w:rFonts w:cs="宋体"/>
          <w:color w:val="000000"/>
          <w:sz w:val="28"/>
          <w:szCs w:val="28"/>
          <w:u w:val="single"/>
        </w:rPr>
        <w:t>（采购人）</w:t>
      </w:r>
    </w:p>
    <w:p w14:paraId="6A5D6457">
      <w:pPr>
        <w:spacing w:line="360" w:lineRule="auto"/>
        <w:ind w:firstLine="560" w:firstLineChars="200"/>
        <w:rPr>
          <w:rFonts w:ascii="宋体" w:hAnsi="宋体" w:cs="宋体"/>
          <w:color w:val="000000"/>
          <w:sz w:val="28"/>
          <w:szCs w:val="28"/>
        </w:rPr>
      </w:pPr>
      <w:r>
        <w:rPr>
          <w:rFonts w:ascii="宋体" w:hAnsi="宋体" w:cs="宋体"/>
          <w:color w:val="000000"/>
          <w:sz w:val="28"/>
          <w:szCs w:val="28"/>
        </w:rPr>
        <w:t>我公司收到贵单位</w:t>
      </w:r>
      <w:r>
        <w:rPr>
          <w:rFonts w:ascii="宋体" w:hAnsi="宋体" w:cs="宋体"/>
          <w:color w:val="000000"/>
          <w:sz w:val="28"/>
          <w:szCs w:val="28"/>
          <w:u w:val="single"/>
        </w:rPr>
        <w:t xml:space="preserve">                          </w:t>
      </w:r>
      <w:r>
        <w:rPr>
          <w:rFonts w:ascii="宋体" w:hAnsi="宋体" w:cs="宋体"/>
          <w:color w:val="000000"/>
          <w:sz w:val="28"/>
          <w:szCs w:val="28"/>
        </w:rPr>
        <w:t>采购项目竞争性磋商（项目编号：</w:t>
      </w:r>
      <w:r>
        <w:rPr>
          <w:rFonts w:ascii="宋体" w:hAnsi="宋体" w:cs="宋体"/>
          <w:color w:val="000000"/>
          <w:sz w:val="28"/>
          <w:szCs w:val="28"/>
          <w:u w:val="single"/>
        </w:rPr>
        <w:t xml:space="preserve">        </w:t>
      </w:r>
      <w:r>
        <w:rPr>
          <w:rFonts w:ascii="宋体" w:hAnsi="宋体" w:cs="宋体"/>
          <w:color w:val="000000"/>
          <w:sz w:val="28"/>
          <w:szCs w:val="28"/>
        </w:rPr>
        <w:t>）的磋商文件，经详细研究，我们决定参加该项目的磋商活动。为此，我方郑重声明以下诸点，并负法律责任。</w:t>
      </w:r>
    </w:p>
    <w:p w14:paraId="52F499CD">
      <w:pPr>
        <w:spacing w:line="360" w:lineRule="auto"/>
        <w:ind w:firstLine="560" w:firstLineChars="200"/>
        <w:rPr>
          <w:rFonts w:ascii="宋体" w:hAnsi="宋体" w:cs="宋体"/>
          <w:color w:val="000000"/>
          <w:sz w:val="28"/>
          <w:szCs w:val="28"/>
        </w:rPr>
      </w:pPr>
      <w:r>
        <w:rPr>
          <w:rFonts w:ascii="宋体" w:hAnsi="宋体" w:cs="宋体"/>
          <w:color w:val="000000"/>
          <w:sz w:val="28"/>
          <w:szCs w:val="28"/>
        </w:rPr>
        <w:t>1.愿意按照磋商文件中的一切要求，提供</w:t>
      </w:r>
      <w:r>
        <w:rPr>
          <w:rFonts w:ascii="宋体" w:hAnsi="宋体" w:cs="宋体"/>
          <w:color w:val="000000"/>
          <w:sz w:val="28"/>
          <w:szCs w:val="28"/>
          <w:u w:val="single"/>
        </w:rPr>
        <w:t xml:space="preserve">               </w:t>
      </w:r>
      <w:r>
        <w:rPr>
          <w:rFonts w:ascii="宋体" w:hAnsi="宋体" w:cs="宋体"/>
          <w:color w:val="000000"/>
          <w:sz w:val="28"/>
          <w:szCs w:val="28"/>
        </w:rPr>
        <w:t>项目服务，磋商报价为：</w:t>
      </w:r>
    </w:p>
    <w:p w14:paraId="258E26CB">
      <w:pPr>
        <w:spacing w:line="360" w:lineRule="auto"/>
        <w:ind w:firstLine="560" w:firstLineChars="200"/>
        <w:rPr>
          <w:rFonts w:ascii="宋体" w:hAnsi="宋体" w:eastAsia="宋体" w:cs="宋体"/>
          <w:color w:val="000000"/>
          <w:sz w:val="28"/>
          <w:szCs w:val="28"/>
          <w:u w:val="single"/>
        </w:rPr>
      </w:pPr>
      <w:r>
        <w:rPr>
          <w:rFonts w:ascii="宋体" w:hAnsi="宋体" w:eastAsia="宋体" w:cs="宋体"/>
          <w:color w:val="000000"/>
          <w:sz w:val="28"/>
          <w:szCs w:val="28"/>
        </w:rPr>
        <w:t>小写：</w:t>
      </w:r>
      <w:r>
        <w:rPr>
          <w:rFonts w:ascii="宋体" w:hAnsi="宋体" w:eastAsia="宋体" w:cs="宋体"/>
          <w:color w:val="000000"/>
          <w:sz w:val="28"/>
          <w:szCs w:val="28"/>
          <w:u w:val="single"/>
        </w:rPr>
        <w:t xml:space="preserve">                      </w:t>
      </w:r>
    </w:p>
    <w:p w14:paraId="694A3A84">
      <w:pPr>
        <w:spacing w:line="360" w:lineRule="auto"/>
        <w:ind w:firstLine="560" w:firstLineChars="200"/>
        <w:rPr>
          <w:rFonts w:hint="default" w:eastAsia="宋体"/>
          <w:u w:val="single"/>
          <w:lang w:val="en-US" w:eastAsia="zh-CN"/>
        </w:rPr>
      </w:pPr>
      <w:r>
        <w:rPr>
          <w:rFonts w:hint="eastAsia" w:ascii="宋体" w:hAnsi="宋体" w:eastAsia="宋体" w:cs="宋体"/>
          <w:color w:val="000000"/>
          <w:sz w:val="28"/>
          <w:szCs w:val="28"/>
          <w:lang w:val="en-US" w:eastAsia="zh-CN"/>
        </w:rPr>
        <w:t>大写</w:t>
      </w:r>
      <w:r>
        <w:rPr>
          <w:rFonts w:hint="eastAsia"/>
          <w:lang w:val="en-US" w:eastAsia="zh-CN"/>
        </w:rPr>
        <w:t xml:space="preserve">： </w:t>
      </w:r>
      <w:r>
        <w:rPr>
          <w:rFonts w:hint="eastAsia"/>
          <w:u w:val="single"/>
          <w:lang w:val="en-US" w:eastAsia="zh-CN"/>
        </w:rPr>
        <w:t xml:space="preserve">                                </w:t>
      </w:r>
    </w:p>
    <w:p w14:paraId="256CD35C">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eastAsia="zh-CN"/>
        </w:rPr>
        <w:t>服务期</w:t>
      </w:r>
      <w:r>
        <w:rPr>
          <w:rFonts w:ascii="宋体" w:hAnsi="宋体" w:cs="宋体"/>
          <w:color w:val="000000"/>
          <w:sz w:val="28"/>
          <w:szCs w:val="28"/>
        </w:rPr>
        <w:t>：</w:t>
      </w:r>
      <w:r>
        <w:rPr>
          <w:rFonts w:ascii="宋体" w:hAnsi="宋体" w:cs="宋体"/>
          <w:color w:val="000000"/>
          <w:sz w:val="28"/>
          <w:szCs w:val="28"/>
          <w:u w:val="single"/>
        </w:rPr>
        <w:t xml:space="preserve">                      </w:t>
      </w:r>
    </w:p>
    <w:p w14:paraId="419CFEB6">
      <w:pPr>
        <w:spacing w:line="360" w:lineRule="auto"/>
        <w:ind w:firstLine="560" w:firstLineChars="200"/>
        <w:rPr>
          <w:rFonts w:ascii="宋体" w:hAnsi="宋体" w:cs="宋体"/>
          <w:color w:val="000000"/>
          <w:sz w:val="28"/>
          <w:szCs w:val="28"/>
        </w:rPr>
      </w:pPr>
      <w:r>
        <w:rPr>
          <w:rFonts w:ascii="宋体" w:hAnsi="宋体" w:cs="宋体"/>
          <w:color w:val="000000"/>
          <w:sz w:val="28"/>
          <w:szCs w:val="28"/>
        </w:rPr>
        <w:t>2.该报价是完成本磋商文件规定的、所需的一切费用，且不低于我单位所需服务的成本价。</w:t>
      </w:r>
    </w:p>
    <w:p w14:paraId="0034A013">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3</w:t>
      </w:r>
      <w:r>
        <w:rPr>
          <w:rFonts w:ascii="宋体" w:hAnsi="宋体" w:cs="宋体"/>
          <w:color w:val="000000"/>
          <w:sz w:val="28"/>
          <w:szCs w:val="28"/>
        </w:rPr>
        <w:t>.如果我们响应文件被接受，我们将履行磋商文件中规定的每一项要求，按期、按质、按量完成任务。</w:t>
      </w:r>
    </w:p>
    <w:p w14:paraId="2EAD26DA">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4</w:t>
      </w:r>
      <w:r>
        <w:rPr>
          <w:rFonts w:ascii="宋体" w:hAnsi="宋体" w:cs="宋体"/>
          <w:color w:val="000000"/>
          <w:sz w:val="28"/>
          <w:szCs w:val="28"/>
        </w:rPr>
        <w:t>.我们理解，最低报价不是成交的唯一条件，你们有选择供应商成交的权力。</w:t>
      </w:r>
    </w:p>
    <w:p w14:paraId="48513532">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ascii="宋体" w:hAnsi="宋体" w:eastAsia="宋体" w:cs="宋体"/>
          <w:color w:val="000000"/>
          <w:sz w:val="28"/>
          <w:szCs w:val="28"/>
        </w:rPr>
        <w:t>.我方保证以前递交的本项目相关资料和</w:t>
      </w:r>
      <w:r>
        <w:rPr>
          <w:rFonts w:hint="eastAsia" w:ascii="宋体" w:hAnsi="宋体" w:eastAsia="宋体" w:cs="宋体"/>
          <w:color w:val="000000"/>
          <w:sz w:val="28"/>
          <w:szCs w:val="28"/>
          <w:lang w:val="en-US" w:eastAsia="zh-CN"/>
        </w:rPr>
        <w:t>响应</w:t>
      </w:r>
      <w:r>
        <w:rPr>
          <w:rFonts w:ascii="宋体" w:hAnsi="宋体" w:eastAsia="宋体" w:cs="宋体"/>
          <w:color w:val="000000"/>
          <w:sz w:val="28"/>
          <w:szCs w:val="28"/>
        </w:rPr>
        <w:t>函中各种附件是真实可靠的，如有不实，我方将无条件接受采购人的处理决定，甚至自动退出投标，由此产生的一切后果均由我方负责。</w:t>
      </w:r>
    </w:p>
    <w:p w14:paraId="6E89DF55">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6</w:t>
      </w:r>
      <w:r>
        <w:rPr>
          <w:rFonts w:ascii="宋体" w:hAnsi="宋体" w:eastAsia="宋体" w:cs="宋体"/>
          <w:color w:val="000000"/>
          <w:sz w:val="28"/>
          <w:szCs w:val="28"/>
        </w:rPr>
        <w:t>.除非另外达成协议并生效，你方的成交通知书和本磋商响应文件将构成约束我们双方的合同。</w:t>
      </w:r>
    </w:p>
    <w:p w14:paraId="2757CD0F">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7</w:t>
      </w:r>
      <w:r>
        <w:rPr>
          <w:rFonts w:ascii="宋体" w:hAnsi="宋体" w:eastAsia="宋体" w:cs="宋体"/>
          <w:color w:val="000000"/>
          <w:sz w:val="28"/>
          <w:szCs w:val="28"/>
        </w:rPr>
        <w:t>.我方的磋商响应文件在磋商后  年  月  日--   年  月  日 内有效，在投标有效期内不修改或撤回磋商响应文件。</w:t>
      </w:r>
    </w:p>
    <w:p w14:paraId="1FB505D8">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8</w:t>
      </w:r>
      <w:r>
        <w:rPr>
          <w:rFonts w:ascii="宋体" w:hAnsi="宋体" w:eastAsia="宋体" w:cs="宋体"/>
          <w:color w:val="000000"/>
          <w:sz w:val="28"/>
          <w:szCs w:val="28"/>
        </w:rPr>
        <w:t>.我方理解你方及采购代理机构不另负担我们的任何投标费用，无论我方总报价中是否包括投标费用，也无论是否能够成交，均不要求你方及采购代理机构对投标费用做任何补偿。</w:t>
      </w:r>
    </w:p>
    <w:p w14:paraId="36F6C906">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9</w:t>
      </w:r>
      <w:r>
        <w:rPr>
          <w:rFonts w:ascii="宋体" w:hAnsi="宋体" w:eastAsia="宋体" w:cs="宋体"/>
          <w:color w:val="000000"/>
          <w:sz w:val="28"/>
          <w:szCs w:val="28"/>
        </w:rPr>
        <w:t>.我方理解你方及采购代理机构，我方不要求你方及采购代理机构对未成交原因做任何解释，也不退回磋商响应文件。</w:t>
      </w:r>
    </w:p>
    <w:p w14:paraId="727FDB66">
      <w:pPr>
        <w:spacing w:line="360" w:lineRule="auto"/>
        <w:ind w:firstLine="560" w:firstLineChars="200"/>
        <w:rPr>
          <w:rFonts w:ascii="宋体" w:hAnsi="宋体" w:eastAsia="宋体" w:cs="宋体"/>
          <w:color w:val="000000"/>
          <w:sz w:val="28"/>
          <w:szCs w:val="28"/>
        </w:rPr>
      </w:pPr>
      <w:r>
        <w:rPr>
          <w:rFonts w:ascii="宋体" w:hAnsi="宋体" w:eastAsia="宋体" w:cs="宋体"/>
          <w:color w:val="000000"/>
          <w:sz w:val="28"/>
          <w:szCs w:val="28"/>
        </w:rPr>
        <w:t>1</w:t>
      </w:r>
      <w:r>
        <w:rPr>
          <w:rFonts w:hint="eastAsia" w:ascii="宋体" w:hAnsi="宋体" w:eastAsia="宋体" w:cs="宋体"/>
          <w:color w:val="000000"/>
          <w:sz w:val="28"/>
          <w:szCs w:val="28"/>
          <w:lang w:val="en-US" w:eastAsia="zh-CN"/>
        </w:rPr>
        <w:t>0</w:t>
      </w:r>
      <w:r>
        <w:rPr>
          <w:rFonts w:ascii="宋体" w:hAnsi="宋体" w:eastAsia="宋体" w:cs="宋体"/>
          <w:color w:val="000000"/>
          <w:sz w:val="28"/>
          <w:szCs w:val="28"/>
        </w:rPr>
        <w:t>.我方愿按《中华人民共和国</w:t>
      </w:r>
      <w:r>
        <w:rPr>
          <w:rFonts w:hint="eastAsia" w:ascii="宋体" w:hAnsi="宋体" w:eastAsia="宋体" w:cs="宋体"/>
          <w:color w:val="000000"/>
          <w:sz w:val="28"/>
          <w:szCs w:val="28"/>
          <w:lang w:val="en-US" w:eastAsia="zh-CN"/>
        </w:rPr>
        <w:t>民法典</w:t>
      </w:r>
      <w:r>
        <w:rPr>
          <w:rFonts w:ascii="宋体" w:hAnsi="宋体" w:eastAsia="宋体" w:cs="宋体"/>
          <w:color w:val="000000"/>
          <w:sz w:val="28"/>
          <w:szCs w:val="28"/>
        </w:rPr>
        <w:t>》履行自己的全部责任。</w:t>
      </w:r>
    </w:p>
    <w:p w14:paraId="66796C11">
      <w:pPr>
        <w:pStyle w:val="34"/>
        <w:spacing w:before="0" w:beforeAutospacing="0" w:after="0" w:afterAutospacing="0" w:line="360" w:lineRule="auto"/>
        <w:ind w:firstLine="560" w:firstLineChars="200"/>
        <w:rPr>
          <w:rFonts w:cs="宋体"/>
          <w:color w:val="000000"/>
          <w:sz w:val="28"/>
          <w:szCs w:val="28"/>
        </w:rPr>
      </w:pPr>
    </w:p>
    <w:p w14:paraId="44E9497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EBD44ED">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81F108E">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4D241533">
      <w:pPr>
        <w:spacing w:line="360" w:lineRule="auto"/>
        <w:ind w:firstLine="562" w:firstLineChars="200"/>
        <w:rPr>
          <w:rFonts w:ascii="宋体" w:hAnsi="宋体" w:cs="宋体"/>
          <w:b/>
          <w:color w:val="000000"/>
          <w:sz w:val="28"/>
          <w:szCs w:val="28"/>
        </w:rPr>
      </w:pPr>
    </w:p>
    <w:p w14:paraId="5CD87497">
      <w:pPr>
        <w:tabs>
          <w:tab w:val="left" w:pos="630"/>
        </w:tabs>
        <w:jc w:val="left"/>
      </w:pPr>
    </w:p>
    <w:p w14:paraId="2377CC29">
      <w:pPr>
        <w:keepLines/>
        <w:pageBreakBefore/>
        <w:numPr>
          <w:ilvl w:val="0"/>
          <w:numId w:val="0"/>
        </w:numPr>
        <w:spacing w:line="360" w:lineRule="auto"/>
        <w:jc w:val="center"/>
        <w:outlineLvl w:val="1"/>
        <w:rPr>
          <w:rFonts w:ascii="宋体" w:hAnsi="宋体" w:cs="宋体"/>
          <w:b/>
          <w:color w:val="000000"/>
          <w:sz w:val="28"/>
          <w:szCs w:val="28"/>
        </w:rPr>
      </w:pPr>
      <w:bookmarkStart w:id="353" w:name="_Toc3816"/>
      <w:bookmarkStart w:id="354" w:name="_Toc425240482"/>
      <w:bookmarkStart w:id="355" w:name="_Toc500323111"/>
      <w:bookmarkStart w:id="356" w:name="_Toc420591668"/>
      <w:bookmarkStart w:id="357" w:name="_Toc2157"/>
      <w:bookmarkStart w:id="358" w:name="_Toc421778387"/>
      <w:bookmarkStart w:id="359" w:name="_Toc1477"/>
      <w:bookmarkStart w:id="360" w:name="_Toc25893"/>
      <w:bookmarkStart w:id="361" w:name="_Toc6270"/>
      <w:r>
        <w:rPr>
          <w:rFonts w:hint="eastAsia" w:ascii="宋体" w:hAnsi="宋体" w:cs="宋体"/>
          <w:b/>
          <w:color w:val="000000"/>
          <w:kern w:val="2"/>
          <w:sz w:val="28"/>
          <w:szCs w:val="28"/>
          <w:lang w:val="en-US" w:eastAsia="zh-CN" w:bidi="ar-SA"/>
        </w:rPr>
        <w:t>三、</w:t>
      </w:r>
      <w:r>
        <w:rPr>
          <w:rFonts w:ascii="宋体" w:hAnsi="宋体" w:cs="宋体"/>
          <w:b/>
          <w:color w:val="000000"/>
          <w:sz w:val="28"/>
          <w:szCs w:val="28"/>
        </w:rPr>
        <w:t>磋商一览表</w:t>
      </w:r>
      <w:bookmarkEnd w:id="353"/>
      <w:bookmarkEnd w:id="354"/>
      <w:bookmarkEnd w:id="355"/>
      <w:bookmarkEnd w:id="356"/>
      <w:bookmarkEnd w:id="357"/>
      <w:bookmarkEnd w:id="358"/>
      <w:r>
        <w:rPr>
          <w:rFonts w:ascii="宋体" w:hAnsi="宋体" w:cs="宋体"/>
          <w:b/>
          <w:color w:val="000000"/>
          <w:sz w:val="28"/>
          <w:szCs w:val="28"/>
        </w:rPr>
        <w:t>（首次）</w:t>
      </w:r>
      <w:bookmarkEnd w:id="359"/>
      <w:bookmarkEnd w:id="360"/>
      <w:bookmarkEnd w:id="361"/>
    </w:p>
    <w:p w14:paraId="1A1088F7">
      <w:pPr>
        <w:pStyle w:val="17"/>
        <w:widowControl w:val="0"/>
        <w:numPr>
          <w:ilvl w:val="0"/>
          <w:numId w:val="0"/>
        </w:numPr>
        <w:spacing w:beforeLines="0" w:afterLines="0"/>
        <w:jc w:val="center"/>
      </w:pPr>
    </w:p>
    <w:p w14:paraId="18AFE5D1">
      <w:pPr>
        <w:jc w:val="righ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单位：元</w:t>
      </w:r>
    </w:p>
    <w:tbl>
      <w:tblPr>
        <w:tblStyle w:val="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010"/>
        <w:gridCol w:w="3037"/>
        <w:gridCol w:w="3144"/>
      </w:tblGrid>
      <w:tr w14:paraId="4D94C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64" w:hRule="atLeast"/>
          <w:jc w:val="center"/>
        </w:trPr>
        <w:tc>
          <w:tcPr>
            <w:tcW w:w="3010" w:type="dxa"/>
            <w:tcBorders>
              <w:tl2br w:val="single" w:color="auto" w:sz="4" w:space="0"/>
            </w:tcBorders>
            <w:noWrap w:val="0"/>
            <w:vAlign w:val="center"/>
          </w:tcPr>
          <w:p w14:paraId="7DAD0D58">
            <w:pPr>
              <w:autoSpaceDE w:val="0"/>
              <w:autoSpaceDN w:val="0"/>
              <w:adjustRightInd w:val="0"/>
              <w:spacing w:line="360" w:lineRule="auto"/>
              <w:rPr>
                <w:rFonts w:ascii="宋体" w:hAnsi="宋体" w:cs="宋体"/>
                <w:color w:val="000000"/>
                <w:sz w:val="24"/>
                <w:szCs w:val="24"/>
              </w:rPr>
            </w:pPr>
            <w:r>
              <w:rPr>
                <w:rFonts w:ascii="宋体" w:hAnsi="宋体" w:cs="宋体"/>
                <w:color w:val="000000"/>
                <w:sz w:val="24"/>
                <w:szCs w:val="24"/>
              </w:rPr>
              <w:t xml:space="preserve">          磋商</w:t>
            </w:r>
            <w:r>
              <w:rPr>
                <w:rFonts w:ascii="宋体" w:hAnsi="宋体" w:cs="宋体"/>
                <w:color w:val="000000"/>
                <w:sz w:val="24"/>
                <w:szCs w:val="24"/>
                <w:lang w:val="zh-CN"/>
              </w:rPr>
              <w:t>内容</w:t>
            </w:r>
          </w:p>
          <w:p w14:paraId="46105072">
            <w:pPr>
              <w:autoSpaceDE w:val="0"/>
              <w:autoSpaceDN w:val="0"/>
              <w:adjustRightInd w:val="0"/>
              <w:spacing w:line="360" w:lineRule="auto"/>
              <w:rPr>
                <w:rFonts w:ascii="宋体" w:hAnsi="宋体" w:cs="宋体"/>
                <w:color w:val="000000"/>
                <w:sz w:val="24"/>
                <w:szCs w:val="24"/>
              </w:rPr>
            </w:pPr>
            <w:r>
              <w:rPr>
                <w:rFonts w:ascii="宋体" w:hAnsi="宋体" w:cs="宋体"/>
                <w:color w:val="000000"/>
                <w:sz w:val="24"/>
                <w:szCs w:val="24"/>
                <w:lang w:val="zh-CN"/>
              </w:rPr>
              <w:t>供应商</w:t>
            </w:r>
          </w:p>
        </w:tc>
        <w:tc>
          <w:tcPr>
            <w:tcW w:w="3037" w:type="dxa"/>
            <w:noWrap w:val="0"/>
            <w:vAlign w:val="center"/>
          </w:tcPr>
          <w:p w14:paraId="35E0BCCF">
            <w:pPr>
              <w:jc w:val="center"/>
              <w:rPr>
                <w:rFonts w:ascii="宋体" w:hAnsi="宋体" w:cs="宋体"/>
                <w:color w:val="000000"/>
                <w:sz w:val="24"/>
                <w:szCs w:val="24"/>
                <w:lang w:val="zh-CN"/>
              </w:rPr>
            </w:pPr>
          </w:p>
          <w:p w14:paraId="5BB336A8">
            <w:pPr>
              <w:jc w:val="center"/>
              <w:rPr>
                <w:rFonts w:ascii="宋体" w:hAnsi="宋体" w:cs="宋体"/>
                <w:color w:val="000000"/>
                <w:sz w:val="24"/>
                <w:szCs w:val="24"/>
                <w:lang w:val="zh-CN"/>
              </w:rPr>
            </w:pPr>
          </w:p>
          <w:p w14:paraId="234334DA">
            <w:pPr>
              <w:jc w:val="center"/>
              <w:rPr>
                <w:rFonts w:ascii="宋体" w:hAnsi="宋体" w:cs="宋体"/>
                <w:color w:val="000000"/>
                <w:sz w:val="24"/>
                <w:szCs w:val="24"/>
                <w:lang w:val="zh-CN"/>
              </w:rPr>
            </w:pPr>
            <w:r>
              <w:rPr>
                <w:rFonts w:ascii="宋体" w:hAnsi="宋体" w:cs="宋体"/>
                <w:color w:val="000000"/>
                <w:sz w:val="24"/>
                <w:szCs w:val="24"/>
                <w:lang w:val="zh-CN"/>
              </w:rPr>
              <w:t>磋商报价</w:t>
            </w:r>
            <w:r>
              <w:rPr>
                <w:rFonts w:hint="eastAsia" w:ascii="宋体" w:hAnsi="宋体" w:cs="宋体"/>
                <w:color w:val="000000"/>
                <w:sz w:val="24"/>
                <w:szCs w:val="24"/>
                <w:lang w:val="zh-CN"/>
              </w:rPr>
              <w:t>（</w:t>
            </w:r>
            <w:r>
              <w:rPr>
                <w:rFonts w:hint="eastAsia" w:ascii="宋体" w:hAnsi="宋体" w:cs="宋体"/>
                <w:color w:val="000000"/>
                <w:sz w:val="24"/>
                <w:szCs w:val="24"/>
                <w:lang w:val="en-US" w:eastAsia="zh-CN"/>
              </w:rPr>
              <w:t>小写</w:t>
            </w:r>
            <w:r>
              <w:rPr>
                <w:rFonts w:hint="eastAsia" w:ascii="宋体" w:hAnsi="宋体" w:cs="宋体"/>
                <w:color w:val="000000"/>
                <w:sz w:val="24"/>
                <w:szCs w:val="24"/>
                <w:lang w:val="zh-CN"/>
              </w:rPr>
              <w:t>）</w:t>
            </w:r>
          </w:p>
          <w:p w14:paraId="03E73110">
            <w:pPr>
              <w:autoSpaceDE w:val="0"/>
              <w:autoSpaceDN w:val="0"/>
              <w:adjustRightInd w:val="0"/>
              <w:spacing w:line="360" w:lineRule="auto"/>
              <w:jc w:val="center"/>
              <w:rPr>
                <w:rFonts w:ascii="宋体" w:hAnsi="宋体" w:cs="宋体"/>
                <w:color w:val="000000"/>
                <w:sz w:val="24"/>
                <w:szCs w:val="24"/>
                <w:lang w:val="zh-CN"/>
              </w:rPr>
            </w:pPr>
          </w:p>
        </w:tc>
        <w:tc>
          <w:tcPr>
            <w:tcW w:w="3144" w:type="dxa"/>
            <w:noWrap w:val="0"/>
            <w:vAlign w:val="center"/>
          </w:tcPr>
          <w:p w14:paraId="5006E5CB">
            <w:pPr>
              <w:autoSpaceDE w:val="0"/>
              <w:autoSpaceDN w:val="0"/>
              <w:adjustRightInd w:val="0"/>
              <w:spacing w:line="360" w:lineRule="auto"/>
              <w:jc w:val="center"/>
              <w:rPr>
                <w:rFonts w:hint="eastAsia" w:ascii="宋体" w:hAnsi="宋体" w:cs="宋体"/>
                <w:color w:val="000000"/>
                <w:sz w:val="24"/>
                <w:szCs w:val="24"/>
                <w:lang w:eastAsia="zh-CN"/>
              </w:rPr>
            </w:pPr>
          </w:p>
          <w:p w14:paraId="2A86BCD9">
            <w:pPr>
              <w:autoSpaceDE w:val="0"/>
              <w:autoSpaceDN w:val="0"/>
              <w:adjustRightInd w:val="0"/>
              <w:spacing w:line="360" w:lineRule="auto"/>
              <w:jc w:val="center"/>
              <w:rPr>
                <w:rFonts w:hint="eastAsia" w:ascii="宋体" w:hAnsi="宋体" w:cs="宋体"/>
                <w:color w:val="000000"/>
                <w:sz w:val="24"/>
                <w:szCs w:val="24"/>
                <w:lang w:eastAsia="zh-CN"/>
              </w:rPr>
            </w:pPr>
          </w:p>
          <w:p w14:paraId="650B84FB">
            <w:pPr>
              <w:autoSpaceDE w:val="0"/>
              <w:autoSpaceDN w:val="0"/>
              <w:adjustRightInd w:val="0"/>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服务期</w:t>
            </w:r>
          </w:p>
          <w:p w14:paraId="3C7B03E8">
            <w:pPr>
              <w:autoSpaceDE w:val="0"/>
              <w:autoSpaceDN w:val="0"/>
              <w:adjustRightInd w:val="0"/>
              <w:spacing w:line="360" w:lineRule="auto"/>
              <w:jc w:val="center"/>
              <w:rPr>
                <w:rFonts w:ascii="宋体" w:hAnsi="宋体" w:cs="宋体"/>
                <w:color w:val="000000"/>
                <w:sz w:val="24"/>
                <w:szCs w:val="24"/>
                <w:lang w:val="zh-CN"/>
              </w:rPr>
            </w:pPr>
          </w:p>
        </w:tc>
      </w:tr>
      <w:tr w14:paraId="47C71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58" w:hRule="atLeast"/>
          <w:jc w:val="center"/>
        </w:trPr>
        <w:tc>
          <w:tcPr>
            <w:tcW w:w="3010" w:type="dxa"/>
            <w:noWrap w:val="0"/>
            <w:vAlign w:val="center"/>
          </w:tcPr>
          <w:p w14:paraId="7398C627">
            <w:pPr>
              <w:spacing w:line="360" w:lineRule="auto"/>
              <w:jc w:val="center"/>
              <w:rPr>
                <w:rFonts w:ascii="宋体" w:hAnsi="宋体" w:cs="宋体"/>
                <w:color w:val="000000"/>
                <w:sz w:val="24"/>
                <w:szCs w:val="24"/>
              </w:rPr>
            </w:pPr>
          </w:p>
        </w:tc>
        <w:tc>
          <w:tcPr>
            <w:tcW w:w="3037" w:type="dxa"/>
            <w:noWrap w:val="0"/>
            <w:vAlign w:val="center"/>
          </w:tcPr>
          <w:p w14:paraId="381A42C7">
            <w:pPr>
              <w:autoSpaceDE w:val="0"/>
              <w:autoSpaceDN w:val="0"/>
              <w:adjustRightInd w:val="0"/>
              <w:spacing w:line="360" w:lineRule="auto"/>
              <w:jc w:val="center"/>
              <w:rPr>
                <w:rFonts w:ascii="宋体" w:hAnsi="宋体" w:cs="宋体"/>
                <w:color w:val="000000"/>
                <w:sz w:val="24"/>
                <w:szCs w:val="24"/>
              </w:rPr>
            </w:pPr>
          </w:p>
        </w:tc>
        <w:tc>
          <w:tcPr>
            <w:tcW w:w="3144" w:type="dxa"/>
            <w:noWrap w:val="0"/>
            <w:vAlign w:val="center"/>
          </w:tcPr>
          <w:p w14:paraId="3E7523B6">
            <w:pPr>
              <w:autoSpaceDE w:val="0"/>
              <w:autoSpaceDN w:val="0"/>
              <w:adjustRightInd w:val="0"/>
              <w:spacing w:line="360" w:lineRule="auto"/>
              <w:jc w:val="center"/>
              <w:rPr>
                <w:rFonts w:ascii="宋体" w:hAnsi="宋体" w:cs="宋体"/>
                <w:color w:val="000000"/>
                <w:sz w:val="24"/>
                <w:szCs w:val="24"/>
              </w:rPr>
            </w:pPr>
          </w:p>
        </w:tc>
      </w:tr>
      <w:tr w14:paraId="6ED91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12" w:hRule="atLeast"/>
          <w:jc w:val="center"/>
        </w:trPr>
        <w:tc>
          <w:tcPr>
            <w:tcW w:w="3010" w:type="dxa"/>
            <w:tcBorders>
              <w:right w:val="single" w:color="auto" w:sz="4" w:space="0"/>
            </w:tcBorders>
            <w:noWrap w:val="0"/>
            <w:vAlign w:val="center"/>
          </w:tcPr>
          <w:p w14:paraId="09AB4F09">
            <w:pPr>
              <w:autoSpaceDE w:val="0"/>
              <w:autoSpaceDN w:val="0"/>
              <w:adjustRightInd w:val="0"/>
              <w:spacing w:line="360" w:lineRule="auto"/>
              <w:ind w:left="115" w:hanging="115" w:hangingChars="48"/>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zh-CN"/>
              </w:rPr>
              <w:t>磋商报价（大写）：</w:t>
            </w:r>
          </w:p>
        </w:tc>
        <w:tc>
          <w:tcPr>
            <w:tcW w:w="6181" w:type="dxa"/>
            <w:gridSpan w:val="2"/>
            <w:tcBorders>
              <w:left w:val="single" w:color="auto" w:sz="4" w:space="0"/>
            </w:tcBorders>
            <w:noWrap w:val="0"/>
            <w:vAlign w:val="center"/>
          </w:tcPr>
          <w:p w14:paraId="12D5453B">
            <w:pPr>
              <w:autoSpaceDE w:val="0"/>
              <w:autoSpaceDN w:val="0"/>
              <w:adjustRightInd w:val="0"/>
              <w:spacing w:line="360" w:lineRule="auto"/>
              <w:rPr>
                <w:rFonts w:ascii="宋体" w:hAnsi="宋体" w:cs="宋体"/>
                <w:color w:val="000000"/>
                <w:sz w:val="24"/>
                <w:szCs w:val="24"/>
              </w:rPr>
            </w:pPr>
          </w:p>
        </w:tc>
      </w:tr>
      <w:tr w14:paraId="3AEDA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12" w:hRule="atLeast"/>
          <w:jc w:val="center"/>
        </w:trPr>
        <w:tc>
          <w:tcPr>
            <w:tcW w:w="3010" w:type="dxa"/>
            <w:tcBorders>
              <w:right w:val="single" w:color="auto" w:sz="4" w:space="0"/>
            </w:tcBorders>
            <w:noWrap w:val="0"/>
            <w:vAlign w:val="center"/>
          </w:tcPr>
          <w:p w14:paraId="2366BEA0">
            <w:pPr>
              <w:autoSpaceDE w:val="0"/>
              <w:autoSpaceDN w:val="0"/>
              <w:adjustRightInd w:val="0"/>
              <w:spacing w:line="360" w:lineRule="auto"/>
              <w:ind w:left="115" w:hanging="115" w:hangingChars="48"/>
              <w:jc w:val="center"/>
              <w:rPr>
                <w:rFonts w:ascii="宋体" w:hAnsi="宋体" w:cs="宋体"/>
                <w:color w:val="000000"/>
                <w:sz w:val="24"/>
                <w:szCs w:val="24"/>
              </w:rPr>
            </w:pPr>
            <w:r>
              <w:rPr>
                <w:rFonts w:ascii="宋体" w:hAnsi="宋体" w:cs="宋体"/>
                <w:color w:val="000000"/>
                <w:sz w:val="24"/>
                <w:szCs w:val="24"/>
                <w:lang w:val="zh-CN"/>
              </w:rPr>
              <w:t>备注：</w:t>
            </w:r>
          </w:p>
        </w:tc>
        <w:tc>
          <w:tcPr>
            <w:tcW w:w="6181" w:type="dxa"/>
            <w:gridSpan w:val="2"/>
            <w:tcBorders>
              <w:left w:val="single" w:color="auto" w:sz="4" w:space="0"/>
            </w:tcBorders>
            <w:noWrap w:val="0"/>
            <w:vAlign w:val="center"/>
          </w:tcPr>
          <w:p w14:paraId="59920AE3">
            <w:pPr>
              <w:autoSpaceDE w:val="0"/>
              <w:autoSpaceDN w:val="0"/>
              <w:adjustRightInd w:val="0"/>
              <w:spacing w:line="360" w:lineRule="auto"/>
              <w:rPr>
                <w:rFonts w:ascii="宋体" w:hAnsi="宋体" w:cs="宋体"/>
                <w:color w:val="000000"/>
                <w:sz w:val="24"/>
                <w:szCs w:val="24"/>
              </w:rPr>
            </w:pPr>
          </w:p>
        </w:tc>
      </w:tr>
    </w:tbl>
    <w:p w14:paraId="23422398">
      <w:pPr>
        <w:spacing w:line="360" w:lineRule="auto"/>
        <w:rPr>
          <w:rFonts w:ascii="宋体" w:hAnsi="宋体" w:cs="宋体"/>
          <w:color w:val="000000"/>
          <w:sz w:val="28"/>
          <w:szCs w:val="28"/>
        </w:rPr>
      </w:pPr>
    </w:p>
    <w:p w14:paraId="1C208F95">
      <w:pPr>
        <w:spacing w:line="360" w:lineRule="auto"/>
        <w:ind w:firstLine="5180" w:firstLineChars="1850"/>
        <w:jc w:val="left"/>
        <w:rPr>
          <w:rFonts w:ascii="宋体" w:hAnsi="宋体" w:cs="宋体"/>
          <w:color w:val="000000"/>
          <w:sz w:val="28"/>
          <w:szCs w:val="28"/>
        </w:rPr>
      </w:pPr>
    </w:p>
    <w:p w14:paraId="64489021">
      <w:pPr>
        <w:pStyle w:val="17"/>
      </w:pPr>
    </w:p>
    <w:p w14:paraId="6A55C665">
      <w:pPr>
        <w:pStyle w:val="17"/>
        <w:spacing w:line="360" w:lineRule="auto"/>
        <w:rPr>
          <w:rFonts w:hint="eastAsia" w:ascii="宋体" w:hAnsi="宋体" w:cs="宋体"/>
          <w:sz w:val="28"/>
          <w:szCs w:val="28"/>
        </w:rPr>
      </w:pPr>
    </w:p>
    <w:p w14:paraId="7C06E968">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bookmarkStart w:id="362" w:name="_Toc421778388"/>
      <w:bookmarkStart w:id="363" w:name="_Toc8191"/>
      <w:bookmarkStart w:id="364" w:name="_Toc29180"/>
      <w:bookmarkStart w:id="365" w:name="_Toc500323112"/>
      <w:bookmarkStart w:id="366" w:name="_Toc420591669"/>
      <w:bookmarkStart w:id="367" w:name="_Toc221"/>
      <w:bookmarkStart w:id="368" w:name="_Toc25984"/>
      <w:bookmarkStart w:id="369" w:name="_Toc425240483"/>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5D2C5817">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06316ACA">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16048F3F">
      <w:pPr>
        <w:spacing w:line="360" w:lineRule="auto"/>
        <w:ind w:firstLine="562" w:firstLineChars="200"/>
        <w:rPr>
          <w:rFonts w:hint="eastAsia" w:ascii="宋体" w:hAnsi="宋体" w:eastAsia="宋体" w:cs="宋体"/>
          <w:b/>
          <w:color w:val="000000"/>
          <w:sz w:val="28"/>
          <w:szCs w:val="28"/>
          <w:lang w:val="en-US" w:eastAsia="zh-CN"/>
        </w:rPr>
      </w:pPr>
    </w:p>
    <w:p w14:paraId="22BAD2F1">
      <w:pPr>
        <w:pStyle w:val="6"/>
        <w:ind w:firstLine="562" w:firstLineChars="200"/>
        <w:jc w:val="center"/>
        <w:rPr>
          <w:rFonts w:hint="eastAsia" w:ascii="宋体" w:hAnsi="宋体" w:cs="宋体"/>
          <w:b/>
          <w:color w:val="000000"/>
          <w:sz w:val="28"/>
          <w:szCs w:val="28"/>
          <w:lang w:val="en-US" w:eastAsia="zh-CN"/>
        </w:rPr>
      </w:pPr>
    </w:p>
    <w:p w14:paraId="0BA1AD25">
      <w:pPr>
        <w:bidi w:val="0"/>
        <w:rPr>
          <w:rFonts w:hint="eastAsia"/>
          <w:lang w:val="en-US" w:eastAsia="zh-CN"/>
        </w:rPr>
      </w:pPr>
    </w:p>
    <w:p w14:paraId="4FC327DA">
      <w:pPr>
        <w:keepLines/>
        <w:pageBreakBefore/>
        <w:numPr>
          <w:ilvl w:val="0"/>
          <w:numId w:val="0"/>
        </w:numPr>
        <w:spacing w:line="360" w:lineRule="auto"/>
        <w:ind w:left="0" w:leftChars="0" w:firstLine="0" w:firstLineChars="0"/>
        <w:jc w:val="center"/>
        <w:outlineLvl w:val="1"/>
        <w:rPr>
          <w:rFonts w:hint="eastAsia" w:ascii="宋体" w:hAnsi="宋体" w:eastAsia="宋体" w:cs="宋体"/>
          <w:b/>
          <w:color w:val="000000"/>
          <w:kern w:val="2"/>
          <w:sz w:val="28"/>
          <w:szCs w:val="28"/>
          <w:lang w:val="en-US" w:eastAsia="zh-CN" w:bidi="ar-SA"/>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bookmarkStart w:id="370" w:name="_Toc18896"/>
    </w:p>
    <w:p w14:paraId="0EB54165">
      <w:pPr>
        <w:keepLines/>
        <w:pageBreakBefore/>
        <w:numPr>
          <w:ilvl w:val="0"/>
          <w:numId w:val="0"/>
        </w:numPr>
        <w:spacing w:line="360" w:lineRule="auto"/>
        <w:ind w:left="0" w:leftChars="0" w:firstLine="0" w:firstLineChars="0"/>
        <w:jc w:val="center"/>
        <w:outlineLvl w:val="1"/>
        <w:rPr>
          <w:rFonts w:ascii="宋体" w:hAnsi="宋体" w:eastAsia="宋体" w:cs="宋体"/>
          <w:b/>
          <w:color w:val="000000"/>
          <w:sz w:val="28"/>
          <w:szCs w:val="28"/>
        </w:rPr>
      </w:pPr>
      <w:r>
        <w:rPr>
          <w:rFonts w:hint="eastAsia" w:ascii="宋体" w:hAnsi="宋体" w:eastAsia="宋体" w:cs="宋体"/>
          <w:b/>
          <w:color w:val="000000"/>
          <w:kern w:val="2"/>
          <w:sz w:val="28"/>
          <w:szCs w:val="28"/>
          <w:lang w:val="en-US" w:eastAsia="zh-CN" w:bidi="ar-SA"/>
        </w:rPr>
        <w:t>四、</w:t>
      </w:r>
      <w:r>
        <w:rPr>
          <w:rFonts w:ascii="宋体" w:hAnsi="宋体" w:eastAsia="宋体" w:cs="宋体"/>
          <w:b/>
          <w:color w:val="000000"/>
          <w:sz w:val="28"/>
          <w:szCs w:val="28"/>
        </w:rPr>
        <w:t>陕西省政府采购供应商拒绝政府采购领域商业贿赂承诺书</w:t>
      </w:r>
      <w:bookmarkEnd w:id="370"/>
    </w:p>
    <w:p w14:paraId="44527D63">
      <w:pPr>
        <w:widowControl/>
        <w:spacing w:line="360" w:lineRule="auto"/>
        <w:ind w:firstLine="560" w:firstLineChars="200"/>
        <w:rPr>
          <w:rFonts w:ascii="宋体" w:hAnsi="宋体" w:cs="宋体"/>
          <w:color w:val="000000"/>
          <w:kern w:val="0"/>
          <w:sz w:val="28"/>
          <w:szCs w:val="28"/>
        </w:rPr>
      </w:pPr>
    </w:p>
    <w:p w14:paraId="3825CBD4">
      <w:pPr>
        <w:widowControl/>
        <w:spacing w:line="360" w:lineRule="auto"/>
        <w:ind w:firstLine="560" w:firstLineChars="200"/>
        <w:rPr>
          <w:rFonts w:ascii="宋体" w:hAnsi="宋体" w:cs="宋体"/>
          <w:color w:val="000000"/>
          <w:kern w:val="0"/>
          <w:sz w:val="28"/>
          <w:szCs w:val="28"/>
        </w:rPr>
      </w:pPr>
      <w:r>
        <w:rPr>
          <w:rFonts w:ascii="宋体" w:hAnsi="宋体" w:cs="宋体"/>
          <w:color w:val="000000"/>
          <w:kern w:val="0"/>
          <w:sz w:val="28"/>
          <w:szCs w:val="28"/>
        </w:rPr>
        <w:t>为响应党中央、国务院关于治理政府采购领域商业贿赂行为的号召，我公司在此庄严承诺：</w:t>
      </w:r>
      <w:r>
        <w:rPr>
          <w:rFonts w:ascii="宋体" w:hAnsi="宋体" w:cs="宋体"/>
          <w:color w:val="000000"/>
          <w:kern w:val="0"/>
          <w:sz w:val="28"/>
          <w:szCs w:val="28"/>
        </w:rPr>
        <w:br w:type="textWrapping"/>
      </w:r>
      <w:r>
        <w:rPr>
          <w:rFonts w:ascii="宋体" w:hAnsi="宋体" w:cs="宋体"/>
          <w:color w:val="000000"/>
          <w:kern w:val="0"/>
          <w:sz w:val="28"/>
          <w:szCs w:val="28"/>
        </w:rPr>
        <w:t xml:space="preserve">    1.在参与政府采购活动中遵纪守法、诚信经营、公平竞标。</w:t>
      </w:r>
      <w:r>
        <w:rPr>
          <w:rFonts w:ascii="宋体" w:hAnsi="宋体" w:cs="宋体"/>
          <w:color w:val="000000"/>
          <w:kern w:val="0"/>
          <w:sz w:val="28"/>
          <w:szCs w:val="28"/>
        </w:rPr>
        <w:br w:type="textWrapping"/>
      </w:r>
      <w:r>
        <w:rPr>
          <w:rFonts w:ascii="宋体" w:hAnsi="宋体" w:cs="宋体"/>
          <w:color w:val="000000"/>
          <w:kern w:val="0"/>
          <w:sz w:val="28"/>
          <w:szCs w:val="28"/>
        </w:rPr>
        <w:t xml:space="preserve">    2.不向政府采购人、采购代理机构和政府采购评审专家进行任何形式的商业贿赂以谋取交易机会。</w:t>
      </w:r>
      <w:r>
        <w:rPr>
          <w:rFonts w:ascii="宋体" w:hAnsi="宋体" w:cs="宋体"/>
          <w:color w:val="000000"/>
          <w:kern w:val="0"/>
          <w:sz w:val="28"/>
          <w:szCs w:val="28"/>
        </w:rPr>
        <w:br w:type="textWrapping"/>
      </w:r>
      <w:r>
        <w:rPr>
          <w:rFonts w:ascii="宋体" w:hAnsi="宋体" w:cs="宋体"/>
          <w:color w:val="000000"/>
          <w:kern w:val="0"/>
          <w:sz w:val="28"/>
          <w:szCs w:val="28"/>
        </w:rPr>
        <w:t xml:space="preserve">    3.不向政府采购代理机构和采购人提供虚假资质文件或采用虚假应标方式参与政府采购市场竞争并谋取中标、成交。</w:t>
      </w:r>
      <w:r>
        <w:rPr>
          <w:rFonts w:ascii="宋体" w:hAnsi="宋体" w:cs="宋体"/>
          <w:color w:val="000000"/>
          <w:kern w:val="0"/>
          <w:sz w:val="28"/>
          <w:szCs w:val="28"/>
        </w:rPr>
        <w:br w:type="textWrapping"/>
      </w:r>
      <w:r>
        <w:rPr>
          <w:rFonts w:ascii="宋体" w:hAnsi="宋体" w:cs="宋体"/>
          <w:color w:val="000000"/>
          <w:kern w:val="0"/>
          <w:sz w:val="28"/>
          <w:szCs w:val="28"/>
        </w:rPr>
        <w:t xml:space="preserve">    4.不采取“围标、陪标”等商业欺诈手段获得政府采购定单。</w:t>
      </w:r>
      <w:r>
        <w:rPr>
          <w:rFonts w:ascii="宋体" w:hAnsi="宋体" w:cs="宋体"/>
          <w:color w:val="000000"/>
          <w:kern w:val="0"/>
          <w:sz w:val="28"/>
          <w:szCs w:val="28"/>
        </w:rPr>
        <w:br w:type="textWrapping"/>
      </w:r>
      <w:r>
        <w:rPr>
          <w:rFonts w:ascii="宋体" w:hAnsi="宋体" w:cs="宋体"/>
          <w:color w:val="000000"/>
          <w:kern w:val="0"/>
          <w:sz w:val="28"/>
          <w:szCs w:val="28"/>
        </w:rPr>
        <w:t xml:space="preserve">    5.不采取不正当手段诋毁、排挤其他供应商。</w:t>
      </w:r>
      <w:r>
        <w:rPr>
          <w:rFonts w:ascii="宋体" w:hAnsi="宋体" w:cs="宋体"/>
          <w:color w:val="000000"/>
          <w:kern w:val="0"/>
          <w:sz w:val="28"/>
          <w:szCs w:val="28"/>
        </w:rPr>
        <w:br w:type="textWrapping"/>
      </w:r>
      <w:r>
        <w:rPr>
          <w:rFonts w:ascii="宋体" w:hAnsi="宋体" w:cs="宋体"/>
          <w:color w:val="000000"/>
          <w:kern w:val="0"/>
          <w:sz w:val="28"/>
          <w:szCs w:val="28"/>
        </w:rPr>
        <w:t xml:space="preserve">    6.不在提供商品和服务时“偷梁换柱、以次充好”损害采购人的合法权益。</w:t>
      </w:r>
      <w:r>
        <w:rPr>
          <w:rFonts w:ascii="宋体" w:hAnsi="宋体" w:cs="宋体"/>
          <w:color w:val="000000"/>
          <w:kern w:val="0"/>
          <w:sz w:val="28"/>
          <w:szCs w:val="28"/>
        </w:rPr>
        <w:br w:type="textWrapping"/>
      </w:r>
      <w:r>
        <w:rPr>
          <w:rFonts w:ascii="宋体" w:hAnsi="宋体" w:cs="宋体"/>
          <w:color w:val="000000"/>
          <w:kern w:val="0"/>
          <w:sz w:val="28"/>
          <w:szCs w:val="28"/>
        </w:rPr>
        <w:t xml:space="preserve">    7.不与采购人、采购代理机构政府采购评审专家或其它供应商恶意串通，进行质疑和投诉，维护政府采购市场秩序。</w:t>
      </w:r>
      <w:r>
        <w:rPr>
          <w:rFonts w:ascii="宋体" w:hAnsi="宋体" w:cs="宋体"/>
          <w:color w:val="000000"/>
          <w:kern w:val="0"/>
          <w:sz w:val="28"/>
          <w:szCs w:val="28"/>
        </w:rPr>
        <w:br w:type="textWrapping"/>
      </w:r>
      <w:r>
        <w:rPr>
          <w:rFonts w:ascii="宋体" w:hAnsi="宋体" w:cs="宋体"/>
          <w:color w:val="000000"/>
          <w:kern w:val="0"/>
          <w:sz w:val="28"/>
          <w:szCs w:val="28"/>
        </w:rPr>
        <w:t xml:space="preserve">    8.尊重和接受政府采购监督管理部门的监督和政府采购招标采购要求，承担因违约行为给采购人造成的损失。</w:t>
      </w:r>
      <w:r>
        <w:rPr>
          <w:rFonts w:ascii="宋体" w:hAnsi="宋体" w:cs="宋体"/>
          <w:color w:val="000000"/>
          <w:kern w:val="0"/>
          <w:sz w:val="28"/>
          <w:szCs w:val="28"/>
        </w:rPr>
        <w:br w:type="textWrapping"/>
      </w:r>
      <w:r>
        <w:rPr>
          <w:rFonts w:ascii="宋体" w:hAnsi="宋体" w:cs="宋体"/>
          <w:color w:val="000000"/>
          <w:kern w:val="0"/>
          <w:sz w:val="28"/>
          <w:szCs w:val="28"/>
        </w:rPr>
        <w:t xml:space="preserve">    9.不发生其他有悖于政府采购公开、公平、公正和诚信原则的行为。</w:t>
      </w:r>
      <w:r>
        <w:rPr>
          <w:rFonts w:ascii="宋体" w:hAnsi="宋体" w:cs="宋体"/>
          <w:color w:val="000000"/>
          <w:kern w:val="0"/>
          <w:sz w:val="28"/>
          <w:szCs w:val="28"/>
        </w:rPr>
        <w:br w:type="textWrapping"/>
      </w:r>
      <w:r>
        <w:rPr>
          <w:rFonts w:ascii="宋体" w:hAnsi="宋体" w:cs="宋体"/>
          <w:color w:val="000000"/>
          <w:kern w:val="0"/>
          <w:sz w:val="28"/>
          <w:szCs w:val="28"/>
        </w:rPr>
        <w:t xml:space="preserve">    地  址：                        </w:t>
      </w:r>
    </w:p>
    <w:p w14:paraId="060080C0">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rPr>
          <w:rFonts w:hint="eastAsia"/>
          <w:b/>
          <w:bCs/>
          <w:color w:val="000000"/>
        </w:rPr>
      </w:pPr>
      <w:r>
        <w:rPr>
          <w:rFonts w:ascii="宋体" w:hAnsi="宋体" w:cs="宋体"/>
          <w:color w:val="000000"/>
          <w:kern w:val="0"/>
          <w:sz w:val="28"/>
          <w:szCs w:val="28"/>
        </w:rPr>
        <w:t>邮  编：</w:t>
      </w:r>
      <w:r>
        <w:rPr>
          <w:rFonts w:ascii="宋体" w:hAnsi="宋体" w:cs="宋体"/>
          <w:color w:val="000000"/>
          <w:kern w:val="0"/>
          <w:sz w:val="28"/>
          <w:szCs w:val="28"/>
        </w:rPr>
        <w:br w:type="textWrapping"/>
      </w:r>
      <w:r>
        <w:rPr>
          <w:rFonts w:ascii="宋体" w:hAnsi="宋体" w:cs="宋体"/>
          <w:color w:val="000000"/>
          <w:kern w:val="0"/>
          <w:sz w:val="28"/>
          <w:szCs w:val="28"/>
        </w:rPr>
        <w:t xml:space="preserve">    电  话：                        </w:t>
      </w:r>
      <w:r>
        <w:rPr>
          <w:rFonts w:ascii="宋体" w:hAnsi="宋体" w:cs="宋体"/>
          <w:color w:val="000000"/>
          <w:kern w:val="0"/>
          <w:sz w:val="28"/>
          <w:szCs w:val="28"/>
        </w:rPr>
        <w:br w:type="textWrapping"/>
      </w:r>
      <w:r>
        <w:rPr>
          <w:rFonts w:ascii="宋体" w:hAnsi="宋体" w:cs="宋体"/>
          <w:b/>
          <w:color w:val="000000"/>
          <w:sz w:val="28"/>
          <w:szCs w:val="28"/>
        </w:rPr>
        <w:t xml:space="preserve">    </w:t>
      </w: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4C2790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AB4993E">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18D0AAA3">
      <w:pPr>
        <w:adjustRightInd w:val="0"/>
        <w:snapToGrid w:val="0"/>
        <w:spacing w:line="360" w:lineRule="auto"/>
        <w:ind w:firstLine="562" w:firstLineChars="200"/>
        <w:jc w:val="both"/>
        <w:rPr>
          <w:rFonts w:ascii="宋体" w:hAnsi="宋体" w:cs="宋体"/>
          <w:b/>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70CDD9E5">
      <w:pPr>
        <w:keepLines/>
        <w:pageBreakBefore/>
        <w:numPr>
          <w:ilvl w:val="0"/>
          <w:numId w:val="0"/>
        </w:numPr>
        <w:spacing w:line="360" w:lineRule="auto"/>
        <w:jc w:val="center"/>
        <w:outlineLvl w:val="1"/>
        <w:rPr>
          <w:rFonts w:ascii="宋体" w:hAnsi="宋体" w:cs="宋体"/>
          <w:b/>
          <w:color w:val="000000"/>
          <w:sz w:val="28"/>
          <w:szCs w:val="28"/>
        </w:rPr>
      </w:pPr>
      <w:bookmarkStart w:id="371" w:name="_Toc500323115"/>
      <w:bookmarkStart w:id="372" w:name="_Toc3574"/>
      <w:bookmarkStart w:id="373" w:name="_Toc16310"/>
      <w:bookmarkStart w:id="374" w:name="_Toc16976"/>
      <w:bookmarkStart w:id="375" w:name="_Toc22266"/>
      <w:r>
        <w:rPr>
          <w:rFonts w:hint="eastAsia" w:ascii="宋体" w:hAnsi="宋体" w:cs="宋体"/>
          <w:b/>
          <w:color w:val="000000"/>
          <w:sz w:val="28"/>
          <w:szCs w:val="28"/>
          <w:lang w:val="en-US" w:eastAsia="zh-CN"/>
        </w:rPr>
        <w:t>五、</w:t>
      </w:r>
      <w:r>
        <w:rPr>
          <w:rFonts w:ascii="宋体" w:hAnsi="宋体" w:cs="宋体"/>
          <w:b/>
          <w:color w:val="000000"/>
          <w:sz w:val="28"/>
          <w:szCs w:val="28"/>
        </w:rPr>
        <w:t>技术</w:t>
      </w:r>
      <w:bookmarkEnd w:id="371"/>
      <w:bookmarkEnd w:id="372"/>
      <w:bookmarkEnd w:id="373"/>
      <w:r>
        <w:rPr>
          <w:rFonts w:ascii="宋体" w:hAnsi="宋体" w:cs="宋体"/>
          <w:b/>
          <w:color w:val="000000"/>
          <w:sz w:val="28"/>
          <w:szCs w:val="28"/>
        </w:rPr>
        <w:t>部分</w:t>
      </w:r>
      <w:bookmarkEnd w:id="374"/>
      <w:bookmarkEnd w:id="375"/>
    </w:p>
    <w:p w14:paraId="28FBA126">
      <w:pPr>
        <w:pStyle w:val="16"/>
      </w:pPr>
    </w:p>
    <w:p w14:paraId="370EF6B6">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按照磋商文件的</w:t>
      </w:r>
      <w:r>
        <w:rPr>
          <w:rFonts w:hint="eastAsia" w:ascii="宋体" w:hAnsi="宋体" w:eastAsia="宋体" w:cs="宋体"/>
          <w:color w:val="000000"/>
          <w:sz w:val="28"/>
          <w:szCs w:val="28"/>
          <w:lang w:val="en-US" w:eastAsia="zh-CN"/>
        </w:rPr>
        <w:t>技术</w:t>
      </w:r>
      <w:r>
        <w:rPr>
          <w:rFonts w:hint="eastAsia" w:ascii="宋体" w:hAnsi="宋体" w:eastAsia="宋体" w:cs="宋体"/>
          <w:color w:val="000000"/>
          <w:sz w:val="28"/>
          <w:szCs w:val="28"/>
          <w:lang w:eastAsia="zh-CN"/>
        </w:rPr>
        <w:t xml:space="preserve">部分编制，但内容至少应包括如下：   </w:t>
      </w:r>
    </w:p>
    <w:p w14:paraId="2C2FDE44">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1.服务方案；</w:t>
      </w:r>
    </w:p>
    <w:p w14:paraId="1612A510">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2.质量保障；</w:t>
      </w:r>
    </w:p>
    <w:p w14:paraId="0121733F">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3.保密措施；</w:t>
      </w:r>
    </w:p>
    <w:p w14:paraId="65DD6758">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4.安全、文明措施；</w:t>
      </w:r>
    </w:p>
    <w:p w14:paraId="158FDF3D">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 xml:space="preserve">5.项目团队。  </w:t>
      </w:r>
    </w:p>
    <w:p w14:paraId="0FFA9289">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default" w:ascii="宋体" w:hAnsi="宋体" w:eastAsia="宋体" w:cs="宋体"/>
          <w:b w:val="0"/>
          <w:bCs w:val="0"/>
          <w:color w:val="000000"/>
          <w:sz w:val="28"/>
          <w:szCs w:val="28"/>
          <w:lang w:val="en-US" w:eastAsia="zh-CN"/>
        </w:rPr>
      </w:pPr>
    </w:p>
    <w:p w14:paraId="2DDFD032">
      <w:pPr>
        <w:keepNext w:val="0"/>
        <w:keepLines w:val="0"/>
        <w:pageBreakBefore w:val="0"/>
        <w:widowControl w:val="0"/>
        <w:kinsoku/>
        <w:wordWrap/>
        <w:overflowPunct/>
        <w:topLinePunct w:val="0"/>
        <w:autoSpaceDE/>
        <w:autoSpaceDN/>
        <w:bidi w:val="0"/>
        <w:adjustRightInd/>
        <w:snapToGrid/>
        <w:spacing w:line="700" w:lineRule="exact"/>
        <w:ind w:firstLine="551" w:firstLineChars="196"/>
        <w:textAlignment w:val="auto"/>
      </w:pPr>
      <w:r>
        <w:rPr>
          <w:rFonts w:hint="eastAsia" w:ascii="宋体" w:hAnsi="宋体" w:eastAsia="宋体" w:cs="宋体"/>
          <w:b/>
          <w:bCs/>
          <w:color w:val="000000"/>
          <w:sz w:val="28"/>
          <w:szCs w:val="28"/>
        </w:rPr>
        <w:t>注：磋商方案无固定格式，供应商自拟（参照评标办法中</w:t>
      </w:r>
      <w:r>
        <w:rPr>
          <w:rFonts w:hint="eastAsia" w:ascii="宋体" w:hAnsi="宋体" w:eastAsia="宋体" w:cs="宋体"/>
          <w:b/>
          <w:bCs/>
          <w:color w:val="000000"/>
          <w:sz w:val="28"/>
          <w:szCs w:val="28"/>
          <w:lang w:val="en-US" w:eastAsia="zh-CN"/>
        </w:rPr>
        <w:t>技术部分</w:t>
      </w:r>
      <w:r>
        <w:rPr>
          <w:rFonts w:hint="eastAsia" w:ascii="宋体" w:hAnsi="宋体" w:eastAsia="宋体" w:cs="宋体"/>
          <w:b/>
          <w:bCs/>
          <w:color w:val="000000"/>
          <w:sz w:val="28"/>
          <w:szCs w:val="28"/>
        </w:rPr>
        <w:t>）。</w:t>
      </w:r>
    </w:p>
    <w:p w14:paraId="6CE9D590">
      <w:pPr>
        <w:kinsoku w:val="0"/>
        <w:spacing w:line="360" w:lineRule="auto"/>
        <w:ind w:firstLine="560" w:firstLineChars="200"/>
        <w:rPr>
          <w:rFonts w:ascii="宋体" w:hAnsi="宋体" w:cs="宋体"/>
          <w:color w:val="000000"/>
          <w:sz w:val="28"/>
          <w:szCs w:val="28"/>
        </w:rPr>
      </w:pPr>
    </w:p>
    <w:p w14:paraId="53F27B17">
      <w:pPr>
        <w:kinsoku w:val="0"/>
        <w:spacing w:line="360" w:lineRule="auto"/>
        <w:ind w:firstLine="560" w:firstLineChars="200"/>
        <w:rPr>
          <w:rFonts w:ascii="宋体" w:hAnsi="宋体" w:cs="宋体"/>
          <w:color w:val="000000"/>
          <w:sz w:val="28"/>
          <w:szCs w:val="28"/>
        </w:rPr>
      </w:pPr>
    </w:p>
    <w:p w14:paraId="76E10EB0">
      <w:pPr>
        <w:kinsoku w:val="0"/>
        <w:spacing w:line="360" w:lineRule="auto"/>
        <w:ind w:firstLine="560" w:firstLineChars="200"/>
        <w:rPr>
          <w:rFonts w:ascii="宋体" w:hAnsi="宋体" w:cs="宋体"/>
          <w:color w:val="000000"/>
          <w:sz w:val="28"/>
          <w:szCs w:val="28"/>
        </w:rPr>
      </w:pPr>
    </w:p>
    <w:p w14:paraId="31C8E753">
      <w:pPr>
        <w:kinsoku w:val="0"/>
        <w:spacing w:line="360" w:lineRule="auto"/>
        <w:ind w:firstLine="560" w:firstLineChars="200"/>
        <w:rPr>
          <w:rFonts w:ascii="宋体" w:hAnsi="宋体" w:cs="宋体"/>
          <w:color w:val="000000"/>
          <w:sz w:val="28"/>
          <w:szCs w:val="28"/>
        </w:rPr>
      </w:pPr>
    </w:p>
    <w:p w14:paraId="553A1629">
      <w:pPr>
        <w:pStyle w:val="18"/>
        <w:ind w:left="1470" w:right="1470"/>
        <w:rPr>
          <w:rFonts w:ascii="宋体" w:hAnsi="宋体" w:cs="宋体"/>
          <w:color w:val="000000"/>
          <w:sz w:val="28"/>
          <w:szCs w:val="28"/>
        </w:rPr>
      </w:pPr>
    </w:p>
    <w:p w14:paraId="0A1203CA">
      <w:pPr>
        <w:pStyle w:val="18"/>
        <w:ind w:left="1470" w:right="1470"/>
        <w:rPr>
          <w:rFonts w:ascii="宋体" w:hAnsi="宋体" w:cs="宋体"/>
          <w:color w:val="000000"/>
          <w:sz w:val="28"/>
          <w:szCs w:val="28"/>
        </w:rPr>
      </w:pPr>
    </w:p>
    <w:p w14:paraId="35C0E3F5">
      <w:pPr>
        <w:pStyle w:val="18"/>
        <w:ind w:left="1470" w:right="1470"/>
        <w:rPr>
          <w:rFonts w:ascii="宋体" w:hAnsi="宋体" w:cs="宋体"/>
          <w:color w:val="000000"/>
          <w:sz w:val="28"/>
          <w:szCs w:val="28"/>
        </w:rPr>
      </w:pPr>
    </w:p>
    <w:p w14:paraId="12DC9588">
      <w:pPr>
        <w:pStyle w:val="18"/>
        <w:ind w:left="1470" w:right="1470"/>
        <w:rPr>
          <w:rFonts w:ascii="宋体" w:hAnsi="宋体" w:cs="宋体"/>
          <w:color w:val="000000"/>
          <w:sz w:val="28"/>
          <w:szCs w:val="28"/>
        </w:rPr>
      </w:pPr>
    </w:p>
    <w:p w14:paraId="1D2FE873">
      <w:pPr>
        <w:pStyle w:val="18"/>
        <w:ind w:left="1470" w:right="1470"/>
        <w:rPr>
          <w:rFonts w:ascii="宋体" w:hAnsi="宋体" w:cs="宋体"/>
          <w:color w:val="000000"/>
          <w:sz w:val="28"/>
          <w:szCs w:val="28"/>
        </w:rPr>
      </w:pPr>
    </w:p>
    <w:p w14:paraId="32829170">
      <w:pPr>
        <w:pStyle w:val="18"/>
        <w:ind w:left="1470" w:right="1470"/>
        <w:rPr>
          <w:rFonts w:ascii="宋体" w:hAnsi="宋体" w:cs="宋体"/>
          <w:color w:val="000000"/>
          <w:sz w:val="28"/>
          <w:szCs w:val="28"/>
        </w:rPr>
      </w:pPr>
    </w:p>
    <w:p w14:paraId="63E3A207">
      <w:pPr>
        <w:pStyle w:val="18"/>
        <w:ind w:left="1470" w:right="1470"/>
        <w:rPr>
          <w:rFonts w:ascii="宋体" w:hAnsi="宋体" w:cs="宋体"/>
          <w:color w:val="000000"/>
          <w:sz w:val="28"/>
          <w:szCs w:val="28"/>
        </w:rPr>
      </w:pPr>
    </w:p>
    <w:p w14:paraId="63F7B55B">
      <w:pPr>
        <w:pStyle w:val="18"/>
        <w:ind w:left="1470" w:right="1470"/>
        <w:rPr>
          <w:rFonts w:ascii="宋体" w:hAnsi="宋体" w:cs="宋体"/>
          <w:color w:val="000000"/>
          <w:sz w:val="28"/>
          <w:szCs w:val="28"/>
        </w:rPr>
      </w:pPr>
    </w:p>
    <w:p w14:paraId="7F805FB9">
      <w:pPr>
        <w:pStyle w:val="18"/>
        <w:ind w:left="1470" w:right="1470"/>
        <w:rPr>
          <w:rFonts w:ascii="宋体" w:hAnsi="宋体" w:cs="宋体"/>
          <w:color w:val="000000"/>
          <w:sz w:val="28"/>
          <w:szCs w:val="28"/>
        </w:rPr>
      </w:pPr>
    </w:p>
    <w:p w14:paraId="3130788F">
      <w:pPr>
        <w:pStyle w:val="18"/>
        <w:ind w:left="1470" w:right="1470"/>
        <w:rPr>
          <w:rFonts w:ascii="宋体" w:hAnsi="宋体" w:cs="宋体"/>
          <w:color w:val="000000"/>
          <w:sz w:val="28"/>
          <w:szCs w:val="28"/>
        </w:rPr>
      </w:pPr>
    </w:p>
    <w:p w14:paraId="610E225D">
      <w:pPr>
        <w:pStyle w:val="18"/>
        <w:ind w:left="1470" w:right="1470"/>
        <w:rPr>
          <w:rFonts w:ascii="宋体" w:hAnsi="宋体" w:cs="宋体"/>
          <w:color w:val="000000"/>
          <w:sz w:val="28"/>
          <w:szCs w:val="28"/>
        </w:rPr>
      </w:pPr>
    </w:p>
    <w:p w14:paraId="69404B60">
      <w:pPr>
        <w:pStyle w:val="18"/>
        <w:ind w:left="0" w:leftChars="0" w:right="1470"/>
        <w:rPr>
          <w:rFonts w:ascii="宋体" w:hAnsi="宋体" w:cs="宋体"/>
          <w:color w:val="000000"/>
          <w:sz w:val="28"/>
          <w:szCs w:val="28"/>
        </w:rPr>
      </w:pPr>
    </w:p>
    <w:p w14:paraId="68C5D890">
      <w:pPr>
        <w:keepLines/>
        <w:pageBreakBefore/>
        <w:numPr>
          <w:ilvl w:val="0"/>
          <w:numId w:val="0"/>
        </w:numPr>
        <w:spacing w:line="360" w:lineRule="auto"/>
        <w:ind w:leftChars="0"/>
        <w:jc w:val="center"/>
        <w:outlineLvl w:val="1"/>
        <w:rPr>
          <w:rFonts w:ascii="宋体" w:hAnsi="宋体" w:cs="宋体"/>
          <w:b/>
          <w:color w:val="000000"/>
          <w:sz w:val="28"/>
          <w:szCs w:val="28"/>
        </w:rPr>
      </w:pPr>
      <w:bookmarkStart w:id="376" w:name="_Toc14452"/>
      <w:bookmarkStart w:id="377" w:name="_Toc7931"/>
      <w:bookmarkStart w:id="378" w:name="_Toc500323116"/>
      <w:bookmarkStart w:id="379" w:name="_Toc6747"/>
      <w:bookmarkStart w:id="380" w:name="_Toc29391"/>
      <w:bookmarkStart w:id="381" w:name="_Toc26138"/>
      <w:r>
        <w:rPr>
          <w:rFonts w:hint="eastAsia" w:ascii="宋体" w:hAnsi="宋体" w:cs="宋体"/>
          <w:b/>
          <w:color w:val="000000"/>
          <w:sz w:val="28"/>
          <w:szCs w:val="28"/>
          <w:lang w:val="en-US" w:eastAsia="zh-CN"/>
        </w:rPr>
        <w:t>六、</w:t>
      </w:r>
      <w:r>
        <w:rPr>
          <w:rFonts w:ascii="宋体" w:hAnsi="宋体" w:cs="宋体"/>
          <w:b/>
          <w:color w:val="000000"/>
          <w:sz w:val="28"/>
          <w:szCs w:val="28"/>
        </w:rPr>
        <w:t>商务</w:t>
      </w:r>
      <w:bookmarkEnd w:id="376"/>
      <w:bookmarkEnd w:id="377"/>
      <w:bookmarkEnd w:id="378"/>
      <w:bookmarkEnd w:id="379"/>
      <w:r>
        <w:rPr>
          <w:rFonts w:ascii="宋体" w:hAnsi="宋体" w:cs="宋体"/>
          <w:b/>
          <w:color w:val="000000"/>
          <w:sz w:val="28"/>
          <w:szCs w:val="28"/>
        </w:rPr>
        <w:t>部分</w:t>
      </w:r>
      <w:bookmarkEnd w:id="380"/>
      <w:bookmarkEnd w:id="381"/>
    </w:p>
    <w:p w14:paraId="7AB55E6B">
      <w:pPr>
        <w:pStyle w:val="16"/>
        <w:numPr>
          <w:ilvl w:val="0"/>
          <w:numId w:val="0"/>
        </w:numPr>
        <w:ind w:leftChars="0"/>
      </w:pPr>
    </w:p>
    <w:p w14:paraId="05CA7E86">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按照磋商文件的商务部分编制，但内容至少应包括如下：</w:t>
      </w:r>
    </w:p>
    <w:p w14:paraId="2CD64C18">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r>
        <w:rPr>
          <w:rFonts w:hint="eastAsia" w:ascii="宋体" w:hAnsi="宋体" w:eastAsia="宋体" w:cs="宋体"/>
          <w:b w:val="0"/>
          <w:bCs/>
          <w:color w:val="auto"/>
          <w:sz w:val="28"/>
          <w:szCs w:val="28"/>
          <w:highlight w:val="none"/>
          <w:lang w:val="en-US" w:eastAsia="zh-CN" w:bidi="zh-CN"/>
        </w:rPr>
        <w:t>1.业绩；</w:t>
      </w:r>
    </w:p>
    <w:p w14:paraId="13D3D01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default" w:ascii="宋体" w:hAnsi="宋体" w:eastAsia="宋体" w:cs="宋体"/>
          <w:b w:val="0"/>
          <w:bCs/>
          <w:color w:val="auto"/>
          <w:sz w:val="28"/>
          <w:szCs w:val="28"/>
          <w:highlight w:val="none"/>
          <w:lang w:val="en-US" w:eastAsia="zh-CN" w:bidi="zh-CN"/>
        </w:rPr>
      </w:pPr>
      <w:r>
        <w:rPr>
          <w:rFonts w:hint="eastAsia" w:ascii="宋体" w:hAnsi="宋体" w:cs="宋体"/>
          <w:b w:val="0"/>
          <w:bCs/>
          <w:color w:val="auto"/>
          <w:sz w:val="28"/>
          <w:szCs w:val="28"/>
          <w:highlight w:val="none"/>
          <w:lang w:val="en-US" w:eastAsia="zh-CN" w:bidi="zh-CN"/>
        </w:rPr>
        <w:t>2</w:t>
      </w:r>
      <w:r>
        <w:rPr>
          <w:rFonts w:hint="eastAsia" w:ascii="宋体" w:hAnsi="宋体" w:eastAsia="宋体" w:cs="宋体"/>
          <w:b w:val="0"/>
          <w:bCs/>
          <w:color w:val="auto"/>
          <w:sz w:val="28"/>
          <w:szCs w:val="28"/>
          <w:highlight w:val="none"/>
          <w:lang w:val="en-US" w:eastAsia="zh-CN" w:bidi="zh-CN"/>
        </w:rPr>
        <w:t>.设备配备；</w:t>
      </w:r>
    </w:p>
    <w:p w14:paraId="5B9D638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r>
        <w:rPr>
          <w:rFonts w:hint="eastAsia" w:ascii="宋体" w:hAnsi="宋体" w:cs="宋体"/>
          <w:b w:val="0"/>
          <w:bCs/>
          <w:color w:val="auto"/>
          <w:sz w:val="28"/>
          <w:szCs w:val="28"/>
          <w:highlight w:val="none"/>
          <w:lang w:val="en-US" w:eastAsia="zh-CN" w:bidi="zh-CN"/>
        </w:rPr>
        <w:t>3</w:t>
      </w:r>
      <w:r>
        <w:rPr>
          <w:rFonts w:hint="eastAsia" w:ascii="宋体" w:hAnsi="宋体" w:eastAsia="宋体" w:cs="宋体"/>
          <w:b w:val="0"/>
          <w:bCs/>
          <w:color w:val="auto"/>
          <w:sz w:val="28"/>
          <w:szCs w:val="28"/>
          <w:highlight w:val="none"/>
          <w:lang w:val="en-US" w:eastAsia="zh-CN" w:bidi="zh-CN"/>
        </w:rPr>
        <w:t>.售后服务。</w:t>
      </w:r>
    </w:p>
    <w:p w14:paraId="73263C68">
      <w:pPr>
        <w:keepNext w:val="0"/>
        <w:keepLines w:val="0"/>
        <w:pageBreakBefore w:val="0"/>
        <w:widowControl w:val="0"/>
        <w:kinsoku/>
        <w:wordWrap/>
        <w:overflowPunct/>
        <w:topLinePunct w:val="0"/>
        <w:autoSpaceDE/>
        <w:autoSpaceDN/>
        <w:bidi w:val="0"/>
        <w:adjustRightInd/>
        <w:snapToGrid/>
        <w:spacing w:line="700" w:lineRule="exact"/>
        <w:ind w:firstLine="551" w:firstLineChars="196"/>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注：磋商方案无固定格式，供应商自拟（参照评标办法中商务</w:t>
      </w:r>
      <w:r>
        <w:rPr>
          <w:rFonts w:hint="eastAsia" w:ascii="宋体" w:hAnsi="宋体" w:eastAsia="宋体" w:cs="宋体"/>
          <w:b/>
          <w:bCs/>
          <w:color w:val="000000"/>
          <w:sz w:val="28"/>
          <w:szCs w:val="28"/>
          <w:lang w:val="en-US" w:eastAsia="zh-CN"/>
        </w:rPr>
        <w:t>部分</w:t>
      </w:r>
      <w:r>
        <w:rPr>
          <w:rFonts w:hint="eastAsia" w:ascii="宋体" w:hAnsi="宋体" w:eastAsia="宋体" w:cs="宋体"/>
          <w:b/>
          <w:bCs/>
          <w:color w:val="000000"/>
          <w:sz w:val="28"/>
          <w:szCs w:val="28"/>
        </w:rPr>
        <w:t>）。</w:t>
      </w:r>
    </w:p>
    <w:p w14:paraId="7063E3F0">
      <w:p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4F633D6">
      <w:pPr>
        <w:keepLines/>
        <w:pageBreakBefore/>
        <w:spacing w:line="360" w:lineRule="auto"/>
        <w:jc w:val="center"/>
        <w:outlineLvl w:val="1"/>
        <w:rPr>
          <w:rFonts w:ascii="宋体" w:hAnsi="宋体" w:cs="宋体"/>
          <w:b/>
          <w:color w:val="000000"/>
          <w:sz w:val="28"/>
          <w:szCs w:val="28"/>
        </w:rPr>
      </w:pPr>
      <w:bookmarkStart w:id="382" w:name="_Toc500323120"/>
      <w:bookmarkStart w:id="383" w:name="_Toc7507"/>
      <w:bookmarkStart w:id="384" w:name="_Toc16243"/>
      <w:bookmarkStart w:id="385" w:name="_Toc10186"/>
      <w:r>
        <w:rPr>
          <w:rFonts w:hint="eastAsia" w:ascii="宋体" w:hAnsi="宋体" w:cs="宋体"/>
          <w:b/>
          <w:color w:val="000000"/>
          <w:sz w:val="28"/>
          <w:szCs w:val="28"/>
          <w:lang w:val="en-US" w:eastAsia="zh-CN"/>
        </w:rPr>
        <w:t>七</w:t>
      </w:r>
      <w:r>
        <w:rPr>
          <w:rFonts w:ascii="宋体" w:hAnsi="宋体" w:cs="宋体"/>
          <w:b/>
          <w:color w:val="000000"/>
          <w:sz w:val="28"/>
          <w:szCs w:val="28"/>
        </w:rPr>
        <w:t>、其他材料</w:t>
      </w:r>
      <w:bookmarkEnd w:id="382"/>
      <w:bookmarkEnd w:id="383"/>
      <w:bookmarkEnd w:id="384"/>
      <w:bookmarkEnd w:id="385"/>
    </w:p>
    <w:p w14:paraId="3AFE7090">
      <w:p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362"/>
    <w:bookmarkEnd w:id="363"/>
    <w:bookmarkEnd w:id="364"/>
    <w:bookmarkEnd w:id="365"/>
    <w:bookmarkEnd w:id="366"/>
    <w:bookmarkEnd w:id="367"/>
    <w:bookmarkEnd w:id="368"/>
    <w:bookmarkEnd w:id="369"/>
    <w:p w14:paraId="6CBF6C6D">
      <w:pPr>
        <w:widowControl/>
        <w:shd w:val="clear" w:color="auto" w:fill="auto"/>
        <w:spacing w:before="120" w:beforeLines="50" w:after="120" w:afterLines="50" w:line="360" w:lineRule="auto"/>
        <w:jc w:val="left"/>
        <w:textAlignment w:val="baseline"/>
        <w:rPr>
          <w:rFonts w:hint="eastAsia" w:ascii="宋体" w:hAnsi="宋体" w:eastAsia="宋体" w:cs="宋体"/>
          <w:color w:val="00000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1</w:t>
      </w:r>
    </w:p>
    <w:p w14:paraId="782BE5A5">
      <w:pPr>
        <w:widowControl/>
        <w:shd w:val="clear" w:color="auto" w:fill="auto"/>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残疾人福利性单位声明函（是/否）</w:t>
      </w:r>
    </w:p>
    <w:p w14:paraId="6CA91C33">
      <w:pPr>
        <w:widowControl/>
        <w:shd w:val="clear" w:color="auto" w:fill="auto"/>
        <w:spacing w:before="120" w:beforeLines="50" w:after="240" w:line="360" w:lineRule="auto"/>
        <w:jc w:val="left"/>
        <w:textAlignment w:val="baseline"/>
        <w:rPr>
          <w:rFonts w:ascii="宋体" w:hAnsi="宋体" w:cs="宋体"/>
          <w:b/>
          <w:sz w:val="28"/>
          <w:szCs w:val="28"/>
        </w:rPr>
      </w:pPr>
    </w:p>
    <w:p w14:paraId="25041703">
      <w:pPr>
        <w:widowControl/>
        <w:shd w:val="clear" w:color="auto" w:fill="auto"/>
        <w:spacing w:before="120" w:beforeLines="50" w:after="240" w:line="360" w:lineRule="auto"/>
        <w:jc w:val="left"/>
        <w:textAlignment w:val="baseline"/>
        <w:rPr>
          <w:rFonts w:ascii="宋体" w:hAnsi="宋体" w:cs="宋体"/>
          <w:b/>
          <w:color w:val="000000"/>
          <w:kern w:val="0"/>
          <w:sz w:val="28"/>
          <w:szCs w:val="28"/>
        </w:rPr>
      </w:pPr>
      <w:r>
        <w:rPr>
          <w:rFonts w:hint="eastAsia" w:ascii="宋体" w:hAnsi="宋体" w:cs="宋体"/>
          <w:b/>
          <w:sz w:val="28"/>
          <w:szCs w:val="28"/>
          <w:lang w:eastAsia="zh-CN"/>
        </w:rPr>
        <w:t>陕西宸永项目管理有限公司</w:t>
      </w:r>
      <w:r>
        <w:rPr>
          <w:rFonts w:ascii="宋体" w:hAnsi="宋体" w:cs="宋体"/>
          <w:b/>
          <w:sz w:val="28"/>
          <w:szCs w:val="28"/>
        </w:rPr>
        <w:t>：</w:t>
      </w:r>
    </w:p>
    <w:p w14:paraId="1DFEA912">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本公司郑重声明，根据《财政部 民政部 中国残疾人联合会关于促进残疾人就业政府采购政策的通知》（财库〔2017〕141号）的规定，本单位为符合条件的残疾人福利性单位，且本公司参加</w:t>
      </w:r>
      <w:r>
        <w:rPr>
          <w:rFonts w:ascii="宋体" w:hAnsi="宋体" w:cs="宋体"/>
          <w:color w:val="000000"/>
          <w:sz w:val="28"/>
          <w:szCs w:val="28"/>
          <w:u w:val="single"/>
        </w:rPr>
        <w:t xml:space="preserve">          </w:t>
      </w:r>
      <w:r>
        <w:rPr>
          <w:rFonts w:ascii="宋体" w:hAnsi="宋体" w:cs="宋体"/>
          <w:color w:val="000000"/>
          <w:sz w:val="28"/>
          <w:szCs w:val="28"/>
        </w:rPr>
        <w:t>（采购人）的</w:t>
      </w:r>
      <w:r>
        <w:rPr>
          <w:rFonts w:ascii="宋体" w:hAnsi="宋体" w:cs="宋体"/>
          <w:color w:val="000000"/>
          <w:sz w:val="28"/>
          <w:szCs w:val="28"/>
          <w:u w:val="single"/>
        </w:rPr>
        <w:t xml:space="preserve">         </w:t>
      </w:r>
      <w:r>
        <w:rPr>
          <w:rFonts w:ascii="宋体" w:hAnsi="宋体" w:cs="宋体"/>
          <w:color w:val="000000"/>
          <w:sz w:val="28"/>
          <w:szCs w:val="28"/>
        </w:rPr>
        <w:t>项目采购活动提供本公司制造的货物（由本单位承担工程/提供服务），或者提供其他残疾人福利性单位制造的货物（不包括使用非残疾人福利性单位注册商标的货物）。</w:t>
      </w:r>
    </w:p>
    <w:p w14:paraId="2286AD85">
      <w:pPr>
        <w:shd w:val="clear" w:color="auto" w:fill="auto"/>
        <w:spacing w:line="360" w:lineRule="auto"/>
        <w:ind w:firstLine="560" w:firstLineChars="200"/>
        <w:jc w:val="left"/>
        <w:rPr>
          <w:rFonts w:ascii="宋体" w:hAnsi="宋体" w:cs="宋体"/>
          <w:sz w:val="28"/>
          <w:szCs w:val="28"/>
        </w:rPr>
      </w:pPr>
      <w:r>
        <w:rPr>
          <w:rFonts w:ascii="宋体" w:hAnsi="宋体" w:cs="宋体"/>
          <w:color w:val="000000"/>
          <w:sz w:val="28"/>
          <w:szCs w:val="28"/>
        </w:rPr>
        <w:t>本公司对上述声明的真实性负责。如有虚假，将依法承担相应责任。</w:t>
      </w:r>
    </w:p>
    <w:p w14:paraId="7D60AC1A">
      <w:pPr>
        <w:pStyle w:val="13"/>
        <w:shd w:val="clear" w:color="auto" w:fill="auto"/>
        <w:spacing w:line="360" w:lineRule="auto"/>
        <w:ind w:firstLine="570"/>
        <w:rPr>
          <w:rFonts w:ascii="宋体" w:hAnsi="宋体" w:cs="宋体"/>
          <w:sz w:val="28"/>
          <w:szCs w:val="28"/>
        </w:rPr>
      </w:pPr>
      <w:r>
        <w:rPr>
          <w:rFonts w:ascii="宋体" w:hAnsi="宋体" w:cs="宋体"/>
          <w:sz w:val="28"/>
          <w:szCs w:val="28"/>
        </w:rPr>
        <w:t>特此声明！</w:t>
      </w:r>
    </w:p>
    <w:p w14:paraId="5A154F6F">
      <w:pPr>
        <w:pStyle w:val="13"/>
        <w:shd w:val="clear" w:color="auto" w:fill="auto"/>
        <w:spacing w:line="360" w:lineRule="auto"/>
        <w:ind w:firstLine="570"/>
        <w:rPr>
          <w:rFonts w:ascii="宋体" w:hAnsi="宋体" w:cs="宋体"/>
          <w:sz w:val="28"/>
          <w:szCs w:val="28"/>
        </w:rPr>
      </w:pPr>
    </w:p>
    <w:p w14:paraId="33A7ADBC">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671B0084">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00D99121">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1FF835CD">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0181884B">
      <w:pPr>
        <w:shd w:val="clear" w:color="auto" w:fill="auto"/>
        <w:spacing w:line="360" w:lineRule="auto"/>
        <w:rPr>
          <w:rFonts w:ascii="宋体" w:hAnsi="宋体" w:cs="宋体"/>
          <w:sz w:val="28"/>
          <w:szCs w:val="28"/>
        </w:rPr>
      </w:pPr>
    </w:p>
    <w:p w14:paraId="775727EF">
      <w:pPr>
        <w:shd w:val="clear" w:color="auto" w:fill="auto"/>
        <w:spacing w:line="360" w:lineRule="auto"/>
        <w:rPr>
          <w:rFonts w:ascii="宋体" w:hAnsi="宋体" w:cs="宋体"/>
          <w:sz w:val="28"/>
          <w:szCs w:val="28"/>
        </w:rPr>
      </w:pPr>
    </w:p>
    <w:p w14:paraId="218D06C9">
      <w:pPr>
        <w:shd w:val="clear" w:color="auto" w:fill="auto"/>
        <w:spacing w:line="360" w:lineRule="auto"/>
        <w:rPr>
          <w:rFonts w:ascii="宋体" w:hAnsi="宋体" w:cs="宋体"/>
          <w:sz w:val="28"/>
          <w:szCs w:val="28"/>
        </w:rPr>
      </w:pPr>
    </w:p>
    <w:p w14:paraId="74BA6EC2">
      <w:pPr>
        <w:shd w:val="clear" w:color="auto" w:fill="auto"/>
        <w:spacing w:line="360" w:lineRule="auto"/>
        <w:rPr>
          <w:rFonts w:ascii="宋体" w:hAnsi="宋体" w:cs="宋体"/>
          <w:sz w:val="28"/>
          <w:szCs w:val="28"/>
        </w:rPr>
      </w:pPr>
    </w:p>
    <w:p w14:paraId="3DF15D34">
      <w:pPr>
        <w:shd w:val="clear" w:color="auto" w:fill="auto"/>
        <w:spacing w:line="360" w:lineRule="auto"/>
        <w:rPr>
          <w:rFonts w:ascii="宋体" w:hAnsi="宋体" w:cs="宋体"/>
          <w:sz w:val="28"/>
          <w:szCs w:val="28"/>
        </w:rPr>
      </w:pPr>
    </w:p>
    <w:p w14:paraId="3E165EDC">
      <w:pPr>
        <w:shd w:val="clear" w:color="auto" w:fill="auto"/>
        <w:spacing w:line="360" w:lineRule="auto"/>
        <w:rPr>
          <w:rFonts w:ascii="宋体" w:hAnsi="宋体" w:cs="宋体"/>
          <w:sz w:val="28"/>
          <w:szCs w:val="28"/>
        </w:rPr>
      </w:pPr>
    </w:p>
    <w:p w14:paraId="7D1612D2">
      <w:pPr>
        <w:shd w:val="clear" w:color="auto" w:fill="auto"/>
        <w:spacing w:line="360" w:lineRule="auto"/>
        <w:rPr>
          <w:rFonts w:ascii="宋体" w:hAnsi="宋体" w:cs="宋体"/>
          <w:sz w:val="28"/>
          <w:szCs w:val="28"/>
        </w:rPr>
      </w:pPr>
    </w:p>
    <w:p w14:paraId="6A7BCA5A">
      <w:pPr>
        <w:widowControl/>
        <w:shd w:val="clear" w:color="auto" w:fill="auto"/>
        <w:spacing w:before="120" w:beforeLines="50" w:after="120" w:afterLines="50" w:line="360" w:lineRule="auto"/>
        <w:jc w:val="left"/>
        <w:textAlignment w:val="baseline"/>
        <w:rPr>
          <w:rFonts w:hint="eastAsia" w:ascii="宋体" w:hAnsi="宋体" w:eastAsia="宋体" w:cs="宋体"/>
          <w:b/>
          <w:color w:val="000000"/>
          <w:kern w:val="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2</w:t>
      </w:r>
    </w:p>
    <w:p w14:paraId="797F8B03">
      <w:pPr>
        <w:widowControl/>
        <w:shd w:val="clear" w:color="auto" w:fill="auto"/>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监狱企业证明函（是/否）</w:t>
      </w:r>
    </w:p>
    <w:p w14:paraId="262E31D2">
      <w:pPr>
        <w:widowControl/>
        <w:shd w:val="clear" w:color="auto" w:fill="auto"/>
        <w:spacing w:before="120" w:beforeLines="50" w:after="240" w:line="360" w:lineRule="auto"/>
        <w:jc w:val="left"/>
        <w:textAlignment w:val="baseline"/>
        <w:rPr>
          <w:rFonts w:ascii="宋体" w:hAnsi="宋体" w:cs="宋体"/>
          <w:b/>
          <w:sz w:val="28"/>
          <w:szCs w:val="28"/>
        </w:rPr>
      </w:pPr>
    </w:p>
    <w:p w14:paraId="7AE50C61">
      <w:pPr>
        <w:widowControl/>
        <w:shd w:val="clear" w:color="auto" w:fill="auto"/>
        <w:spacing w:before="120" w:beforeLines="50" w:after="240" w:line="360" w:lineRule="auto"/>
        <w:jc w:val="left"/>
        <w:textAlignment w:val="baseline"/>
        <w:rPr>
          <w:rFonts w:ascii="宋体" w:hAnsi="宋体" w:cs="宋体"/>
          <w:b/>
          <w:sz w:val="28"/>
          <w:szCs w:val="28"/>
        </w:rPr>
      </w:pPr>
      <w:r>
        <w:rPr>
          <w:rFonts w:hint="eastAsia" w:ascii="宋体" w:hAnsi="宋体" w:cs="宋体"/>
          <w:b/>
          <w:sz w:val="28"/>
          <w:szCs w:val="28"/>
          <w:lang w:eastAsia="zh-CN"/>
        </w:rPr>
        <w:t>陕西宸永项目管理有限公司</w:t>
      </w:r>
      <w:r>
        <w:rPr>
          <w:rFonts w:ascii="宋体" w:hAnsi="宋体" w:cs="宋体"/>
          <w:b/>
          <w:sz w:val="28"/>
          <w:szCs w:val="28"/>
        </w:rPr>
        <w:t>：</w:t>
      </w:r>
    </w:p>
    <w:p w14:paraId="3C658989">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4012F0">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监狱企业参加政府采购活动时，应当提供由省级以上监狱管理局、戒毒管理局（含新疆生产建设兵团）出具的属于监狱企业的证明文件。</w:t>
      </w:r>
    </w:p>
    <w:p w14:paraId="2467EC52">
      <w:pPr>
        <w:shd w:val="clear" w:color="auto" w:fill="auto"/>
        <w:spacing w:line="360" w:lineRule="auto"/>
        <w:ind w:firstLine="560" w:firstLineChars="200"/>
        <w:jc w:val="left"/>
        <w:rPr>
          <w:rFonts w:ascii="宋体" w:hAnsi="宋体" w:cs="宋体"/>
          <w:color w:val="000000"/>
          <w:sz w:val="28"/>
          <w:szCs w:val="28"/>
        </w:rPr>
      </w:pPr>
    </w:p>
    <w:p w14:paraId="606AAD9B">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本公司对上述声明的真实性负责。如有虚假，将依法承担相应责任。</w:t>
      </w:r>
    </w:p>
    <w:p w14:paraId="2AB02EDA">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特此声明！</w:t>
      </w:r>
    </w:p>
    <w:p w14:paraId="1FF7B8BA">
      <w:pPr>
        <w:pStyle w:val="13"/>
        <w:shd w:val="clear" w:color="auto" w:fill="auto"/>
        <w:spacing w:line="360" w:lineRule="auto"/>
        <w:ind w:firstLine="570"/>
        <w:rPr>
          <w:rFonts w:ascii="宋体" w:hAnsi="宋体" w:cs="宋体"/>
          <w:sz w:val="28"/>
          <w:szCs w:val="28"/>
        </w:rPr>
      </w:pPr>
    </w:p>
    <w:p w14:paraId="6220C943">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667E49E4">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75BD18BA">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1291CF02">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417098F8">
      <w:pPr>
        <w:pStyle w:val="13"/>
        <w:spacing w:line="360" w:lineRule="auto"/>
        <w:ind w:firstLine="0"/>
        <w:rPr>
          <w:rFonts w:ascii="宋体" w:hAnsi="宋体" w:cs="宋体"/>
          <w:sz w:val="28"/>
          <w:szCs w:val="28"/>
        </w:rPr>
      </w:pPr>
    </w:p>
    <w:p w14:paraId="0FBD9F26">
      <w:pPr>
        <w:pStyle w:val="13"/>
        <w:spacing w:line="360" w:lineRule="auto"/>
        <w:ind w:firstLine="0"/>
        <w:rPr>
          <w:rFonts w:ascii="宋体" w:hAnsi="宋体" w:cs="宋体"/>
          <w:sz w:val="28"/>
          <w:szCs w:val="28"/>
        </w:rPr>
      </w:pPr>
    </w:p>
    <w:p w14:paraId="4DBA96B9">
      <w:pPr>
        <w:pStyle w:val="13"/>
        <w:spacing w:line="360" w:lineRule="auto"/>
        <w:ind w:firstLine="0"/>
        <w:rPr>
          <w:rFonts w:ascii="宋体" w:hAnsi="宋体" w:cs="宋体"/>
          <w:sz w:val="28"/>
          <w:szCs w:val="28"/>
        </w:rPr>
      </w:pPr>
    </w:p>
    <w:p w14:paraId="4329C6F6">
      <w:pPr>
        <w:pStyle w:val="13"/>
        <w:spacing w:line="360" w:lineRule="auto"/>
        <w:ind w:firstLine="0"/>
        <w:rPr>
          <w:rFonts w:ascii="宋体" w:hAnsi="宋体" w:cs="宋体"/>
          <w:sz w:val="28"/>
          <w:szCs w:val="28"/>
        </w:rPr>
      </w:pPr>
    </w:p>
    <w:p w14:paraId="6EB8082B">
      <w:pPr>
        <w:pStyle w:val="13"/>
        <w:spacing w:line="360" w:lineRule="auto"/>
        <w:ind w:firstLine="0"/>
        <w:rPr>
          <w:rFonts w:ascii="宋体" w:hAnsi="宋体" w:eastAsia="宋体" w:cs="宋体"/>
          <w:sz w:val="24"/>
          <w:szCs w:val="24"/>
        </w:rPr>
      </w:pPr>
      <w:r>
        <w:rPr>
          <w:rFonts w:ascii="宋体" w:hAnsi="宋体" w:eastAsia="宋体" w:cs="宋体"/>
          <w:sz w:val="24"/>
          <w:szCs w:val="24"/>
        </w:rPr>
        <w:t>原采购项目编号：SXCY2026-19.1.2B1，现变更为：SXCY2026-24</w:t>
      </w:r>
    </w:p>
    <w:sectPr>
      <w:footerReference r:id="rId16"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2020400000000000000"/>
    <w:charset w:val="86"/>
    <w:family w:val="roman"/>
    <w:pitch w:val="default"/>
    <w:sig w:usb0="00000000" w:usb1="00000000" w:usb2="00000016" w:usb3="00000000" w:csb0="00060007"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KSOF2BE2174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BA165">
    <w:pPr>
      <w:pStyle w:val="25"/>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A15AE">
    <w:pPr>
      <w:pStyle w:val="25"/>
      <w:rPr>
        <w:rFonts w:ascii="仿宋" w:hAnsi="仿宋" w:eastAsia="仿宋"/>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ACA8E">
    <w:pPr>
      <w:pStyle w:val="25"/>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B7DC35">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r8tp3gEAAL8DAAAOAAAAAAAA&#10;AAEAIAAAAB4BAABkcnMvZTJvRG9jLnhtbFBLBQYAAAAABgAGAFkBAABuBQAAAAA=&#10;">
              <v:fill on="f" focussize="0,0"/>
              <v:stroke on="f"/>
              <v:imagedata o:title=""/>
              <o:lock v:ext="edit" aspectratio="f"/>
              <v:textbox inset="0mm,0mm,0mm,0mm" style="mso-fit-shape-to-text:t;">
                <w:txbxContent>
                  <w:p w14:paraId="4AB7DC35">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F0921">
    <w:pPr>
      <w:pStyle w:val="25"/>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E915F1">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EvOzU3gEAAL8DAAAOAAAAAAAA&#10;AAEAIAAAAB4BAABkcnMvZTJvRG9jLnhtbFBLBQYAAAAABgAGAFkBAABuBQAAAAA=&#10;">
              <v:fill on="f" focussize="0,0"/>
              <v:stroke on="f"/>
              <v:imagedata o:title=""/>
              <o:lock v:ext="edit" aspectratio="f"/>
              <v:textbox inset="0mm,0mm,0mm,0mm" style="mso-fit-shape-to-text:t;">
                <w:txbxContent>
                  <w:p w14:paraId="1AE915F1">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EB729">
    <w:pPr>
      <w:pStyle w:val="25"/>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6602B7">
                          <w:pPr>
                            <w:pStyle w:val="25"/>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A+M29d8BAAC/AwAADgAAAAAA&#10;AAABACAAAAAeAQAAZHJzL2Uyb0RvYy54bWxQSwUGAAAAAAYABgBZAQAAbwUAAAAA&#10;">
              <v:fill on="f" focussize="0,0"/>
              <v:stroke on="f"/>
              <v:imagedata o:title=""/>
              <o:lock v:ext="edit" aspectratio="f"/>
              <v:textbox inset="0mm,0mm,0mm,0mm" style="mso-fit-shape-to-text:t;">
                <w:txbxContent>
                  <w:p w14:paraId="726602B7">
                    <w:pPr>
                      <w:pStyle w:val="25"/>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4EAFF">
    <w:pPr>
      <w:pStyle w:val="25"/>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1D4815">
                          <w:pPr>
                            <w:pStyle w:val="25"/>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yKSKP3gEAAL8DAAAOAAAAAAAA&#10;AAEAIAAAAB4BAABkcnMvZTJvRG9jLnhtbFBLBQYAAAAABgAGAFkBAABuBQAAAAA=&#10;">
              <v:fill on="f" focussize="0,0"/>
              <v:stroke on="f"/>
              <v:imagedata o:title=""/>
              <o:lock v:ext="edit" aspectratio="f"/>
              <v:textbox inset="0mm,0mm,0mm,0mm" style="mso-fit-shape-to-text:t;">
                <w:txbxContent>
                  <w:p w14:paraId="031D4815">
                    <w:pPr>
                      <w:pStyle w:val="25"/>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1EBD2">
    <w:pPr>
      <w:pStyle w:val="25"/>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9F2453">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Xb4rt8BAAC/AwAADgAAAGRycy9lMm9Eb2MueG1srVPBjtMwEL0j8Q+W&#10;7zRpJaCq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ez1P+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Xb4rt8BAAC/AwAADgAAAAAA&#10;AAABACAAAAAeAQAAZHJzL2Uyb0RvYy54bWxQSwUGAAAAAAYABgBZAQAAbwUAAAAA&#10;">
              <v:fill on="f" focussize="0,0"/>
              <v:stroke on="f"/>
              <v:imagedata o:title=""/>
              <o:lock v:ext="edit" aspectratio="f"/>
              <v:textbox inset="0mm,0mm,0mm,0mm" style="mso-fit-shape-to-text:t;">
                <w:txbxContent>
                  <w:p w14:paraId="459F2453">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8A134">
    <w:pPr>
      <w:pStyle w:val="25"/>
      <w:ind w:right="360"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4B243A">
                          <w:pPr>
                            <w:pStyle w:val="25"/>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l5bM3gEAAL8DAAAOAAAAAAAA&#10;AAEAIAAAAB4BAABkcnMvZTJvRG9jLnhtbFBLBQYAAAAABgAGAFkBAABuBQAAAAA=&#10;">
              <v:fill on="f" focussize="0,0"/>
              <v:stroke on="f"/>
              <v:imagedata o:title=""/>
              <o:lock v:ext="edit" aspectratio="f"/>
              <v:textbox inset="0mm,0mm,0mm,0mm" style="mso-fit-shape-to-text:t;">
                <w:txbxContent>
                  <w:p w14:paraId="2B4B243A">
                    <w:pPr>
                      <w:pStyle w:val="25"/>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p w14:paraId="0F5CBAD3">
    <w:pPr>
      <w:pStyle w:val="2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67C61">
    <w:pPr>
      <w:pStyle w:val="25"/>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48127E">
                          <w:pPr>
                            <w:pStyle w:val="25"/>
                          </w:pPr>
                          <w:r>
                            <w:t xml:space="preserve">第 </w:t>
                          </w:r>
                          <w:r>
                            <w:fldChar w:fldCharType="begin"/>
                          </w:r>
                          <w:r>
                            <w:instrText xml:space="preserve"> PAGE  \* MERGEFORMAT </w:instrText>
                          </w:r>
                          <w:r>
                            <w:fldChar w:fldCharType="separate"/>
                          </w:r>
                          <w:r>
                            <w:t>94</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8hM7d8BAAC/AwAADgAAAAAA&#10;AAABACAAAAAeAQAAZHJzL2Uyb0RvYy54bWxQSwUGAAAAAAYABgBZAQAAbwUAAAAA&#10;">
              <v:fill on="f" focussize="0,0"/>
              <v:stroke on="f"/>
              <v:imagedata o:title=""/>
              <o:lock v:ext="edit" aspectratio="f"/>
              <v:textbox inset="0mm,0mm,0mm,0mm" style="mso-fit-shape-to-text:t;">
                <w:txbxContent>
                  <w:p w14:paraId="3A48127E">
                    <w:pPr>
                      <w:pStyle w:val="25"/>
                    </w:pPr>
                    <w:r>
                      <w:t xml:space="preserve">第 </w:t>
                    </w:r>
                    <w:r>
                      <w:fldChar w:fldCharType="begin"/>
                    </w:r>
                    <w:r>
                      <w:instrText xml:space="preserve"> PAGE  \* MERGEFORMAT </w:instrText>
                    </w:r>
                    <w:r>
                      <w:fldChar w:fldCharType="separate"/>
                    </w:r>
                    <w:r>
                      <w:t>94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43728">
    <w:pPr>
      <w:pStyle w:val="25"/>
      <w:rPr>
        <w:rFonts w:ascii="仿宋" w:hAnsi="仿宋" w:eastAsia="仿宋"/>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02CE23">
                          <w:pPr>
                            <w:pStyle w:val="25"/>
                          </w:pPr>
                          <w:r>
                            <w:t xml:space="preserve">第 </w:t>
                          </w:r>
                          <w:r>
                            <w:fldChar w:fldCharType="begin"/>
                          </w:r>
                          <w:r>
                            <w:instrText xml:space="preserve"> PAGE  \* MERGEFORMAT </w:instrText>
                          </w:r>
                          <w:r>
                            <w:fldChar w:fldCharType="separate"/>
                          </w:r>
                          <w:r>
                            <w:t>96</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RC2ZI3gEAAL8DAAAOAAAAAAAA&#10;AAEAIAAAAB4BAABkcnMvZTJvRG9jLnhtbFBLBQYAAAAABgAGAFkBAABuBQAAAAA=&#10;">
              <v:fill on="f" focussize="0,0"/>
              <v:stroke on="f"/>
              <v:imagedata o:title=""/>
              <o:lock v:ext="edit" aspectratio="f"/>
              <v:textbox inset="0mm,0mm,0mm,0mm" style="mso-fit-shape-to-text:t;">
                <w:txbxContent>
                  <w:p w14:paraId="4402CE23">
                    <w:pPr>
                      <w:pStyle w:val="25"/>
                    </w:pPr>
                    <w:r>
                      <w:t xml:space="preserve">第 </w:t>
                    </w:r>
                    <w:r>
                      <w:fldChar w:fldCharType="begin"/>
                    </w:r>
                    <w:r>
                      <w:instrText xml:space="preserve"> PAGE  \* MERGEFORMAT </w:instrText>
                    </w:r>
                    <w:r>
                      <w:fldChar w:fldCharType="separate"/>
                    </w:r>
                    <w:r>
                      <w:t>96</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FC643">
    <w:pPr>
      <w:pStyle w:val="25"/>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7EF9CE">
                          <w:pPr>
                            <w:pStyle w:val="25"/>
                          </w:pPr>
                          <w:r>
                            <w:t xml:space="preserve">第 </w:t>
                          </w:r>
                          <w:r>
                            <w:fldChar w:fldCharType="begin"/>
                          </w:r>
                          <w:r>
                            <w:instrText xml:space="preserve"> PAGE  \* MERGEFORMAT </w:instrText>
                          </w:r>
                          <w:r>
                            <w:fldChar w:fldCharType="separate"/>
                          </w:r>
                          <w:r>
                            <w:t>111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WVLxp3gEAAL8DAAAOAAAAAAAA&#10;AAEAIAAAAB4BAABkcnMvZTJvRG9jLnhtbFBLBQYAAAAABgAGAFkBAABuBQAAAAA=&#10;">
              <v:fill on="f" focussize="0,0"/>
              <v:stroke on="f"/>
              <v:imagedata o:title=""/>
              <o:lock v:ext="edit" aspectratio="f"/>
              <v:textbox inset="0mm,0mm,0mm,0mm" style="mso-fit-shape-to-text:t;">
                <w:txbxContent>
                  <w:p w14:paraId="4E7EF9CE">
                    <w:pPr>
                      <w:pStyle w:val="25"/>
                    </w:pPr>
                    <w:r>
                      <w:t xml:space="preserve">第 </w:t>
                    </w:r>
                    <w:r>
                      <w:fldChar w:fldCharType="begin"/>
                    </w:r>
                    <w:r>
                      <w:instrText xml:space="preserve"> PAGE  \* MERGEFORMAT </w:instrText>
                    </w:r>
                    <w:r>
                      <w:fldChar w:fldCharType="separate"/>
                    </w:r>
                    <w:r>
                      <w:t>111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97919">
    <w:pPr>
      <w:pStyle w:val="27"/>
      <w:pBdr>
        <w:bottom w:val="none" w:color="auto" w:sz="0" w:space="1"/>
      </w:pBdr>
      <w:jc w:val="both"/>
      <w:rPr>
        <w:rFonts w:ascii="仿宋" w:hAnsi="仿宋" w:eastAsia="仿宋"/>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E0898">
    <w:pPr>
      <w:pStyle w:val="27"/>
      <w:pBdr>
        <w:bottom w:val="none" w:color="auto" w:sz="0" w:space="1"/>
      </w:pBdr>
      <w:jc w:val="both"/>
      <w:rPr>
        <w:rFonts w:hint="default" w:ascii="仿宋" w:hAnsi="仿宋" w:eastAsia="仿宋"/>
        <w:szCs w:val="18"/>
      </w:rPr>
    </w:pPr>
    <w:r>
      <w:rPr>
        <w:rFonts w:ascii="仿宋" w:hAnsi="仿宋" w:eastAsia="仿宋"/>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68FC6">
    <w:pPr>
      <w:pStyle w:val="27"/>
      <w:pBdr>
        <w:bottom w:val="none" w:color="auto" w:sz="0" w:space="0"/>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101AD5"/>
    <w:multiLevelType w:val="multilevel"/>
    <w:tmpl w:val="33101AD5"/>
    <w:lvl w:ilvl="0" w:tentative="0">
      <w:start w:val="1"/>
      <w:numFmt w:val="decimal"/>
      <w:pStyle w:val="103"/>
      <w:suff w:val="space"/>
      <w:lvlText w:val="%1、"/>
      <w:lvlJc w:val="left"/>
      <w:pPr>
        <w:ind w:left="0" w:firstLine="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lvlText w:val="%5."/>
      <w:lvlJc w:val="left"/>
      <w:pPr>
        <w:tabs>
          <w:tab w:val="left" w:pos="3600"/>
        </w:tabs>
        <w:ind w:left="3600" w:hanging="72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1">
    <w:nsid w:val="4FFCDE7F"/>
    <w:multiLevelType w:val="singleLevel"/>
    <w:tmpl w:val="4FFCDE7F"/>
    <w:lvl w:ilvl="0" w:tentative="0">
      <w:start w:val="1"/>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28NXGMf0EMiSOMhp6NEMOnC4wQw=" w:salt="0YGb0xjIWBxdaasEYfe4Pg=="/>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3NzIwNWVkOWFkNDUxMDRlZjk3ZGNiMDJjZDM2ZjEifQ=="/>
  </w:docVars>
  <w:rsids>
    <w:rsidRoot w:val="0093278F"/>
    <w:rsid w:val="00000D62"/>
    <w:rsid w:val="000018F5"/>
    <w:rsid w:val="00001CC7"/>
    <w:rsid w:val="0000212D"/>
    <w:rsid w:val="0000214F"/>
    <w:rsid w:val="000024B3"/>
    <w:rsid w:val="000048B5"/>
    <w:rsid w:val="00015CE8"/>
    <w:rsid w:val="00022F22"/>
    <w:rsid w:val="00025D01"/>
    <w:rsid w:val="00027C2A"/>
    <w:rsid w:val="00033BB9"/>
    <w:rsid w:val="00034306"/>
    <w:rsid w:val="00034E02"/>
    <w:rsid w:val="00034E36"/>
    <w:rsid w:val="000378FD"/>
    <w:rsid w:val="00037A97"/>
    <w:rsid w:val="00040551"/>
    <w:rsid w:val="000409B3"/>
    <w:rsid w:val="00041803"/>
    <w:rsid w:val="00041AE8"/>
    <w:rsid w:val="00042288"/>
    <w:rsid w:val="00045648"/>
    <w:rsid w:val="000459FC"/>
    <w:rsid w:val="00047DEC"/>
    <w:rsid w:val="00051447"/>
    <w:rsid w:val="000517C2"/>
    <w:rsid w:val="00052B5C"/>
    <w:rsid w:val="00053A15"/>
    <w:rsid w:val="00053CB1"/>
    <w:rsid w:val="00056310"/>
    <w:rsid w:val="00056BFE"/>
    <w:rsid w:val="0005762A"/>
    <w:rsid w:val="00057A66"/>
    <w:rsid w:val="00060164"/>
    <w:rsid w:val="00062DF9"/>
    <w:rsid w:val="00073CC5"/>
    <w:rsid w:val="00073DDA"/>
    <w:rsid w:val="0007452B"/>
    <w:rsid w:val="000764B7"/>
    <w:rsid w:val="00076D51"/>
    <w:rsid w:val="000809DF"/>
    <w:rsid w:val="00081CC9"/>
    <w:rsid w:val="000829F1"/>
    <w:rsid w:val="0008413F"/>
    <w:rsid w:val="000857C3"/>
    <w:rsid w:val="00091357"/>
    <w:rsid w:val="0009187F"/>
    <w:rsid w:val="000944D4"/>
    <w:rsid w:val="000A0468"/>
    <w:rsid w:val="000A0542"/>
    <w:rsid w:val="000A0965"/>
    <w:rsid w:val="000A13CA"/>
    <w:rsid w:val="000A28B8"/>
    <w:rsid w:val="000A4D13"/>
    <w:rsid w:val="000A575B"/>
    <w:rsid w:val="000A6481"/>
    <w:rsid w:val="000A766A"/>
    <w:rsid w:val="000B2864"/>
    <w:rsid w:val="000B50A8"/>
    <w:rsid w:val="000C3E85"/>
    <w:rsid w:val="000C6648"/>
    <w:rsid w:val="000D2522"/>
    <w:rsid w:val="000E206D"/>
    <w:rsid w:val="000E61DF"/>
    <w:rsid w:val="000F2E92"/>
    <w:rsid w:val="000F30FF"/>
    <w:rsid w:val="000F59F3"/>
    <w:rsid w:val="00100CB8"/>
    <w:rsid w:val="001013C9"/>
    <w:rsid w:val="0010155C"/>
    <w:rsid w:val="001067A8"/>
    <w:rsid w:val="00106D83"/>
    <w:rsid w:val="00110A31"/>
    <w:rsid w:val="00111020"/>
    <w:rsid w:val="001114C1"/>
    <w:rsid w:val="001117F8"/>
    <w:rsid w:val="001162CC"/>
    <w:rsid w:val="00116648"/>
    <w:rsid w:val="00120BC4"/>
    <w:rsid w:val="00120EE1"/>
    <w:rsid w:val="00134305"/>
    <w:rsid w:val="00135B38"/>
    <w:rsid w:val="001372A4"/>
    <w:rsid w:val="00140CCD"/>
    <w:rsid w:val="00146520"/>
    <w:rsid w:val="00147891"/>
    <w:rsid w:val="00151D52"/>
    <w:rsid w:val="00151EB2"/>
    <w:rsid w:val="0015209A"/>
    <w:rsid w:val="00152AE8"/>
    <w:rsid w:val="001607E6"/>
    <w:rsid w:val="00167F5D"/>
    <w:rsid w:val="00177894"/>
    <w:rsid w:val="001835F8"/>
    <w:rsid w:val="00186AFE"/>
    <w:rsid w:val="00187F17"/>
    <w:rsid w:val="00192900"/>
    <w:rsid w:val="00193659"/>
    <w:rsid w:val="00194F25"/>
    <w:rsid w:val="001959B6"/>
    <w:rsid w:val="00196CE2"/>
    <w:rsid w:val="001A08AA"/>
    <w:rsid w:val="001A0C26"/>
    <w:rsid w:val="001A1237"/>
    <w:rsid w:val="001A3119"/>
    <w:rsid w:val="001A3C54"/>
    <w:rsid w:val="001A436B"/>
    <w:rsid w:val="001A526D"/>
    <w:rsid w:val="001A63C3"/>
    <w:rsid w:val="001A732D"/>
    <w:rsid w:val="001B2266"/>
    <w:rsid w:val="001B501F"/>
    <w:rsid w:val="001C27C2"/>
    <w:rsid w:val="001C2AB5"/>
    <w:rsid w:val="001C38A6"/>
    <w:rsid w:val="001C6476"/>
    <w:rsid w:val="001C6905"/>
    <w:rsid w:val="001D0DFE"/>
    <w:rsid w:val="001D1890"/>
    <w:rsid w:val="001D1A35"/>
    <w:rsid w:val="001D2053"/>
    <w:rsid w:val="001D6624"/>
    <w:rsid w:val="001D7A05"/>
    <w:rsid w:val="001E0366"/>
    <w:rsid w:val="001E4F8D"/>
    <w:rsid w:val="001E697F"/>
    <w:rsid w:val="001E793A"/>
    <w:rsid w:val="001F2B43"/>
    <w:rsid w:val="001F3644"/>
    <w:rsid w:val="001F4D8B"/>
    <w:rsid w:val="001F5D64"/>
    <w:rsid w:val="001F62C9"/>
    <w:rsid w:val="001F6FDE"/>
    <w:rsid w:val="00200F28"/>
    <w:rsid w:val="0020111B"/>
    <w:rsid w:val="002040CB"/>
    <w:rsid w:val="00204516"/>
    <w:rsid w:val="00204E91"/>
    <w:rsid w:val="00204FB9"/>
    <w:rsid w:val="00205767"/>
    <w:rsid w:val="00206A59"/>
    <w:rsid w:val="002123FA"/>
    <w:rsid w:val="002125F4"/>
    <w:rsid w:val="00214B62"/>
    <w:rsid w:val="00214BB3"/>
    <w:rsid w:val="002155DF"/>
    <w:rsid w:val="00217D04"/>
    <w:rsid w:val="00220435"/>
    <w:rsid w:val="0022241C"/>
    <w:rsid w:val="002225B7"/>
    <w:rsid w:val="00224B19"/>
    <w:rsid w:val="00225CDD"/>
    <w:rsid w:val="00226B4D"/>
    <w:rsid w:val="00227264"/>
    <w:rsid w:val="00231223"/>
    <w:rsid w:val="002325EF"/>
    <w:rsid w:val="00232BC9"/>
    <w:rsid w:val="00232D22"/>
    <w:rsid w:val="00234E6E"/>
    <w:rsid w:val="00237763"/>
    <w:rsid w:val="00240C02"/>
    <w:rsid w:val="00241C06"/>
    <w:rsid w:val="00245638"/>
    <w:rsid w:val="0025244F"/>
    <w:rsid w:val="0025370F"/>
    <w:rsid w:val="0026093B"/>
    <w:rsid w:val="00264E6B"/>
    <w:rsid w:val="002651E7"/>
    <w:rsid w:val="0026693B"/>
    <w:rsid w:val="0026785F"/>
    <w:rsid w:val="00270146"/>
    <w:rsid w:val="00273347"/>
    <w:rsid w:val="00275196"/>
    <w:rsid w:val="00276DC0"/>
    <w:rsid w:val="00277590"/>
    <w:rsid w:val="0028117A"/>
    <w:rsid w:val="00283967"/>
    <w:rsid w:val="002846EF"/>
    <w:rsid w:val="002861C4"/>
    <w:rsid w:val="002870F0"/>
    <w:rsid w:val="00291433"/>
    <w:rsid w:val="002944D0"/>
    <w:rsid w:val="00295AB1"/>
    <w:rsid w:val="002A07D4"/>
    <w:rsid w:val="002A51FD"/>
    <w:rsid w:val="002A5933"/>
    <w:rsid w:val="002A6E23"/>
    <w:rsid w:val="002A7F22"/>
    <w:rsid w:val="002B2588"/>
    <w:rsid w:val="002B4FA6"/>
    <w:rsid w:val="002B74A8"/>
    <w:rsid w:val="002C2E81"/>
    <w:rsid w:val="002C3533"/>
    <w:rsid w:val="002C3746"/>
    <w:rsid w:val="002C7A70"/>
    <w:rsid w:val="002D325D"/>
    <w:rsid w:val="002D332E"/>
    <w:rsid w:val="002E3E8C"/>
    <w:rsid w:val="002E523F"/>
    <w:rsid w:val="002E58FB"/>
    <w:rsid w:val="002F0FC7"/>
    <w:rsid w:val="002F1D3B"/>
    <w:rsid w:val="002F2542"/>
    <w:rsid w:val="002F400E"/>
    <w:rsid w:val="002F5048"/>
    <w:rsid w:val="002F53A1"/>
    <w:rsid w:val="002F6804"/>
    <w:rsid w:val="002F7B34"/>
    <w:rsid w:val="0030794B"/>
    <w:rsid w:val="00307CF5"/>
    <w:rsid w:val="0031157E"/>
    <w:rsid w:val="0031713E"/>
    <w:rsid w:val="00320994"/>
    <w:rsid w:val="00322F6F"/>
    <w:rsid w:val="003241C4"/>
    <w:rsid w:val="00325F22"/>
    <w:rsid w:val="003268AA"/>
    <w:rsid w:val="003323FC"/>
    <w:rsid w:val="00335724"/>
    <w:rsid w:val="003366EC"/>
    <w:rsid w:val="00336897"/>
    <w:rsid w:val="003372EC"/>
    <w:rsid w:val="00337405"/>
    <w:rsid w:val="00343C64"/>
    <w:rsid w:val="00344116"/>
    <w:rsid w:val="00345E77"/>
    <w:rsid w:val="003464C4"/>
    <w:rsid w:val="00350997"/>
    <w:rsid w:val="00357188"/>
    <w:rsid w:val="00357CB1"/>
    <w:rsid w:val="00360AAD"/>
    <w:rsid w:val="00362AD3"/>
    <w:rsid w:val="00365DB4"/>
    <w:rsid w:val="00372D59"/>
    <w:rsid w:val="003735AF"/>
    <w:rsid w:val="00374382"/>
    <w:rsid w:val="003771AB"/>
    <w:rsid w:val="003800E5"/>
    <w:rsid w:val="00381802"/>
    <w:rsid w:val="00381ED9"/>
    <w:rsid w:val="003830D6"/>
    <w:rsid w:val="00385C8D"/>
    <w:rsid w:val="00386021"/>
    <w:rsid w:val="00386805"/>
    <w:rsid w:val="00386988"/>
    <w:rsid w:val="00392F56"/>
    <w:rsid w:val="0039341E"/>
    <w:rsid w:val="0039349A"/>
    <w:rsid w:val="003939C4"/>
    <w:rsid w:val="003A0F61"/>
    <w:rsid w:val="003A1B2B"/>
    <w:rsid w:val="003A591C"/>
    <w:rsid w:val="003B0049"/>
    <w:rsid w:val="003B0D99"/>
    <w:rsid w:val="003B2350"/>
    <w:rsid w:val="003B3C4B"/>
    <w:rsid w:val="003C015B"/>
    <w:rsid w:val="003C07E8"/>
    <w:rsid w:val="003C1AF2"/>
    <w:rsid w:val="003C5679"/>
    <w:rsid w:val="003C68EE"/>
    <w:rsid w:val="003C7B0B"/>
    <w:rsid w:val="003D1728"/>
    <w:rsid w:val="003D19BC"/>
    <w:rsid w:val="003D1CAB"/>
    <w:rsid w:val="003D2FFC"/>
    <w:rsid w:val="003D4EE1"/>
    <w:rsid w:val="003D56FD"/>
    <w:rsid w:val="003D657C"/>
    <w:rsid w:val="003D75B2"/>
    <w:rsid w:val="003D7990"/>
    <w:rsid w:val="003E0B6D"/>
    <w:rsid w:val="003E2CE7"/>
    <w:rsid w:val="003E6154"/>
    <w:rsid w:val="003E6B32"/>
    <w:rsid w:val="003F0D7D"/>
    <w:rsid w:val="003F2B50"/>
    <w:rsid w:val="004000B4"/>
    <w:rsid w:val="004009FC"/>
    <w:rsid w:val="004036C8"/>
    <w:rsid w:val="004052E3"/>
    <w:rsid w:val="0040533A"/>
    <w:rsid w:val="004061F9"/>
    <w:rsid w:val="004068A3"/>
    <w:rsid w:val="00407327"/>
    <w:rsid w:val="00412AC6"/>
    <w:rsid w:val="004134BC"/>
    <w:rsid w:val="0041492A"/>
    <w:rsid w:val="00415C87"/>
    <w:rsid w:val="00415DBC"/>
    <w:rsid w:val="00417B8C"/>
    <w:rsid w:val="004215E0"/>
    <w:rsid w:val="00421E9D"/>
    <w:rsid w:val="004224AD"/>
    <w:rsid w:val="004237C2"/>
    <w:rsid w:val="0043115C"/>
    <w:rsid w:val="0043137C"/>
    <w:rsid w:val="0043150F"/>
    <w:rsid w:val="00436AD8"/>
    <w:rsid w:val="004406D4"/>
    <w:rsid w:val="00442158"/>
    <w:rsid w:val="00442B11"/>
    <w:rsid w:val="00443AA6"/>
    <w:rsid w:val="00444452"/>
    <w:rsid w:val="0044558A"/>
    <w:rsid w:val="004465B3"/>
    <w:rsid w:val="004514FE"/>
    <w:rsid w:val="00451977"/>
    <w:rsid w:val="00454750"/>
    <w:rsid w:val="004579E8"/>
    <w:rsid w:val="0046576E"/>
    <w:rsid w:val="00472D9A"/>
    <w:rsid w:val="004750BF"/>
    <w:rsid w:val="00475B29"/>
    <w:rsid w:val="00476AEC"/>
    <w:rsid w:val="00476B30"/>
    <w:rsid w:val="00477999"/>
    <w:rsid w:val="0048192B"/>
    <w:rsid w:val="00482DAF"/>
    <w:rsid w:val="00484666"/>
    <w:rsid w:val="0048525B"/>
    <w:rsid w:val="00487931"/>
    <w:rsid w:val="00487C96"/>
    <w:rsid w:val="00491FC1"/>
    <w:rsid w:val="00495724"/>
    <w:rsid w:val="00497DA8"/>
    <w:rsid w:val="004A42DA"/>
    <w:rsid w:val="004A4C9A"/>
    <w:rsid w:val="004A6D5C"/>
    <w:rsid w:val="004B3B77"/>
    <w:rsid w:val="004B72AE"/>
    <w:rsid w:val="004B77C1"/>
    <w:rsid w:val="004C1003"/>
    <w:rsid w:val="004C1410"/>
    <w:rsid w:val="004C3B66"/>
    <w:rsid w:val="004C457C"/>
    <w:rsid w:val="004C5A7C"/>
    <w:rsid w:val="004C6508"/>
    <w:rsid w:val="004C6AA5"/>
    <w:rsid w:val="004D3387"/>
    <w:rsid w:val="004D5367"/>
    <w:rsid w:val="004D7A32"/>
    <w:rsid w:val="004D7ADF"/>
    <w:rsid w:val="004E0943"/>
    <w:rsid w:val="004E144F"/>
    <w:rsid w:val="004E2429"/>
    <w:rsid w:val="004E5E5D"/>
    <w:rsid w:val="004E68C8"/>
    <w:rsid w:val="004F12D5"/>
    <w:rsid w:val="004F14EA"/>
    <w:rsid w:val="004F299B"/>
    <w:rsid w:val="004F4263"/>
    <w:rsid w:val="004F45D5"/>
    <w:rsid w:val="0050155C"/>
    <w:rsid w:val="00501C56"/>
    <w:rsid w:val="00502134"/>
    <w:rsid w:val="0050239B"/>
    <w:rsid w:val="00502C4B"/>
    <w:rsid w:val="00502CFB"/>
    <w:rsid w:val="00507173"/>
    <w:rsid w:val="00512B47"/>
    <w:rsid w:val="00513A07"/>
    <w:rsid w:val="005200CE"/>
    <w:rsid w:val="00521733"/>
    <w:rsid w:val="00525522"/>
    <w:rsid w:val="00540627"/>
    <w:rsid w:val="00541067"/>
    <w:rsid w:val="005460CA"/>
    <w:rsid w:val="0055739C"/>
    <w:rsid w:val="005574E8"/>
    <w:rsid w:val="005641D3"/>
    <w:rsid w:val="0057192F"/>
    <w:rsid w:val="00572C20"/>
    <w:rsid w:val="00574F48"/>
    <w:rsid w:val="00580CFF"/>
    <w:rsid w:val="005810FE"/>
    <w:rsid w:val="005822A9"/>
    <w:rsid w:val="005840EB"/>
    <w:rsid w:val="00584D3C"/>
    <w:rsid w:val="0058643D"/>
    <w:rsid w:val="005868B9"/>
    <w:rsid w:val="0058751F"/>
    <w:rsid w:val="005918FF"/>
    <w:rsid w:val="00595EB2"/>
    <w:rsid w:val="005A1265"/>
    <w:rsid w:val="005A689F"/>
    <w:rsid w:val="005B1C66"/>
    <w:rsid w:val="005B4E76"/>
    <w:rsid w:val="005C34EE"/>
    <w:rsid w:val="005C4C1A"/>
    <w:rsid w:val="005D1FFB"/>
    <w:rsid w:val="005D2A2F"/>
    <w:rsid w:val="005D2B60"/>
    <w:rsid w:val="005D305D"/>
    <w:rsid w:val="005D392B"/>
    <w:rsid w:val="005D3CE6"/>
    <w:rsid w:val="005D54FA"/>
    <w:rsid w:val="005D74EB"/>
    <w:rsid w:val="005E2B7C"/>
    <w:rsid w:val="005E5173"/>
    <w:rsid w:val="005E6DE9"/>
    <w:rsid w:val="005E79B4"/>
    <w:rsid w:val="005F19FE"/>
    <w:rsid w:val="005F2EB0"/>
    <w:rsid w:val="005F566D"/>
    <w:rsid w:val="005F66E2"/>
    <w:rsid w:val="00600F03"/>
    <w:rsid w:val="00603DC6"/>
    <w:rsid w:val="006064AB"/>
    <w:rsid w:val="00611023"/>
    <w:rsid w:val="0061589D"/>
    <w:rsid w:val="0061796C"/>
    <w:rsid w:val="006205A5"/>
    <w:rsid w:val="00620F88"/>
    <w:rsid w:val="006270C5"/>
    <w:rsid w:val="006311E0"/>
    <w:rsid w:val="0063180F"/>
    <w:rsid w:val="006361F1"/>
    <w:rsid w:val="00642CF4"/>
    <w:rsid w:val="00644E19"/>
    <w:rsid w:val="00646656"/>
    <w:rsid w:val="006473CC"/>
    <w:rsid w:val="00647CC1"/>
    <w:rsid w:val="0065134A"/>
    <w:rsid w:val="0065283E"/>
    <w:rsid w:val="00652919"/>
    <w:rsid w:val="00653852"/>
    <w:rsid w:val="006562AF"/>
    <w:rsid w:val="00656346"/>
    <w:rsid w:val="00656EC1"/>
    <w:rsid w:val="00662616"/>
    <w:rsid w:val="00664732"/>
    <w:rsid w:val="0066606A"/>
    <w:rsid w:val="00672308"/>
    <w:rsid w:val="00672B39"/>
    <w:rsid w:val="006739E8"/>
    <w:rsid w:val="006739FC"/>
    <w:rsid w:val="006807DC"/>
    <w:rsid w:val="00682F76"/>
    <w:rsid w:val="006863F8"/>
    <w:rsid w:val="00686623"/>
    <w:rsid w:val="00686F14"/>
    <w:rsid w:val="00690ACC"/>
    <w:rsid w:val="00691637"/>
    <w:rsid w:val="0069191B"/>
    <w:rsid w:val="00693204"/>
    <w:rsid w:val="00693D79"/>
    <w:rsid w:val="006942C7"/>
    <w:rsid w:val="00695DE6"/>
    <w:rsid w:val="00697911"/>
    <w:rsid w:val="006A0B06"/>
    <w:rsid w:val="006A0F53"/>
    <w:rsid w:val="006A3F9B"/>
    <w:rsid w:val="006A4A7B"/>
    <w:rsid w:val="006A7539"/>
    <w:rsid w:val="006B28A8"/>
    <w:rsid w:val="006B605F"/>
    <w:rsid w:val="006C121E"/>
    <w:rsid w:val="006C131C"/>
    <w:rsid w:val="006C1567"/>
    <w:rsid w:val="006C2CCC"/>
    <w:rsid w:val="006C376A"/>
    <w:rsid w:val="006C5779"/>
    <w:rsid w:val="006C6595"/>
    <w:rsid w:val="006D1021"/>
    <w:rsid w:val="006D172B"/>
    <w:rsid w:val="006D3F4A"/>
    <w:rsid w:val="006D5B04"/>
    <w:rsid w:val="006D6C4F"/>
    <w:rsid w:val="006E5BAD"/>
    <w:rsid w:val="006E61DA"/>
    <w:rsid w:val="006F549D"/>
    <w:rsid w:val="007020DF"/>
    <w:rsid w:val="00702572"/>
    <w:rsid w:val="00703C87"/>
    <w:rsid w:val="00703CC4"/>
    <w:rsid w:val="0070496C"/>
    <w:rsid w:val="00706CC7"/>
    <w:rsid w:val="00712860"/>
    <w:rsid w:val="00713FE2"/>
    <w:rsid w:val="007167BC"/>
    <w:rsid w:val="00720B5C"/>
    <w:rsid w:val="00722DE3"/>
    <w:rsid w:val="00727940"/>
    <w:rsid w:val="00727CC9"/>
    <w:rsid w:val="0073078A"/>
    <w:rsid w:val="00732284"/>
    <w:rsid w:val="007323CE"/>
    <w:rsid w:val="00733732"/>
    <w:rsid w:val="00741564"/>
    <w:rsid w:val="00747341"/>
    <w:rsid w:val="007538C3"/>
    <w:rsid w:val="007539DD"/>
    <w:rsid w:val="0075489D"/>
    <w:rsid w:val="0075656C"/>
    <w:rsid w:val="00756F7B"/>
    <w:rsid w:val="007628C8"/>
    <w:rsid w:val="00762953"/>
    <w:rsid w:val="007635B1"/>
    <w:rsid w:val="00764713"/>
    <w:rsid w:val="00770386"/>
    <w:rsid w:val="00770F63"/>
    <w:rsid w:val="00772437"/>
    <w:rsid w:val="007732BB"/>
    <w:rsid w:val="00780A0C"/>
    <w:rsid w:val="00782B97"/>
    <w:rsid w:val="00784081"/>
    <w:rsid w:val="00784A27"/>
    <w:rsid w:val="00784D68"/>
    <w:rsid w:val="007872F6"/>
    <w:rsid w:val="007A38E7"/>
    <w:rsid w:val="007A49F6"/>
    <w:rsid w:val="007A7910"/>
    <w:rsid w:val="007B5837"/>
    <w:rsid w:val="007B695B"/>
    <w:rsid w:val="007B74A9"/>
    <w:rsid w:val="007B7878"/>
    <w:rsid w:val="007C16C1"/>
    <w:rsid w:val="007C3C82"/>
    <w:rsid w:val="007C3CA0"/>
    <w:rsid w:val="007C648B"/>
    <w:rsid w:val="007C7809"/>
    <w:rsid w:val="007C7B61"/>
    <w:rsid w:val="007D1AEE"/>
    <w:rsid w:val="007D28ED"/>
    <w:rsid w:val="007D4D8A"/>
    <w:rsid w:val="007E30A7"/>
    <w:rsid w:val="007E3477"/>
    <w:rsid w:val="007E5AC5"/>
    <w:rsid w:val="007E7CD8"/>
    <w:rsid w:val="007F0AB9"/>
    <w:rsid w:val="007F44B2"/>
    <w:rsid w:val="007F45FD"/>
    <w:rsid w:val="00802272"/>
    <w:rsid w:val="00802BDC"/>
    <w:rsid w:val="00802EC4"/>
    <w:rsid w:val="008030DA"/>
    <w:rsid w:val="0080386D"/>
    <w:rsid w:val="0080407B"/>
    <w:rsid w:val="0080629D"/>
    <w:rsid w:val="00810662"/>
    <w:rsid w:val="00810913"/>
    <w:rsid w:val="00813AD5"/>
    <w:rsid w:val="00813E73"/>
    <w:rsid w:val="0081450D"/>
    <w:rsid w:val="00820F1F"/>
    <w:rsid w:val="00824E18"/>
    <w:rsid w:val="00826844"/>
    <w:rsid w:val="00826F4B"/>
    <w:rsid w:val="00830474"/>
    <w:rsid w:val="0083272D"/>
    <w:rsid w:val="00843C5A"/>
    <w:rsid w:val="00850DED"/>
    <w:rsid w:val="00852405"/>
    <w:rsid w:val="0085327A"/>
    <w:rsid w:val="00855EF0"/>
    <w:rsid w:val="008562AF"/>
    <w:rsid w:val="00856CA9"/>
    <w:rsid w:val="008574AC"/>
    <w:rsid w:val="00860DC6"/>
    <w:rsid w:val="008641A8"/>
    <w:rsid w:val="008644F3"/>
    <w:rsid w:val="00867B4C"/>
    <w:rsid w:val="00871A47"/>
    <w:rsid w:val="00877879"/>
    <w:rsid w:val="00877BF2"/>
    <w:rsid w:val="00883BD0"/>
    <w:rsid w:val="00884C9F"/>
    <w:rsid w:val="00885C2C"/>
    <w:rsid w:val="0089046A"/>
    <w:rsid w:val="00891CC3"/>
    <w:rsid w:val="0089281C"/>
    <w:rsid w:val="00893599"/>
    <w:rsid w:val="00893A08"/>
    <w:rsid w:val="008952DA"/>
    <w:rsid w:val="00897E9C"/>
    <w:rsid w:val="008A1604"/>
    <w:rsid w:val="008A307B"/>
    <w:rsid w:val="008A7E53"/>
    <w:rsid w:val="008B4600"/>
    <w:rsid w:val="008B5269"/>
    <w:rsid w:val="008C46A0"/>
    <w:rsid w:val="008C7340"/>
    <w:rsid w:val="008D2A0A"/>
    <w:rsid w:val="008D4862"/>
    <w:rsid w:val="008E36B4"/>
    <w:rsid w:val="008E48A3"/>
    <w:rsid w:val="008E60D3"/>
    <w:rsid w:val="008E6701"/>
    <w:rsid w:val="008E710B"/>
    <w:rsid w:val="008F0704"/>
    <w:rsid w:val="008F108F"/>
    <w:rsid w:val="008F3BBD"/>
    <w:rsid w:val="00903079"/>
    <w:rsid w:val="009036FC"/>
    <w:rsid w:val="00904467"/>
    <w:rsid w:val="0090520D"/>
    <w:rsid w:val="00905AD4"/>
    <w:rsid w:val="00906AEE"/>
    <w:rsid w:val="00907627"/>
    <w:rsid w:val="0091007C"/>
    <w:rsid w:val="0091017C"/>
    <w:rsid w:val="009128BE"/>
    <w:rsid w:val="009133DC"/>
    <w:rsid w:val="00916A4A"/>
    <w:rsid w:val="00920221"/>
    <w:rsid w:val="00923B99"/>
    <w:rsid w:val="00923F28"/>
    <w:rsid w:val="0092400B"/>
    <w:rsid w:val="009266F3"/>
    <w:rsid w:val="00930FDC"/>
    <w:rsid w:val="0093278F"/>
    <w:rsid w:val="00933479"/>
    <w:rsid w:val="00940511"/>
    <w:rsid w:val="00941700"/>
    <w:rsid w:val="00943871"/>
    <w:rsid w:val="00946938"/>
    <w:rsid w:val="009471BE"/>
    <w:rsid w:val="0094725F"/>
    <w:rsid w:val="009521D6"/>
    <w:rsid w:val="0095595D"/>
    <w:rsid w:val="00957CDF"/>
    <w:rsid w:val="009642F2"/>
    <w:rsid w:val="00964C07"/>
    <w:rsid w:val="00965392"/>
    <w:rsid w:val="00972DAC"/>
    <w:rsid w:val="0097380C"/>
    <w:rsid w:val="0097525F"/>
    <w:rsid w:val="0097622F"/>
    <w:rsid w:val="009766C6"/>
    <w:rsid w:val="009775B6"/>
    <w:rsid w:val="00977A0D"/>
    <w:rsid w:val="00984A05"/>
    <w:rsid w:val="009865EF"/>
    <w:rsid w:val="009876E9"/>
    <w:rsid w:val="00990862"/>
    <w:rsid w:val="009938D6"/>
    <w:rsid w:val="00993964"/>
    <w:rsid w:val="009A2DDB"/>
    <w:rsid w:val="009A3135"/>
    <w:rsid w:val="009A4226"/>
    <w:rsid w:val="009B0D18"/>
    <w:rsid w:val="009B399D"/>
    <w:rsid w:val="009B3AD2"/>
    <w:rsid w:val="009B6086"/>
    <w:rsid w:val="009B7891"/>
    <w:rsid w:val="009C04B5"/>
    <w:rsid w:val="009C14C2"/>
    <w:rsid w:val="009C45A1"/>
    <w:rsid w:val="009C4AD7"/>
    <w:rsid w:val="009C6ADA"/>
    <w:rsid w:val="009D28A4"/>
    <w:rsid w:val="009D57E7"/>
    <w:rsid w:val="009D58BB"/>
    <w:rsid w:val="009E1AE6"/>
    <w:rsid w:val="009E2354"/>
    <w:rsid w:val="009E434C"/>
    <w:rsid w:val="009E4951"/>
    <w:rsid w:val="009E75FC"/>
    <w:rsid w:val="009F0134"/>
    <w:rsid w:val="009F3D6E"/>
    <w:rsid w:val="009F42A8"/>
    <w:rsid w:val="009F5CD7"/>
    <w:rsid w:val="009F5E30"/>
    <w:rsid w:val="009F6685"/>
    <w:rsid w:val="00A05148"/>
    <w:rsid w:val="00A067EC"/>
    <w:rsid w:val="00A06860"/>
    <w:rsid w:val="00A07A42"/>
    <w:rsid w:val="00A13E03"/>
    <w:rsid w:val="00A1408B"/>
    <w:rsid w:val="00A20D36"/>
    <w:rsid w:val="00A23717"/>
    <w:rsid w:val="00A2484B"/>
    <w:rsid w:val="00A259A7"/>
    <w:rsid w:val="00A25FF6"/>
    <w:rsid w:val="00A26F5B"/>
    <w:rsid w:val="00A320D2"/>
    <w:rsid w:val="00A332B5"/>
    <w:rsid w:val="00A360D3"/>
    <w:rsid w:val="00A403E0"/>
    <w:rsid w:val="00A445BE"/>
    <w:rsid w:val="00A45370"/>
    <w:rsid w:val="00A455C4"/>
    <w:rsid w:val="00A4667E"/>
    <w:rsid w:val="00A475DF"/>
    <w:rsid w:val="00A50A64"/>
    <w:rsid w:val="00A60946"/>
    <w:rsid w:val="00A615F0"/>
    <w:rsid w:val="00A61F61"/>
    <w:rsid w:val="00A62975"/>
    <w:rsid w:val="00A64BE6"/>
    <w:rsid w:val="00A6536D"/>
    <w:rsid w:val="00A65CD4"/>
    <w:rsid w:val="00A70867"/>
    <w:rsid w:val="00A70C28"/>
    <w:rsid w:val="00A74272"/>
    <w:rsid w:val="00A82F2D"/>
    <w:rsid w:val="00A836EE"/>
    <w:rsid w:val="00A83E78"/>
    <w:rsid w:val="00A846E6"/>
    <w:rsid w:val="00A90164"/>
    <w:rsid w:val="00A933F3"/>
    <w:rsid w:val="00A970A8"/>
    <w:rsid w:val="00AA4EBF"/>
    <w:rsid w:val="00AA6E3F"/>
    <w:rsid w:val="00AA7936"/>
    <w:rsid w:val="00AA7973"/>
    <w:rsid w:val="00AB1429"/>
    <w:rsid w:val="00AB1938"/>
    <w:rsid w:val="00AB674B"/>
    <w:rsid w:val="00AB699A"/>
    <w:rsid w:val="00AC0E68"/>
    <w:rsid w:val="00AC1051"/>
    <w:rsid w:val="00AC18C4"/>
    <w:rsid w:val="00AC1A89"/>
    <w:rsid w:val="00AC2AF0"/>
    <w:rsid w:val="00AC4D6F"/>
    <w:rsid w:val="00AD170B"/>
    <w:rsid w:val="00AD1DEE"/>
    <w:rsid w:val="00AD29EE"/>
    <w:rsid w:val="00AD74E7"/>
    <w:rsid w:val="00AE060F"/>
    <w:rsid w:val="00AE1377"/>
    <w:rsid w:val="00AE1C70"/>
    <w:rsid w:val="00AE31E2"/>
    <w:rsid w:val="00AE3969"/>
    <w:rsid w:val="00AE68BE"/>
    <w:rsid w:val="00AE6A5D"/>
    <w:rsid w:val="00AF02BA"/>
    <w:rsid w:val="00AF0B46"/>
    <w:rsid w:val="00AF3FFF"/>
    <w:rsid w:val="00AF4838"/>
    <w:rsid w:val="00AF6504"/>
    <w:rsid w:val="00AF6EA5"/>
    <w:rsid w:val="00B0018F"/>
    <w:rsid w:val="00B04F03"/>
    <w:rsid w:val="00B051CE"/>
    <w:rsid w:val="00B07F6F"/>
    <w:rsid w:val="00B11746"/>
    <w:rsid w:val="00B140EF"/>
    <w:rsid w:val="00B14144"/>
    <w:rsid w:val="00B14269"/>
    <w:rsid w:val="00B14FA7"/>
    <w:rsid w:val="00B20C04"/>
    <w:rsid w:val="00B30DA9"/>
    <w:rsid w:val="00B3626C"/>
    <w:rsid w:val="00B36776"/>
    <w:rsid w:val="00B36ABE"/>
    <w:rsid w:val="00B4478F"/>
    <w:rsid w:val="00B44C82"/>
    <w:rsid w:val="00B450FC"/>
    <w:rsid w:val="00B465B3"/>
    <w:rsid w:val="00B50F8D"/>
    <w:rsid w:val="00B5628B"/>
    <w:rsid w:val="00B619C6"/>
    <w:rsid w:val="00B61DAA"/>
    <w:rsid w:val="00B62376"/>
    <w:rsid w:val="00B75058"/>
    <w:rsid w:val="00B752BA"/>
    <w:rsid w:val="00B7765A"/>
    <w:rsid w:val="00B80106"/>
    <w:rsid w:val="00B8475C"/>
    <w:rsid w:val="00B8643A"/>
    <w:rsid w:val="00B91FB5"/>
    <w:rsid w:val="00B92D92"/>
    <w:rsid w:val="00B95A6A"/>
    <w:rsid w:val="00B961B4"/>
    <w:rsid w:val="00B96A5A"/>
    <w:rsid w:val="00BA0B61"/>
    <w:rsid w:val="00BA1753"/>
    <w:rsid w:val="00BA1AD0"/>
    <w:rsid w:val="00BA21A7"/>
    <w:rsid w:val="00BA39D5"/>
    <w:rsid w:val="00BB1853"/>
    <w:rsid w:val="00BB2B4F"/>
    <w:rsid w:val="00BB46B7"/>
    <w:rsid w:val="00BB5C25"/>
    <w:rsid w:val="00BB5C39"/>
    <w:rsid w:val="00BB5EB2"/>
    <w:rsid w:val="00BC091C"/>
    <w:rsid w:val="00BC0D74"/>
    <w:rsid w:val="00BC3761"/>
    <w:rsid w:val="00BC5699"/>
    <w:rsid w:val="00BD15E7"/>
    <w:rsid w:val="00BD4C75"/>
    <w:rsid w:val="00BD5A64"/>
    <w:rsid w:val="00BD6583"/>
    <w:rsid w:val="00BE55AC"/>
    <w:rsid w:val="00BE5811"/>
    <w:rsid w:val="00BE6A6B"/>
    <w:rsid w:val="00BE7F73"/>
    <w:rsid w:val="00BF24BC"/>
    <w:rsid w:val="00BF6247"/>
    <w:rsid w:val="00BF6968"/>
    <w:rsid w:val="00C0256A"/>
    <w:rsid w:val="00C02B7A"/>
    <w:rsid w:val="00C119D7"/>
    <w:rsid w:val="00C160F7"/>
    <w:rsid w:val="00C21F78"/>
    <w:rsid w:val="00C2281B"/>
    <w:rsid w:val="00C24FDE"/>
    <w:rsid w:val="00C25052"/>
    <w:rsid w:val="00C2633E"/>
    <w:rsid w:val="00C26EB9"/>
    <w:rsid w:val="00C3207E"/>
    <w:rsid w:val="00C33B5D"/>
    <w:rsid w:val="00C346CE"/>
    <w:rsid w:val="00C35010"/>
    <w:rsid w:val="00C352EC"/>
    <w:rsid w:val="00C40284"/>
    <w:rsid w:val="00C41D44"/>
    <w:rsid w:val="00C4613A"/>
    <w:rsid w:val="00C462E4"/>
    <w:rsid w:val="00C5048B"/>
    <w:rsid w:val="00C563A0"/>
    <w:rsid w:val="00C57FFC"/>
    <w:rsid w:val="00C646AF"/>
    <w:rsid w:val="00C700BC"/>
    <w:rsid w:val="00C727F6"/>
    <w:rsid w:val="00C73831"/>
    <w:rsid w:val="00C747D5"/>
    <w:rsid w:val="00C7541B"/>
    <w:rsid w:val="00C80805"/>
    <w:rsid w:val="00C82C0D"/>
    <w:rsid w:val="00C91036"/>
    <w:rsid w:val="00C9193B"/>
    <w:rsid w:val="00C91BB1"/>
    <w:rsid w:val="00C97F14"/>
    <w:rsid w:val="00CA0FEF"/>
    <w:rsid w:val="00CA3EC2"/>
    <w:rsid w:val="00CA6B55"/>
    <w:rsid w:val="00CA770E"/>
    <w:rsid w:val="00CB326A"/>
    <w:rsid w:val="00CB3661"/>
    <w:rsid w:val="00CB595B"/>
    <w:rsid w:val="00CB7092"/>
    <w:rsid w:val="00CB7771"/>
    <w:rsid w:val="00CB7C28"/>
    <w:rsid w:val="00CC0BE2"/>
    <w:rsid w:val="00CC340A"/>
    <w:rsid w:val="00CC3609"/>
    <w:rsid w:val="00CC3DC1"/>
    <w:rsid w:val="00CC4A12"/>
    <w:rsid w:val="00CD3536"/>
    <w:rsid w:val="00CD3BF0"/>
    <w:rsid w:val="00CD3DAC"/>
    <w:rsid w:val="00CD4989"/>
    <w:rsid w:val="00CD6047"/>
    <w:rsid w:val="00CD7AFE"/>
    <w:rsid w:val="00CE3A32"/>
    <w:rsid w:val="00CE3C1D"/>
    <w:rsid w:val="00CE46D3"/>
    <w:rsid w:val="00CE4B79"/>
    <w:rsid w:val="00CF2D37"/>
    <w:rsid w:val="00CF3837"/>
    <w:rsid w:val="00CF3C53"/>
    <w:rsid w:val="00CF5D30"/>
    <w:rsid w:val="00CF6DFD"/>
    <w:rsid w:val="00D0395E"/>
    <w:rsid w:val="00D03A4B"/>
    <w:rsid w:val="00D0496A"/>
    <w:rsid w:val="00D07C4E"/>
    <w:rsid w:val="00D106D6"/>
    <w:rsid w:val="00D14D28"/>
    <w:rsid w:val="00D20A0A"/>
    <w:rsid w:val="00D24015"/>
    <w:rsid w:val="00D3173A"/>
    <w:rsid w:val="00D34A87"/>
    <w:rsid w:val="00D413E4"/>
    <w:rsid w:val="00D441A6"/>
    <w:rsid w:val="00D4459A"/>
    <w:rsid w:val="00D45D39"/>
    <w:rsid w:val="00D50997"/>
    <w:rsid w:val="00D6004C"/>
    <w:rsid w:val="00D6106F"/>
    <w:rsid w:val="00D61E25"/>
    <w:rsid w:val="00D62425"/>
    <w:rsid w:val="00D6400C"/>
    <w:rsid w:val="00D640ED"/>
    <w:rsid w:val="00D64BB0"/>
    <w:rsid w:val="00D7218F"/>
    <w:rsid w:val="00D73F55"/>
    <w:rsid w:val="00D7500E"/>
    <w:rsid w:val="00D80D1D"/>
    <w:rsid w:val="00D83CBC"/>
    <w:rsid w:val="00D909D4"/>
    <w:rsid w:val="00D911A8"/>
    <w:rsid w:val="00D92BAA"/>
    <w:rsid w:val="00D968DA"/>
    <w:rsid w:val="00D96F04"/>
    <w:rsid w:val="00DA0266"/>
    <w:rsid w:val="00DA0CF8"/>
    <w:rsid w:val="00DA2E65"/>
    <w:rsid w:val="00DA4287"/>
    <w:rsid w:val="00DA53DC"/>
    <w:rsid w:val="00DA5B99"/>
    <w:rsid w:val="00DA7DA2"/>
    <w:rsid w:val="00DB3B45"/>
    <w:rsid w:val="00DB4511"/>
    <w:rsid w:val="00DB7A07"/>
    <w:rsid w:val="00DC1D2C"/>
    <w:rsid w:val="00DC1FB5"/>
    <w:rsid w:val="00DC26E2"/>
    <w:rsid w:val="00DC33B9"/>
    <w:rsid w:val="00DC5294"/>
    <w:rsid w:val="00DD31DD"/>
    <w:rsid w:val="00DD4E85"/>
    <w:rsid w:val="00DD6418"/>
    <w:rsid w:val="00DE1B30"/>
    <w:rsid w:val="00DE2002"/>
    <w:rsid w:val="00DE35FC"/>
    <w:rsid w:val="00DE72B5"/>
    <w:rsid w:val="00DF48D0"/>
    <w:rsid w:val="00DF6031"/>
    <w:rsid w:val="00E002FC"/>
    <w:rsid w:val="00E0269B"/>
    <w:rsid w:val="00E029DD"/>
    <w:rsid w:val="00E04E24"/>
    <w:rsid w:val="00E05F56"/>
    <w:rsid w:val="00E06A0C"/>
    <w:rsid w:val="00E06F9C"/>
    <w:rsid w:val="00E10C60"/>
    <w:rsid w:val="00E17726"/>
    <w:rsid w:val="00E177DC"/>
    <w:rsid w:val="00E201B1"/>
    <w:rsid w:val="00E21093"/>
    <w:rsid w:val="00E21C6F"/>
    <w:rsid w:val="00E24B33"/>
    <w:rsid w:val="00E324CF"/>
    <w:rsid w:val="00E350F8"/>
    <w:rsid w:val="00E36823"/>
    <w:rsid w:val="00E40AB2"/>
    <w:rsid w:val="00E41273"/>
    <w:rsid w:val="00E432BB"/>
    <w:rsid w:val="00E433EC"/>
    <w:rsid w:val="00E46CF7"/>
    <w:rsid w:val="00E47796"/>
    <w:rsid w:val="00E53924"/>
    <w:rsid w:val="00E54185"/>
    <w:rsid w:val="00E55E0B"/>
    <w:rsid w:val="00E56886"/>
    <w:rsid w:val="00E64DB0"/>
    <w:rsid w:val="00E6704E"/>
    <w:rsid w:val="00E718A7"/>
    <w:rsid w:val="00E72387"/>
    <w:rsid w:val="00E7460E"/>
    <w:rsid w:val="00E74D15"/>
    <w:rsid w:val="00E756A5"/>
    <w:rsid w:val="00E75FAC"/>
    <w:rsid w:val="00E7633D"/>
    <w:rsid w:val="00E800D0"/>
    <w:rsid w:val="00E80DF7"/>
    <w:rsid w:val="00E83190"/>
    <w:rsid w:val="00E868ED"/>
    <w:rsid w:val="00E8731D"/>
    <w:rsid w:val="00E875E8"/>
    <w:rsid w:val="00E922A1"/>
    <w:rsid w:val="00E96491"/>
    <w:rsid w:val="00EA375D"/>
    <w:rsid w:val="00EA4A8B"/>
    <w:rsid w:val="00EA4D38"/>
    <w:rsid w:val="00EA4FE4"/>
    <w:rsid w:val="00EB306E"/>
    <w:rsid w:val="00EB6948"/>
    <w:rsid w:val="00EB7123"/>
    <w:rsid w:val="00EB7635"/>
    <w:rsid w:val="00EC1ACF"/>
    <w:rsid w:val="00EC3FBF"/>
    <w:rsid w:val="00EC5752"/>
    <w:rsid w:val="00ED0521"/>
    <w:rsid w:val="00ED2376"/>
    <w:rsid w:val="00ED44E2"/>
    <w:rsid w:val="00EE363C"/>
    <w:rsid w:val="00EE6E87"/>
    <w:rsid w:val="00EE775D"/>
    <w:rsid w:val="00EF0A7F"/>
    <w:rsid w:val="00EF14DB"/>
    <w:rsid w:val="00EF20D0"/>
    <w:rsid w:val="00EF471C"/>
    <w:rsid w:val="00EF5256"/>
    <w:rsid w:val="00F00393"/>
    <w:rsid w:val="00F003CF"/>
    <w:rsid w:val="00F026AD"/>
    <w:rsid w:val="00F03729"/>
    <w:rsid w:val="00F049B5"/>
    <w:rsid w:val="00F05254"/>
    <w:rsid w:val="00F12B2A"/>
    <w:rsid w:val="00F1416C"/>
    <w:rsid w:val="00F22358"/>
    <w:rsid w:val="00F25AEF"/>
    <w:rsid w:val="00F27EB2"/>
    <w:rsid w:val="00F30003"/>
    <w:rsid w:val="00F3233C"/>
    <w:rsid w:val="00F33E66"/>
    <w:rsid w:val="00F37B1F"/>
    <w:rsid w:val="00F403F8"/>
    <w:rsid w:val="00F41C53"/>
    <w:rsid w:val="00F440A7"/>
    <w:rsid w:val="00F51FDE"/>
    <w:rsid w:val="00F57FF0"/>
    <w:rsid w:val="00F64D17"/>
    <w:rsid w:val="00F65C88"/>
    <w:rsid w:val="00F705C2"/>
    <w:rsid w:val="00F70B0C"/>
    <w:rsid w:val="00F70DC5"/>
    <w:rsid w:val="00F719AF"/>
    <w:rsid w:val="00F73630"/>
    <w:rsid w:val="00F7441B"/>
    <w:rsid w:val="00F75081"/>
    <w:rsid w:val="00F75DF6"/>
    <w:rsid w:val="00F7754B"/>
    <w:rsid w:val="00F837D2"/>
    <w:rsid w:val="00F83908"/>
    <w:rsid w:val="00F84AAA"/>
    <w:rsid w:val="00F87245"/>
    <w:rsid w:val="00F904A8"/>
    <w:rsid w:val="00F907CF"/>
    <w:rsid w:val="00F94C01"/>
    <w:rsid w:val="00F952A6"/>
    <w:rsid w:val="00F97AC0"/>
    <w:rsid w:val="00FA12B5"/>
    <w:rsid w:val="00FA4843"/>
    <w:rsid w:val="00FB1C01"/>
    <w:rsid w:val="00FB3424"/>
    <w:rsid w:val="00FB3BE4"/>
    <w:rsid w:val="00FB5EE7"/>
    <w:rsid w:val="00FC2705"/>
    <w:rsid w:val="00FC28F2"/>
    <w:rsid w:val="00FC57C9"/>
    <w:rsid w:val="00FC72AA"/>
    <w:rsid w:val="00FD212A"/>
    <w:rsid w:val="00FD36B8"/>
    <w:rsid w:val="00FE0928"/>
    <w:rsid w:val="00FE1D51"/>
    <w:rsid w:val="00FE5681"/>
    <w:rsid w:val="00FE5FF9"/>
    <w:rsid w:val="00FE7697"/>
    <w:rsid w:val="00FF0D68"/>
    <w:rsid w:val="00FF17A2"/>
    <w:rsid w:val="00FF3386"/>
    <w:rsid w:val="01001B5E"/>
    <w:rsid w:val="01390CAB"/>
    <w:rsid w:val="014F67AA"/>
    <w:rsid w:val="01E36B69"/>
    <w:rsid w:val="01F247B9"/>
    <w:rsid w:val="01FB2325"/>
    <w:rsid w:val="020F38ED"/>
    <w:rsid w:val="02145195"/>
    <w:rsid w:val="0227136C"/>
    <w:rsid w:val="022C0730"/>
    <w:rsid w:val="023377E9"/>
    <w:rsid w:val="02412321"/>
    <w:rsid w:val="025E72A1"/>
    <w:rsid w:val="027278C3"/>
    <w:rsid w:val="02830DC7"/>
    <w:rsid w:val="02A344D4"/>
    <w:rsid w:val="02BD7F1A"/>
    <w:rsid w:val="02F05C02"/>
    <w:rsid w:val="031625E7"/>
    <w:rsid w:val="031648DB"/>
    <w:rsid w:val="031A0804"/>
    <w:rsid w:val="032C7BBE"/>
    <w:rsid w:val="032D29B2"/>
    <w:rsid w:val="036F2B61"/>
    <w:rsid w:val="03796612"/>
    <w:rsid w:val="03B86D89"/>
    <w:rsid w:val="03D02B36"/>
    <w:rsid w:val="04000F8A"/>
    <w:rsid w:val="041B280B"/>
    <w:rsid w:val="046B2989"/>
    <w:rsid w:val="048F7F1C"/>
    <w:rsid w:val="049D2E8F"/>
    <w:rsid w:val="04F75026"/>
    <w:rsid w:val="04FE6E27"/>
    <w:rsid w:val="05020993"/>
    <w:rsid w:val="05082FBA"/>
    <w:rsid w:val="05183538"/>
    <w:rsid w:val="051F0351"/>
    <w:rsid w:val="051F6EF7"/>
    <w:rsid w:val="05272E91"/>
    <w:rsid w:val="057B34BE"/>
    <w:rsid w:val="057C730B"/>
    <w:rsid w:val="05860CDF"/>
    <w:rsid w:val="05914BF5"/>
    <w:rsid w:val="05EE12F2"/>
    <w:rsid w:val="060E0482"/>
    <w:rsid w:val="060E7C86"/>
    <w:rsid w:val="061E77F8"/>
    <w:rsid w:val="06530982"/>
    <w:rsid w:val="066A1943"/>
    <w:rsid w:val="0671705A"/>
    <w:rsid w:val="06A25465"/>
    <w:rsid w:val="06B65B1D"/>
    <w:rsid w:val="06BA6890"/>
    <w:rsid w:val="075D5336"/>
    <w:rsid w:val="07601CC2"/>
    <w:rsid w:val="077342FD"/>
    <w:rsid w:val="077448F1"/>
    <w:rsid w:val="079A2E7C"/>
    <w:rsid w:val="07CC2856"/>
    <w:rsid w:val="082F1EF4"/>
    <w:rsid w:val="08A3422F"/>
    <w:rsid w:val="08B00DD9"/>
    <w:rsid w:val="08B1373D"/>
    <w:rsid w:val="08E0519A"/>
    <w:rsid w:val="0930032E"/>
    <w:rsid w:val="093F3612"/>
    <w:rsid w:val="093F7A3E"/>
    <w:rsid w:val="09723869"/>
    <w:rsid w:val="09A95FBA"/>
    <w:rsid w:val="09B63701"/>
    <w:rsid w:val="09E81E1C"/>
    <w:rsid w:val="09EA35F9"/>
    <w:rsid w:val="09F75AC8"/>
    <w:rsid w:val="0A143439"/>
    <w:rsid w:val="0A1A531B"/>
    <w:rsid w:val="0A3960E0"/>
    <w:rsid w:val="0A410AF1"/>
    <w:rsid w:val="0A46138F"/>
    <w:rsid w:val="0A4D40CE"/>
    <w:rsid w:val="0A7464AF"/>
    <w:rsid w:val="0AB24B18"/>
    <w:rsid w:val="0ACB045F"/>
    <w:rsid w:val="0ADF474F"/>
    <w:rsid w:val="0AE75B3C"/>
    <w:rsid w:val="0AEF6025"/>
    <w:rsid w:val="0AF73501"/>
    <w:rsid w:val="0B2B530E"/>
    <w:rsid w:val="0B2C5CD0"/>
    <w:rsid w:val="0B5C3E34"/>
    <w:rsid w:val="0BA14FAB"/>
    <w:rsid w:val="0BB178BD"/>
    <w:rsid w:val="0BB64AA6"/>
    <w:rsid w:val="0BBC6A6C"/>
    <w:rsid w:val="0BDE5329"/>
    <w:rsid w:val="0BDF3EFB"/>
    <w:rsid w:val="0BE83040"/>
    <w:rsid w:val="0BEB7555"/>
    <w:rsid w:val="0C3B18D1"/>
    <w:rsid w:val="0C3E178C"/>
    <w:rsid w:val="0C920A59"/>
    <w:rsid w:val="0C945850"/>
    <w:rsid w:val="0C994C14"/>
    <w:rsid w:val="0CB1189D"/>
    <w:rsid w:val="0CBB417C"/>
    <w:rsid w:val="0CFB7591"/>
    <w:rsid w:val="0D037BA9"/>
    <w:rsid w:val="0D3A1F53"/>
    <w:rsid w:val="0D3F4C5C"/>
    <w:rsid w:val="0D9633DA"/>
    <w:rsid w:val="0D984ECC"/>
    <w:rsid w:val="0DBF68FD"/>
    <w:rsid w:val="0DD3525E"/>
    <w:rsid w:val="0DEF71E2"/>
    <w:rsid w:val="0E1675AF"/>
    <w:rsid w:val="0E1726E2"/>
    <w:rsid w:val="0E567346"/>
    <w:rsid w:val="0E710798"/>
    <w:rsid w:val="0E8A2A67"/>
    <w:rsid w:val="0EA46800"/>
    <w:rsid w:val="0ED168CE"/>
    <w:rsid w:val="0EEF6D6E"/>
    <w:rsid w:val="0F313EEC"/>
    <w:rsid w:val="0F56503F"/>
    <w:rsid w:val="0F9242C9"/>
    <w:rsid w:val="0FCE72CB"/>
    <w:rsid w:val="0FEC201A"/>
    <w:rsid w:val="0FF66E92"/>
    <w:rsid w:val="10F9381C"/>
    <w:rsid w:val="114D4BE4"/>
    <w:rsid w:val="1157681E"/>
    <w:rsid w:val="115C6DF2"/>
    <w:rsid w:val="11AB50B0"/>
    <w:rsid w:val="11CB0BC7"/>
    <w:rsid w:val="11D32016"/>
    <w:rsid w:val="11D36748"/>
    <w:rsid w:val="11DF59D1"/>
    <w:rsid w:val="1222214F"/>
    <w:rsid w:val="125E7369"/>
    <w:rsid w:val="12994A24"/>
    <w:rsid w:val="12B1658D"/>
    <w:rsid w:val="12BD0BBB"/>
    <w:rsid w:val="13240283"/>
    <w:rsid w:val="133158BF"/>
    <w:rsid w:val="1342794C"/>
    <w:rsid w:val="13857CA0"/>
    <w:rsid w:val="13D16141"/>
    <w:rsid w:val="14417F55"/>
    <w:rsid w:val="144A474E"/>
    <w:rsid w:val="14640CEF"/>
    <w:rsid w:val="14721F12"/>
    <w:rsid w:val="147E5A0F"/>
    <w:rsid w:val="14BA5EE3"/>
    <w:rsid w:val="14BC4850"/>
    <w:rsid w:val="14C667C2"/>
    <w:rsid w:val="14D8652D"/>
    <w:rsid w:val="14EB6229"/>
    <w:rsid w:val="151752B7"/>
    <w:rsid w:val="15376672"/>
    <w:rsid w:val="153D4CD7"/>
    <w:rsid w:val="155D099A"/>
    <w:rsid w:val="15C058C3"/>
    <w:rsid w:val="167504A0"/>
    <w:rsid w:val="16832BBD"/>
    <w:rsid w:val="16897AA8"/>
    <w:rsid w:val="16CE6209"/>
    <w:rsid w:val="171C6E96"/>
    <w:rsid w:val="173A54A8"/>
    <w:rsid w:val="17473998"/>
    <w:rsid w:val="17690DEA"/>
    <w:rsid w:val="17845664"/>
    <w:rsid w:val="17A10F75"/>
    <w:rsid w:val="17B63B04"/>
    <w:rsid w:val="18290C9B"/>
    <w:rsid w:val="18381850"/>
    <w:rsid w:val="18846779"/>
    <w:rsid w:val="18BE1F8F"/>
    <w:rsid w:val="192B16D5"/>
    <w:rsid w:val="193463F1"/>
    <w:rsid w:val="19566367"/>
    <w:rsid w:val="197D7F43"/>
    <w:rsid w:val="197F2E51"/>
    <w:rsid w:val="19A163B2"/>
    <w:rsid w:val="19AE5324"/>
    <w:rsid w:val="19B955C5"/>
    <w:rsid w:val="19CD3D99"/>
    <w:rsid w:val="1A1B135F"/>
    <w:rsid w:val="1A204BC7"/>
    <w:rsid w:val="1A3317DE"/>
    <w:rsid w:val="1A8F1D4D"/>
    <w:rsid w:val="1A98645C"/>
    <w:rsid w:val="1AA23D34"/>
    <w:rsid w:val="1AB6561F"/>
    <w:rsid w:val="1B304996"/>
    <w:rsid w:val="1B3C6D7B"/>
    <w:rsid w:val="1B603CC3"/>
    <w:rsid w:val="1B656D35"/>
    <w:rsid w:val="1B943177"/>
    <w:rsid w:val="1B95180F"/>
    <w:rsid w:val="1BD63096"/>
    <w:rsid w:val="1BFE2CE6"/>
    <w:rsid w:val="1C153AE9"/>
    <w:rsid w:val="1C192C72"/>
    <w:rsid w:val="1C250F01"/>
    <w:rsid w:val="1C6D5DF1"/>
    <w:rsid w:val="1C720C6A"/>
    <w:rsid w:val="1CCA041B"/>
    <w:rsid w:val="1CF24FB3"/>
    <w:rsid w:val="1D047E88"/>
    <w:rsid w:val="1D093F76"/>
    <w:rsid w:val="1D4F2836"/>
    <w:rsid w:val="1D525ECB"/>
    <w:rsid w:val="1D886D0B"/>
    <w:rsid w:val="1D910553"/>
    <w:rsid w:val="1D970CFC"/>
    <w:rsid w:val="1DCE77D9"/>
    <w:rsid w:val="1DDD0438"/>
    <w:rsid w:val="1E23398C"/>
    <w:rsid w:val="1E2B0E55"/>
    <w:rsid w:val="1ED0096A"/>
    <w:rsid w:val="1EF26B32"/>
    <w:rsid w:val="1F2B1346"/>
    <w:rsid w:val="1F352C30"/>
    <w:rsid w:val="1F505434"/>
    <w:rsid w:val="1F7677C4"/>
    <w:rsid w:val="1FA6791C"/>
    <w:rsid w:val="201551A5"/>
    <w:rsid w:val="203E0733"/>
    <w:rsid w:val="20420E0C"/>
    <w:rsid w:val="20582774"/>
    <w:rsid w:val="205D6DFA"/>
    <w:rsid w:val="208E4E27"/>
    <w:rsid w:val="20AA5795"/>
    <w:rsid w:val="20B0021E"/>
    <w:rsid w:val="20B971DB"/>
    <w:rsid w:val="20EC135F"/>
    <w:rsid w:val="20F16975"/>
    <w:rsid w:val="20FD4BE9"/>
    <w:rsid w:val="21323B14"/>
    <w:rsid w:val="213B0E0C"/>
    <w:rsid w:val="216A43DF"/>
    <w:rsid w:val="21815339"/>
    <w:rsid w:val="219619EB"/>
    <w:rsid w:val="21BE3663"/>
    <w:rsid w:val="21E20C16"/>
    <w:rsid w:val="22327245"/>
    <w:rsid w:val="22375E59"/>
    <w:rsid w:val="22632F84"/>
    <w:rsid w:val="22715FC0"/>
    <w:rsid w:val="227D7F10"/>
    <w:rsid w:val="229C4D6C"/>
    <w:rsid w:val="22A74A8D"/>
    <w:rsid w:val="22B9617A"/>
    <w:rsid w:val="22D311AB"/>
    <w:rsid w:val="230D7D95"/>
    <w:rsid w:val="23583567"/>
    <w:rsid w:val="237B69CA"/>
    <w:rsid w:val="23867849"/>
    <w:rsid w:val="23D33A2C"/>
    <w:rsid w:val="23E662C6"/>
    <w:rsid w:val="2400430B"/>
    <w:rsid w:val="249C450D"/>
    <w:rsid w:val="24B16B47"/>
    <w:rsid w:val="24B623B0"/>
    <w:rsid w:val="24DA2754"/>
    <w:rsid w:val="24F353B2"/>
    <w:rsid w:val="25164AD8"/>
    <w:rsid w:val="25330473"/>
    <w:rsid w:val="25520741"/>
    <w:rsid w:val="258B2BBD"/>
    <w:rsid w:val="259B5B37"/>
    <w:rsid w:val="25D56865"/>
    <w:rsid w:val="25F40FE4"/>
    <w:rsid w:val="25FA0362"/>
    <w:rsid w:val="25FD787E"/>
    <w:rsid w:val="26264BEF"/>
    <w:rsid w:val="26381C3C"/>
    <w:rsid w:val="266F5156"/>
    <w:rsid w:val="26A03E06"/>
    <w:rsid w:val="26C32B62"/>
    <w:rsid w:val="26DA5E46"/>
    <w:rsid w:val="26FC2BEF"/>
    <w:rsid w:val="274F4F48"/>
    <w:rsid w:val="276132A3"/>
    <w:rsid w:val="27787DF0"/>
    <w:rsid w:val="27A42993"/>
    <w:rsid w:val="27C8193D"/>
    <w:rsid w:val="27CD0D77"/>
    <w:rsid w:val="280E2503"/>
    <w:rsid w:val="281B64CE"/>
    <w:rsid w:val="286B3EB8"/>
    <w:rsid w:val="28791280"/>
    <w:rsid w:val="289D06A4"/>
    <w:rsid w:val="289D117B"/>
    <w:rsid w:val="28E319A9"/>
    <w:rsid w:val="28F45415"/>
    <w:rsid w:val="292B0BAB"/>
    <w:rsid w:val="29455AB0"/>
    <w:rsid w:val="29796299"/>
    <w:rsid w:val="299065D1"/>
    <w:rsid w:val="29AE171F"/>
    <w:rsid w:val="29B1407C"/>
    <w:rsid w:val="29BF492A"/>
    <w:rsid w:val="29D37560"/>
    <w:rsid w:val="29EC6874"/>
    <w:rsid w:val="29EF28D1"/>
    <w:rsid w:val="2AA1140C"/>
    <w:rsid w:val="2AB33E99"/>
    <w:rsid w:val="2AB5163B"/>
    <w:rsid w:val="2AC3033D"/>
    <w:rsid w:val="2AC33C8D"/>
    <w:rsid w:val="2AC80BB4"/>
    <w:rsid w:val="2B2058EC"/>
    <w:rsid w:val="2B6176A5"/>
    <w:rsid w:val="2BB3797E"/>
    <w:rsid w:val="2BD60FF5"/>
    <w:rsid w:val="2C2E7508"/>
    <w:rsid w:val="2C360F70"/>
    <w:rsid w:val="2C4A24BC"/>
    <w:rsid w:val="2C4F5415"/>
    <w:rsid w:val="2C5C5AC3"/>
    <w:rsid w:val="2C6F23C0"/>
    <w:rsid w:val="2C770676"/>
    <w:rsid w:val="2C8E776E"/>
    <w:rsid w:val="2CAC27B4"/>
    <w:rsid w:val="2CAD22EA"/>
    <w:rsid w:val="2CBA38AF"/>
    <w:rsid w:val="2CBD3336"/>
    <w:rsid w:val="2D1B36F8"/>
    <w:rsid w:val="2D7E3C87"/>
    <w:rsid w:val="2DA673FC"/>
    <w:rsid w:val="2E3A5DFF"/>
    <w:rsid w:val="2E5C0D7D"/>
    <w:rsid w:val="2E5C103F"/>
    <w:rsid w:val="2E6F4229"/>
    <w:rsid w:val="2ED10957"/>
    <w:rsid w:val="2EF04710"/>
    <w:rsid w:val="2EF44200"/>
    <w:rsid w:val="2F0F5B92"/>
    <w:rsid w:val="2F617CE8"/>
    <w:rsid w:val="2F993661"/>
    <w:rsid w:val="2F9C4A96"/>
    <w:rsid w:val="2FA63021"/>
    <w:rsid w:val="2FB765C9"/>
    <w:rsid w:val="2FDF7950"/>
    <w:rsid w:val="2FF95726"/>
    <w:rsid w:val="30041D0B"/>
    <w:rsid w:val="30215A5F"/>
    <w:rsid w:val="30536D75"/>
    <w:rsid w:val="30607673"/>
    <w:rsid w:val="3066064B"/>
    <w:rsid w:val="306C426A"/>
    <w:rsid w:val="30A90500"/>
    <w:rsid w:val="30B03E71"/>
    <w:rsid w:val="30BA2BFD"/>
    <w:rsid w:val="30D50A6F"/>
    <w:rsid w:val="30E80919"/>
    <w:rsid w:val="31365E69"/>
    <w:rsid w:val="313B63D4"/>
    <w:rsid w:val="31D16B10"/>
    <w:rsid w:val="32066457"/>
    <w:rsid w:val="321036F4"/>
    <w:rsid w:val="322411B1"/>
    <w:rsid w:val="3227669B"/>
    <w:rsid w:val="32353196"/>
    <w:rsid w:val="32366E69"/>
    <w:rsid w:val="323963CE"/>
    <w:rsid w:val="326351F9"/>
    <w:rsid w:val="32637E71"/>
    <w:rsid w:val="32655415"/>
    <w:rsid w:val="3278239F"/>
    <w:rsid w:val="329476BF"/>
    <w:rsid w:val="332B2606"/>
    <w:rsid w:val="33342AD0"/>
    <w:rsid w:val="33353039"/>
    <w:rsid w:val="335709DA"/>
    <w:rsid w:val="338A5133"/>
    <w:rsid w:val="341964B7"/>
    <w:rsid w:val="346911EC"/>
    <w:rsid w:val="34824BCA"/>
    <w:rsid w:val="34A41C1D"/>
    <w:rsid w:val="34BA1A48"/>
    <w:rsid w:val="34CE249A"/>
    <w:rsid w:val="34E32450"/>
    <w:rsid w:val="35260E8C"/>
    <w:rsid w:val="352D64E6"/>
    <w:rsid w:val="354B1493"/>
    <w:rsid w:val="354F588C"/>
    <w:rsid w:val="356E2833"/>
    <w:rsid w:val="3579545F"/>
    <w:rsid w:val="359977DE"/>
    <w:rsid w:val="35BF3945"/>
    <w:rsid w:val="35E548A3"/>
    <w:rsid w:val="35EF4737"/>
    <w:rsid w:val="35F965A0"/>
    <w:rsid w:val="35FF2BB0"/>
    <w:rsid w:val="360D799F"/>
    <w:rsid w:val="36507CF2"/>
    <w:rsid w:val="36714388"/>
    <w:rsid w:val="36797530"/>
    <w:rsid w:val="368E0855"/>
    <w:rsid w:val="3690424A"/>
    <w:rsid w:val="36AD1C0A"/>
    <w:rsid w:val="36C33B47"/>
    <w:rsid w:val="36DB2526"/>
    <w:rsid w:val="36E81FAA"/>
    <w:rsid w:val="36F650CC"/>
    <w:rsid w:val="36F6663C"/>
    <w:rsid w:val="37023232"/>
    <w:rsid w:val="37376406"/>
    <w:rsid w:val="3773431C"/>
    <w:rsid w:val="37931030"/>
    <w:rsid w:val="37A064B4"/>
    <w:rsid w:val="37C21DA8"/>
    <w:rsid w:val="37C826E9"/>
    <w:rsid w:val="384264A3"/>
    <w:rsid w:val="385D4FA0"/>
    <w:rsid w:val="386046B4"/>
    <w:rsid w:val="38832B94"/>
    <w:rsid w:val="388D0AC7"/>
    <w:rsid w:val="3892543A"/>
    <w:rsid w:val="389E4D8A"/>
    <w:rsid w:val="396604C3"/>
    <w:rsid w:val="396941C5"/>
    <w:rsid w:val="3985701A"/>
    <w:rsid w:val="39F50E2C"/>
    <w:rsid w:val="39F92A6F"/>
    <w:rsid w:val="3A5D3C90"/>
    <w:rsid w:val="3A5F3426"/>
    <w:rsid w:val="3A7167C7"/>
    <w:rsid w:val="3ACE7FFB"/>
    <w:rsid w:val="3AD35612"/>
    <w:rsid w:val="3AF177C4"/>
    <w:rsid w:val="3B292241"/>
    <w:rsid w:val="3B2F65C0"/>
    <w:rsid w:val="3B4169B9"/>
    <w:rsid w:val="3B4E57D8"/>
    <w:rsid w:val="3B7F49D2"/>
    <w:rsid w:val="3BC56FA9"/>
    <w:rsid w:val="3BC74A4B"/>
    <w:rsid w:val="3C061270"/>
    <w:rsid w:val="3C526A0A"/>
    <w:rsid w:val="3D104E55"/>
    <w:rsid w:val="3D263CCB"/>
    <w:rsid w:val="3D415C9C"/>
    <w:rsid w:val="3DA05553"/>
    <w:rsid w:val="3DAC446E"/>
    <w:rsid w:val="3DD3008D"/>
    <w:rsid w:val="3DE6740A"/>
    <w:rsid w:val="3E0A1416"/>
    <w:rsid w:val="3E267E31"/>
    <w:rsid w:val="3E6A3FF2"/>
    <w:rsid w:val="3E8426F9"/>
    <w:rsid w:val="3E846C23"/>
    <w:rsid w:val="3EC569DF"/>
    <w:rsid w:val="3F0B0D02"/>
    <w:rsid w:val="3F1B1335"/>
    <w:rsid w:val="3F360EFA"/>
    <w:rsid w:val="3F8621B4"/>
    <w:rsid w:val="3F877582"/>
    <w:rsid w:val="3F8C3FE1"/>
    <w:rsid w:val="3F9D4665"/>
    <w:rsid w:val="3FB377C0"/>
    <w:rsid w:val="3FBA6BAC"/>
    <w:rsid w:val="3FC00EDB"/>
    <w:rsid w:val="3FE22100"/>
    <w:rsid w:val="40152A5C"/>
    <w:rsid w:val="40175AF7"/>
    <w:rsid w:val="402E7B0C"/>
    <w:rsid w:val="40496A0A"/>
    <w:rsid w:val="407260A3"/>
    <w:rsid w:val="408D1DBF"/>
    <w:rsid w:val="409E3FCC"/>
    <w:rsid w:val="409F5F96"/>
    <w:rsid w:val="40AF442B"/>
    <w:rsid w:val="40F40267"/>
    <w:rsid w:val="41387988"/>
    <w:rsid w:val="413A7142"/>
    <w:rsid w:val="41624F19"/>
    <w:rsid w:val="418C47E4"/>
    <w:rsid w:val="41B507B9"/>
    <w:rsid w:val="41D036C3"/>
    <w:rsid w:val="41EA3241"/>
    <w:rsid w:val="421C1B41"/>
    <w:rsid w:val="43347D56"/>
    <w:rsid w:val="43572B58"/>
    <w:rsid w:val="438813BD"/>
    <w:rsid w:val="43A81B1F"/>
    <w:rsid w:val="43B36713"/>
    <w:rsid w:val="43DB4177"/>
    <w:rsid w:val="43FB6E2A"/>
    <w:rsid w:val="4426453A"/>
    <w:rsid w:val="443E65D3"/>
    <w:rsid w:val="447F4114"/>
    <w:rsid w:val="44C05125"/>
    <w:rsid w:val="450F4CEB"/>
    <w:rsid w:val="45440EBA"/>
    <w:rsid w:val="458F42F3"/>
    <w:rsid w:val="459B7DAD"/>
    <w:rsid w:val="45E60FE2"/>
    <w:rsid w:val="460139DA"/>
    <w:rsid w:val="46614463"/>
    <w:rsid w:val="46AF46EA"/>
    <w:rsid w:val="46D23429"/>
    <w:rsid w:val="46DE69F1"/>
    <w:rsid w:val="46ED5461"/>
    <w:rsid w:val="470C052E"/>
    <w:rsid w:val="47261121"/>
    <w:rsid w:val="4777639B"/>
    <w:rsid w:val="478A52AA"/>
    <w:rsid w:val="47A81BD4"/>
    <w:rsid w:val="47AD2D46"/>
    <w:rsid w:val="47C11D44"/>
    <w:rsid w:val="47CE2250"/>
    <w:rsid w:val="47DF0117"/>
    <w:rsid w:val="47EA676A"/>
    <w:rsid w:val="47F941DE"/>
    <w:rsid w:val="47FD3CCE"/>
    <w:rsid w:val="482A083B"/>
    <w:rsid w:val="48375F63"/>
    <w:rsid w:val="486B4136"/>
    <w:rsid w:val="48861F15"/>
    <w:rsid w:val="49291037"/>
    <w:rsid w:val="49467FBD"/>
    <w:rsid w:val="49493651"/>
    <w:rsid w:val="49583186"/>
    <w:rsid w:val="49E54B4B"/>
    <w:rsid w:val="49E914A9"/>
    <w:rsid w:val="4A232804"/>
    <w:rsid w:val="4A3A74F8"/>
    <w:rsid w:val="4A562271"/>
    <w:rsid w:val="4A68402E"/>
    <w:rsid w:val="4A86399F"/>
    <w:rsid w:val="4A8D51A6"/>
    <w:rsid w:val="4A8E33F5"/>
    <w:rsid w:val="4AF70DE0"/>
    <w:rsid w:val="4B2C6678"/>
    <w:rsid w:val="4B4E03F1"/>
    <w:rsid w:val="4B5736F5"/>
    <w:rsid w:val="4B6C7497"/>
    <w:rsid w:val="4B7122DD"/>
    <w:rsid w:val="4BA55B60"/>
    <w:rsid w:val="4C3B18D0"/>
    <w:rsid w:val="4C777565"/>
    <w:rsid w:val="4C82511E"/>
    <w:rsid w:val="4C831D18"/>
    <w:rsid w:val="4CFE7816"/>
    <w:rsid w:val="4D0379C1"/>
    <w:rsid w:val="4D167299"/>
    <w:rsid w:val="4D9B2190"/>
    <w:rsid w:val="4DEF5C09"/>
    <w:rsid w:val="4E251CAE"/>
    <w:rsid w:val="4E5C54C6"/>
    <w:rsid w:val="4E807407"/>
    <w:rsid w:val="4EA941DD"/>
    <w:rsid w:val="4EDA3738"/>
    <w:rsid w:val="4EE646D9"/>
    <w:rsid w:val="4EFA7B95"/>
    <w:rsid w:val="4F0E67C1"/>
    <w:rsid w:val="4F275AD4"/>
    <w:rsid w:val="4F373715"/>
    <w:rsid w:val="4F4F0AE7"/>
    <w:rsid w:val="4F4F4EDF"/>
    <w:rsid w:val="4F572937"/>
    <w:rsid w:val="4F6A02FC"/>
    <w:rsid w:val="4F730D1A"/>
    <w:rsid w:val="4FD65CF0"/>
    <w:rsid w:val="4FFB2BF0"/>
    <w:rsid w:val="50507AC1"/>
    <w:rsid w:val="505A6660"/>
    <w:rsid w:val="506B7C43"/>
    <w:rsid w:val="507174AB"/>
    <w:rsid w:val="50C3182D"/>
    <w:rsid w:val="511E0C6A"/>
    <w:rsid w:val="51295B34"/>
    <w:rsid w:val="51320E29"/>
    <w:rsid w:val="51781385"/>
    <w:rsid w:val="519135A4"/>
    <w:rsid w:val="51AB479B"/>
    <w:rsid w:val="51AE6039"/>
    <w:rsid w:val="51DD111A"/>
    <w:rsid w:val="51EB4B97"/>
    <w:rsid w:val="52010B05"/>
    <w:rsid w:val="52370552"/>
    <w:rsid w:val="524C286D"/>
    <w:rsid w:val="525E563F"/>
    <w:rsid w:val="528D1ED5"/>
    <w:rsid w:val="529E69EC"/>
    <w:rsid w:val="52CE1D53"/>
    <w:rsid w:val="52E6284B"/>
    <w:rsid w:val="52F61DEB"/>
    <w:rsid w:val="53096F0C"/>
    <w:rsid w:val="531225F7"/>
    <w:rsid w:val="5319146E"/>
    <w:rsid w:val="53195535"/>
    <w:rsid w:val="535B0542"/>
    <w:rsid w:val="53823E01"/>
    <w:rsid w:val="53A831A3"/>
    <w:rsid w:val="53B807D2"/>
    <w:rsid w:val="53BB4A3D"/>
    <w:rsid w:val="53E91331"/>
    <w:rsid w:val="54006F79"/>
    <w:rsid w:val="540F023D"/>
    <w:rsid w:val="543D36A4"/>
    <w:rsid w:val="54A51975"/>
    <w:rsid w:val="54A61F96"/>
    <w:rsid w:val="54CB3D70"/>
    <w:rsid w:val="54F338F6"/>
    <w:rsid w:val="54F711FD"/>
    <w:rsid w:val="55124F1B"/>
    <w:rsid w:val="55236F1E"/>
    <w:rsid w:val="552D2D7E"/>
    <w:rsid w:val="553A6F37"/>
    <w:rsid w:val="555D64DF"/>
    <w:rsid w:val="5563538C"/>
    <w:rsid w:val="55771970"/>
    <w:rsid w:val="55857720"/>
    <w:rsid w:val="5593635C"/>
    <w:rsid w:val="564C7ECD"/>
    <w:rsid w:val="56645B03"/>
    <w:rsid w:val="56B26220"/>
    <w:rsid w:val="5705494D"/>
    <w:rsid w:val="57256D9D"/>
    <w:rsid w:val="574D76A8"/>
    <w:rsid w:val="57776F04"/>
    <w:rsid w:val="578606B8"/>
    <w:rsid w:val="57911D3D"/>
    <w:rsid w:val="57933546"/>
    <w:rsid w:val="579B4399"/>
    <w:rsid w:val="586043BD"/>
    <w:rsid w:val="587D2831"/>
    <w:rsid w:val="58A7627A"/>
    <w:rsid w:val="58C6010C"/>
    <w:rsid w:val="58D05DCC"/>
    <w:rsid w:val="59165643"/>
    <w:rsid w:val="59215342"/>
    <w:rsid w:val="592A74D8"/>
    <w:rsid w:val="596066E4"/>
    <w:rsid w:val="59A71CEC"/>
    <w:rsid w:val="59A9723E"/>
    <w:rsid w:val="59B8606C"/>
    <w:rsid w:val="59F12F67"/>
    <w:rsid w:val="59F2790A"/>
    <w:rsid w:val="5A063C1F"/>
    <w:rsid w:val="5A0F163F"/>
    <w:rsid w:val="5A1F7AD4"/>
    <w:rsid w:val="5A2C3F9F"/>
    <w:rsid w:val="5A465E1E"/>
    <w:rsid w:val="5A4D4839"/>
    <w:rsid w:val="5A5A0B0C"/>
    <w:rsid w:val="5A5D05FC"/>
    <w:rsid w:val="5A88000C"/>
    <w:rsid w:val="5A98305E"/>
    <w:rsid w:val="5AF5487E"/>
    <w:rsid w:val="5B0D2022"/>
    <w:rsid w:val="5B2F4C2E"/>
    <w:rsid w:val="5B4D0671"/>
    <w:rsid w:val="5B503CBD"/>
    <w:rsid w:val="5B595267"/>
    <w:rsid w:val="5B643219"/>
    <w:rsid w:val="5B693E30"/>
    <w:rsid w:val="5B7955E1"/>
    <w:rsid w:val="5B7E4CCE"/>
    <w:rsid w:val="5B880C29"/>
    <w:rsid w:val="5B8916F0"/>
    <w:rsid w:val="5B9B227A"/>
    <w:rsid w:val="5BCF1086"/>
    <w:rsid w:val="5BD5207A"/>
    <w:rsid w:val="5BFB631F"/>
    <w:rsid w:val="5C0A3720"/>
    <w:rsid w:val="5C541E75"/>
    <w:rsid w:val="5C905232"/>
    <w:rsid w:val="5CF13CA8"/>
    <w:rsid w:val="5D457AD5"/>
    <w:rsid w:val="5D663C6C"/>
    <w:rsid w:val="5D782C0D"/>
    <w:rsid w:val="5D883BE2"/>
    <w:rsid w:val="5D8A49DA"/>
    <w:rsid w:val="5D997B9D"/>
    <w:rsid w:val="5DAC4BE6"/>
    <w:rsid w:val="5DE352BC"/>
    <w:rsid w:val="5DE941A8"/>
    <w:rsid w:val="5E4C3B0C"/>
    <w:rsid w:val="5E607FBA"/>
    <w:rsid w:val="5E8B2A9E"/>
    <w:rsid w:val="5E970FB3"/>
    <w:rsid w:val="5EA20CD3"/>
    <w:rsid w:val="5ECC7FF6"/>
    <w:rsid w:val="5EF71A2E"/>
    <w:rsid w:val="5F173D54"/>
    <w:rsid w:val="5F1871E8"/>
    <w:rsid w:val="5F3B6A32"/>
    <w:rsid w:val="5F4B2026"/>
    <w:rsid w:val="5F4E5A6B"/>
    <w:rsid w:val="5F755447"/>
    <w:rsid w:val="5F7633E1"/>
    <w:rsid w:val="5FBA428F"/>
    <w:rsid w:val="5FC90BC4"/>
    <w:rsid w:val="5FFF5CB2"/>
    <w:rsid w:val="60145C01"/>
    <w:rsid w:val="603E675D"/>
    <w:rsid w:val="60771AF7"/>
    <w:rsid w:val="608508AD"/>
    <w:rsid w:val="60945747"/>
    <w:rsid w:val="61021EFD"/>
    <w:rsid w:val="611D6D37"/>
    <w:rsid w:val="61414EC5"/>
    <w:rsid w:val="619A2136"/>
    <w:rsid w:val="61A05D0D"/>
    <w:rsid w:val="61A11716"/>
    <w:rsid w:val="61D33554"/>
    <w:rsid w:val="61E440DD"/>
    <w:rsid w:val="61F9279B"/>
    <w:rsid w:val="6223037D"/>
    <w:rsid w:val="62383E28"/>
    <w:rsid w:val="6269054E"/>
    <w:rsid w:val="6277774D"/>
    <w:rsid w:val="62933447"/>
    <w:rsid w:val="62A74B0A"/>
    <w:rsid w:val="631A266F"/>
    <w:rsid w:val="632919C3"/>
    <w:rsid w:val="63387E58"/>
    <w:rsid w:val="63587929"/>
    <w:rsid w:val="635A1EEF"/>
    <w:rsid w:val="638905F3"/>
    <w:rsid w:val="64200CAB"/>
    <w:rsid w:val="64231BC8"/>
    <w:rsid w:val="64B67287"/>
    <w:rsid w:val="64E73B4C"/>
    <w:rsid w:val="653B7979"/>
    <w:rsid w:val="65557C5F"/>
    <w:rsid w:val="6571552F"/>
    <w:rsid w:val="658D448B"/>
    <w:rsid w:val="65F04A1A"/>
    <w:rsid w:val="65F92318"/>
    <w:rsid w:val="66320B8F"/>
    <w:rsid w:val="66422C32"/>
    <w:rsid w:val="66680A54"/>
    <w:rsid w:val="666B40A1"/>
    <w:rsid w:val="669E504F"/>
    <w:rsid w:val="66F84FF9"/>
    <w:rsid w:val="67004730"/>
    <w:rsid w:val="672056F7"/>
    <w:rsid w:val="67310E46"/>
    <w:rsid w:val="6735504D"/>
    <w:rsid w:val="67541B14"/>
    <w:rsid w:val="675568A7"/>
    <w:rsid w:val="67917B37"/>
    <w:rsid w:val="67950862"/>
    <w:rsid w:val="679725AA"/>
    <w:rsid w:val="679C4C2F"/>
    <w:rsid w:val="67AA5973"/>
    <w:rsid w:val="67BC4FE7"/>
    <w:rsid w:val="67FC65A0"/>
    <w:rsid w:val="67FE3CF4"/>
    <w:rsid w:val="6844104D"/>
    <w:rsid w:val="687C3700"/>
    <w:rsid w:val="68B24209"/>
    <w:rsid w:val="695418C6"/>
    <w:rsid w:val="69BB0264"/>
    <w:rsid w:val="69DC5840"/>
    <w:rsid w:val="69F54125"/>
    <w:rsid w:val="6A3300C9"/>
    <w:rsid w:val="6A5A3F3D"/>
    <w:rsid w:val="6A5F3F1C"/>
    <w:rsid w:val="6A6D5A47"/>
    <w:rsid w:val="6A732FD7"/>
    <w:rsid w:val="6A8F4802"/>
    <w:rsid w:val="6AA0465D"/>
    <w:rsid w:val="6AD063C7"/>
    <w:rsid w:val="6B10115D"/>
    <w:rsid w:val="6B32518D"/>
    <w:rsid w:val="6B421874"/>
    <w:rsid w:val="6B7B4D86"/>
    <w:rsid w:val="6B867CE0"/>
    <w:rsid w:val="6C087997"/>
    <w:rsid w:val="6C8F6507"/>
    <w:rsid w:val="6CB346D4"/>
    <w:rsid w:val="6CD3524C"/>
    <w:rsid w:val="6D147240"/>
    <w:rsid w:val="6DFB21AE"/>
    <w:rsid w:val="6E023A0F"/>
    <w:rsid w:val="6E113780"/>
    <w:rsid w:val="6E9D6C9E"/>
    <w:rsid w:val="6EEC1C81"/>
    <w:rsid w:val="6F322E5B"/>
    <w:rsid w:val="6F453364"/>
    <w:rsid w:val="6FAA7F8C"/>
    <w:rsid w:val="6FAF1724"/>
    <w:rsid w:val="6FF0459E"/>
    <w:rsid w:val="7011158F"/>
    <w:rsid w:val="70335156"/>
    <w:rsid w:val="705F6642"/>
    <w:rsid w:val="70750B7C"/>
    <w:rsid w:val="70B51F98"/>
    <w:rsid w:val="70EB475C"/>
    <w:rsid w:val="70ED3198"/>
    <w:rsid w:val="70FF4F84"/>
    <w:rsid w:val="71031B34"/>
    <w:rsid w:val="71184E25"/>
    <w:rsid w:val="71237E14"/>
    <w:rsid w:val="71255558"/>
    <w:rsid w:val="718F7BD3"/>
    <w:rsid w:val="71981F8F"/>
    <w:rsid w:val="71BB7557"/>
    <w:rsid w:val="71C2167F"/>
    <w:rsid w:val="722561A2"/>
    <w:rsid w:val="723D69DE"/>
    <w:rsid w:val="723E2669"/>
    <w:rsid w:val="725A650E"/>
    <w:rsid w:val="72884E00"/>
    <w:rsid w:val="729561C9"/>
    <w:rsid w:val="72C64402"/>
    <w:rsid w:val="72DD6326"/>
    <w:rsid w:val="72FC67AC"/>
    <w:rsid w:val="730B1CE4"/>
    <w:rsid w:val="732A75C8"/>
    <w:rsid w:val="73605898"/>
    <w:rsid w:val="73911FC7"/>
    <w:rsid w:val="739245DE"/>
    <w:rsid w:val="73C15B30"/>
    <w:rsid w:val="73C90659"/>
    <w:rsid w:val="74CB7801"/>
    <w:rsid w:val="74D54388"/>
    <w:rsid w:val="74F169B5"/>
    <w:rsid w:val="7556389F"/>
    <w:rsid w:val="755C1784"/>
    <w:rsid w:val="75C51C13"/>
    <w:rsid w:val="75D75FBD"/>
    <w:rsid w:val="75E91233"/>
    <w:rsid w:val="75ED3F65"/>
    <w:rsid w:val="75F15DCD"/>
    <w:rsid w:val="76684159"/>
    <w:rsid w:val="76890B62"/>
    <w:rsid w:val="768C42EB"/>
    <w:rsid w:val="76A2766B"/>
    <w:rsid w:val="76DA32A9"/>
    <w:rsid w:val="76F459ED"/>
    <w:rsid w:val="770C0D77"/>
    <w:rsid w:val="77247D3C"/>
    <w:rsid w:val="77413067"/>
    <w:rsid w:val="77477A0F"/>
    <w:rsid w:val="779E0C90"/>
    <w:rsid w:val="77A667FB"/>
    <w:rsid w:val="77B75398"/>
    <w:rsid w:val="77D55EF7"/>
    <w:rsid w:val="78284206"/>
    <w:rsid w:val="783E51A3"/>
    <w:rsid w:val="786E56DB"/>
    <w:rsid w:val="78727114"/>
    <w:rsid w:val="787B2B48"/>
    <w:rsid w:val="79102FB2"/>
    <w:rsid w:val="794B3FEA"/>
    <w:rsid w:val="79B3393D"/>
    <w:rsid w:val="79B45A74"/>
    <w:rsid w:val="79C3399F"/>
    <w:rsid w:val="79E50C1C"/>
    <w:rsid w:val="79F5275F"/>
    <w:rsid w:val="7A6B353C"/>
    <w:rsid w:val="7B6323CE"/>
    <w:rsid w:val="7B8D28FF"/>
    <w:rsid w:val="7B942BD8"/>
    <w:rsid w:val="7B9B782C"/>
    <w:rsid w:val="7B9D7990"/>
    <w:rsid w:val="7BD842BE"/>
    <w:rsid w:val="7C20038C"/>
    <w:rsid w:val="7C305B01"/>
    <w:rsid w:val="7C413125"/>
    <w:rsid w:val="7C596A1E"/>
    <w:rsid w:val="7CB43944"/>
    <w:rsid w:val="7CC7600D"/>
    <w:rsid w:val="7CD0308A"/>
    <w:rsid w:val="7CDE5175"/>
    <w:rsid w:val="7CF342DD"/>
    <w:rsid w:val="7D020569"/>
    <w:rsid w:val="7D1B3CD3"/>
    <w:rsid w:val="7D2331CB"/>
    <w:rsid w:val="7DD70A02"/>
    <w:rsid w:val="7DE53EEE"/>
    <w:rsid w:val="7E196443"/>
    <w:rsid w:val="7E1C5F55"/>
    <w:rsid w:val="7E6D67B0"/>
    <w:rsid w:val="7E7C0D2D"/>
    <w:rsid w:val="7E814C19"/>
    <w:rsid w:val="7EA97F2A"/>
    <w:rsid w:val="7EC5039A"/>
    <w:rsid w:val="7EDE2CC5"/>
    <w:rsid w:val="7F5416F6"/>
    <w:rsid w:val="7F54171E"/>
    <w:rsid w:val="7F642A53"/>
    <w:rsid w:val="7F745BF8"/>
    <w:rsid w:val="7F783966"/>
    <w:rsid w:val="7F9433DD"/>
    <w:rsid w:val="7F9E2466"/>
    <w:rsid w:val="7FA02BB5"/>
    <w:rsid w:val="7FA8155B"/>
    <w:rsid w:val="7FB70293"/>
    <w:rsid w:val="7FBF697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3"/>
    <w:next w:val="1"/>
    <w:link w:val="55"/>
    <w:qFormat/>
    <w:uiPriority w:val="0"/>
    <w:pPr>
      <w:keepNext/>
      <w:keepLines/>
      <w:spacing w:beforeLines="0" w:afterLines="0" w:line="360" w:lineRule="auto"/>
      <w:outlineLvl w:val="0"/>
    </w:pPr>
    <w:rPr>
      <w:rFonts w:hint="eastAsia"/>
      <w:kern w:val="44"/>
      <w:sz w:val="32"/>
    </w:rPr>
  </w:style>
  <w:style w:type="paragraph" w:styleId="4">
    <w:name w:val="heading 2"/>
    <w:basedOn w:val="1"/>
    <w:next w:val="1"/>
    <w:qFormat/>
    <w:uiPriority w:val="0"/>
    <w:pPr>
      <w:keepNext/>
      <w:keepLines/>
      <w:spacing w:before="260" w:beforeLines="0" w:after="260" w:afterLines="0" w:line="416" w:lineRule="auto"/>
      <w:jc w:val="left"/>
      <w:outlineLvl w:val="1"/>
    </w:pPr>
    <w:rPr>
      <w:rFonts w:hint="eastAsia" w:ascii="Cambria" w:hAnsi="Cambria"/>
      <w:b/>
      <w:sz w:val="32"/>
    </w:rPr>
  </w:style>
  <w:style w:type="paragraph" w:styleId="5">
    <w:name w:val="heading 3"/>
    <w:basedOn w:val="1"/>
    <w:next w:val="1"/>
    <w:qFormat/>
    <w:uiPriority w:val="0"/>
    <w:pPr>
      <w:keepNext/>
      <w:keepLines/>
      <w:spacing w:beforeLines="0" w:afterLines="0" w:line="360" w:lineRule="auto"/>
      <w:outlineLvl w:val="2"/>
    </w:pPr>
    <w:rPr>
      <w:rFonts w:hint="eastAsia"/>
      <w:b/>
      <w:sz w:val="24"/>
    </w:rPr>
  </w:style>
  <w:style w:type="paragraph" w:styleId="6">
    <w:name w:val="heading 4"/>
    <w:basedOn w:val="1"/>
    <w:next w:val="1"/>
    <w:link w:val="56"/>
    <w:qFormat/>
    <w:uiPriority w:val="0"/>
    <w:pPr>
      <w:keepNext/>
      <w:keepLines/>
      <w:spacing w:before="280" w:after="290" w:line="376" w:lineRule="auto"/>
      <w:outlineLvl w:val="3"/>
    </w:pPr>
    <w:rPr>
      <w:rFonts w:hint="default" w:ascii="Cambria" w:hAnsi="Cambria"/>
      <w:b/>
      <w:bCs/>
      <w:sz w:val="28"/>
      <w:szCs w:val="28"/>
    </w:rPr>
  </w:style>
  <w:style w:type="paragraph" w:styleId="7">
    <w:name w:val="heading 5"/>
    <w:basedOn w:val="1"/>
    <w:next w:val="8"/>
    <w:link w:val="57"/>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rPr>
  </w:style>
  <w:style w:type="paragraph" w:styleId="9">
    <w:name w:val="heading 6"/>
    <w:basedOn w:val="1"/>
    <w:next w:val="1"/>
    <w:link w:val="58"/>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rPr>
  </w:style>
  <w:style w:type="paragraph" w:styleId="10">
    <w:name w:val="heading 7"/>
    <w:basedOn w:val="1"/>
    <w:next w:val="1"/>
    <w:link w:val="59"/>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rPr>
  </w:style>
  <w:style w:type="paragraph" w:styleId="11">
    <w:name w:val="heading 8"/>
    <w:basedOn w:val="1"/>
    <w:next w:val="1"/>
    <w:link w:val="60"/>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rPr>
  </w:style>
  <w:style w:type="paragraph" w:styleId="12">
    <w:name w:val="heading 9"/>
    <w:basedOn w:val="1"/>
    <w:next w:val="1"/>
    <w:link w:val="61"/>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rPr>
  </w:style>
  <w:style w:type="character" w:default="1" w:styleId="40">
    <w:name w:val="Default Paragraph Font"/>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3">
    <w:name w:val="Title"/>
    <w:basedOn w:val="4"/>
    <w:next w:val="1"/>
    <w:qFormat/>
    <w:uiPriority w:val="0"/>
    <w:pPr>
      <w:adjustRightInd w:val="0"/>
      <w:spacing w:before="240" w:after="60" w:line="420" w:lineRule="atLeast"/>
      <w:jc w:val="center"/>
      <w:textAlignment w:val="baseline"/>
      <w:outlineLvl w:val="0"/>
    </w:pPr>
    <w:rPr>
      <w:rFonts w:ascii="Arial" w:hAnsi="Arial"/>
      <w:kern w:val="0"/>
      <w:sz w:val="32"/>
      <w:szCs w:val="20"/>
    </w:rPr>
  </w:style>
  <w:style w:type="paragraph" w:styleId="8">
    <w:name w:val="Body Text Indent"/>
    <w:basedOn w:val="1"/>
    <w:qFormat/>
    <w:uiPriority w:val="0"/>
    <w:pPr>
      <w:spacing w:beforeLines="0" w:afterLines="0" w:line="360" w:lineRule="auto"/>
      <w:ind w:left="424" w:leftChars="202" w:firstLine="567"/>
    </w:pPr>
    <w:rPr>
      <w:rFonts w:hint="eastAsia"/>
      <w:sz w:val="24"/>
    </w:rPr>
  </w:style>
  <w:style w:type="paragraph" w:styleId="13">
    <w:name w:val="Normal Indent"/>
    <w:basedOn w:val="1"/>
    <w:qFormat/>
    <w:uiPriority w:val="99"/>
    <w:pPr>
      <w:autoSpaceDE w:val="0"/>
      <w:autoSpaceDN w:val="0"/>
      <w:adjustRightInd w:val="0"/>
      <w:ind w:firstLine="420"/>
    </w:pPr>
    <w:rPr>
      <w:kern w:val="0"/>
      <w:szCs w:val="21"/>
    </w:rPr>
  </w:style>
  <w:style w:type="paragraph" w:styleId="14">
    <w:name w:val="Document Map"/>
    <w:basedOn w:val="1"/>
    <w:link w:val="62"/>
    <w:qFormat/>
    <w:uiPriority w:val="0"/>
    <w:rPr>
      <w:rFonts w:hint="default" w:ascii="宋体"/>
      <w:sz w:val="18"/>
      <w:szCs w:val="18"/>
    </w:rPr>
  </w:style>
  <w:style w:type="paragraph" w:styleId="15">
    <w:name w:val="annotation text"/>
    <w:basedOn w:val="1"/>
    <w:link w:val="63"/>
    <w:qFormat/>
    <w:uiPriority w:val="0"/>
    <w:pPr>
      <w:spacing w:beforeLines="0" w:afterLines="0"/>
      <w:jc w:val="left"/>
    </w:pPr>
    <w:rPr>
      <w:rFonts w:hint="default"/>
    </w:rPr>
  </w:style>
  <w:style w:type="paragraph" w:styleId="16">
    <w:name w:val="Body Text 3"/>
    <w:basedOn w:val="1"/>
    <w:link w:val="64"/>
    <w:qFormat/>
    <w:uiPriority w:val="0"/>
    <w:pPr>
      <w:spacing w:after="120"/>
    </w:pPr>
    <w:rPr>
      <w:rFonts w:hint="default"/>
      <w:sz w:val="16"/>
      <w:szCs w:val="16"/>
    </w:rPr>
  </w:style>
  <w:style w:type="paragraph" w:styleId="17">
    <w:name w:val="Body Text"/>
    <w:basedOn w:val="1"/>
    <w:next w:val="1"/>
    <w:link w:val="65"/>
    <w:qFormat/>
    <w:uiPriority w:val="0"/>
    <w:pPr>
      <w:spacing w:beforeLines="0" w:afterLines="0"/>
      <w:jc w:val="center"/>
    </w:pPr>
    <w:rPr>
      <w:rFonts w:hint="default"/>
    </w:rPr>
  </w:style>
  <w:style w:type="paragraph" w:styleId="18">
    <w:name w:val="Block Text"/>
    <w:basedOn w:val="1"/>
    <w:unhideWhenUsed/>
    <w:qFormat/>
    <w:uiPriority w:val="99"/>
    <w:pPr>
      <w:ind w:left="1440" w:leftChars="700" w:right="700" w:rightChars="700"/>
    </w:pPr>
  </w:style>
  <w:style w:type="paragraph" w:styleId="19">
    <w:name w:val="toc 3"/>
    <w:basedOn w:val="1"/>
    <w:next w:val="1"/>
    <w:qFormat/>
    <w:uiPriority w:val="39"/>
    <w:pPr>
      <w:ind w:left="840" w:leftChars="400"/>
    </w:pPr>
  </w:style>
  <w:style w:type="paragraph" w:styleId="20">
    <w:name w:val="Plain Text"/>
    <w:basedOn w:val="1"/>
    <w:qFormat/>
    <w:uiPriority w:val="0"/>
    <w:pPr>
      <w:spacing w:beforeLines="0" w:afterLines="0"/>
    </w:pPr>
    <w:rPr>
      <w:rFonts w:hint="eastAsia" w:ascii="宋体" w:hAnsi="Courier New"/>
      <w:sz w:val="21"/>
    </w:rPr>
  </w:style>
  <w:style w:type="paragraph" w:styleId="21">
    <w:name w:val="Date"/>
    <w:basedOn w:val="1"/>
    <w:next w:val="1"/>
    <w:link w:val="66"/>
    <w:qFormat/>
    <w:uiPriority w:val="0"/>
    <w:pPr>
      <w:ind w:left="100" w:leftChars="2500"/>
    </w:pPr>
    <w:rPr>
      <w:rFonts w:hint="default"/>
    </w:rPr>
  </w:style>
  <w:style w:type="paragraph" w:styleId="22">
    <w:name w:val="Body Text Indent 2"/>
    <w:basedOn w:val="1"/>
    <w:qFormat/>
    <w:uiPriority w:val="0"/>
    <w:pPr>
      <w:spacing w:beforeLines="0" w:afterLines="0" w:line="480" w:lineRule="exact"/>
      <w:ind w:left="-1"/>
    </w:pPr>
    <w:rPr>
      <w:rFonts w:hint="eastAsia"/>
      <w:sz w:val="24"/>
    </w:rPr>
  </w:style>
  <w:style w:type="paragraph" w:styleId="23">
    <w:name w:val="endnote text"/>
    <w:basedOn w:val="1"/>
    <w:next w:val="1"/>
    <w:qFormat/>
    <w:uiPriority w:val="0"/>
    <w:pPr>
      <w:snapToGrid w:val="0"/>
      <w:spacing w:line="360" w:lineRule="auto"/>
      <w:ind w:firstLine="200" w:firstLineChars="200"/>
      <w:jc w:val="left"/>
    </w:pPr>
    <w:rPr>
      <w:rFonts w:ascii="宋体" w:hAnsi="Times New Roman" w:eastAsia="宋体" w:cs="Arial"/>
      <w:sz w:val="24"/>
    </w:rPr>
  </w:style>
  <w:style w:type="paragraph" w:styleId="24">
    <w:name w:val="Balloon Text"/>
    <w:basedOn w:val="1"/>
    <w:link w:val="67"/>
    <w:qFormat/>
    <w:uiPriority w:val="0"/>
    <w:rPr>
      <w:rFonts w:hint="default"/>
      <w:sz w:val="18"/>
      <w:szCs w:val="18"/>
    </w:rPr>
  </w:style>
  <w:style w:type="paragraph" w:styleId="25">
    <w:name w:val="footer"/>
    <w:basedOn w:val="1"/>
    <w:link w:val="68"/>
    <w:qFormat/>
    <w:uiPriority w:val="0"/>
    <w:pPr>
      <w:tabs>
        <w:tab w:val="center" w:pos="4153"/>
        <w:tab w:val="right" w:pos="8306"/>
      </w:tabs>
      <w:snapToGrid w:val="0"/>
      <w:spacing w:beforeLines="0" w:afterLines="0"/>
      <w:jc w:val="left"/>
    </w:pPr>
    <w:rPr>
      <w:rFonts w:hint="default"/>
      <w:sz w:val="18"/>
    </w:rPr>
  </w:style>
  <w:style w:type="paragraph" w:styleId="26">
    <w:name w:val="envelope return"/>
    <w:basedOn w:val="1"/>
    <w:qFormat/>
    <w:uiPriority w:val="0"/>
    <w:pPr>
      <w:snapToGrid w:val="0"/>
    </w:pPr>
    <w:rPr>
      <w:rFonts w:ascii="Arial" w:hAnsi="Arial"/>
    </w:rPr>
  </w:style>
  <w:style w:type="paragraph" w:styleId="27">
    <w:name w:val="header"/>
    <w:basedOn w:val="1"/>
    <w:qFormat/>
    <w:uiPriority w:val="0"/>
    <w:pPr>
      <w:pBdr>
        <w:bottom w:val="single" w:color="auto" w:sz="6" w:space="1"/>
      </w:pBdr>
      <w:tabs>
        <w:tab w:val="center" w:pos="4153"/>
        <w:tab w:val="right" w:pos="8306"/>
      </w:tabs>
      <w:snapToGrid w:val="0"/>
      <w:spacing w:beforeLines="0" w:afterLines="0"/>
      <w:jc w:val="center"/>
    </w:pPr>
    <w:rPr>
      <w:rFonts w:hint="eastAsia"/>
      <w:sz w:val="18"/>
    </w:rPr>
  </w:style>
  <w:style w:type="paragraph" w:styleId="28">
    <w:name w:val="toc 1"/>
    <w:basedOn w:val="1"/>
    <w:next w:val="1"/>
    <w:qFormat/>
    <w:uiPriority w:val="39"/>
    <w:pPr>
      <w:spacing w:before="120" w:beforeLines="0" w:after="120" w:afterLines="0"/>
      <w:jc w:val="left"/>
    </w:pPr>
    <w:rPr>
      <w:rFonts w:hint="eastAsia" w:ascii="Calibri" w:hAnsi="Calibri"/>
      <w:b/>
      <w:caps/>
      <w:sz w:val="20"/>
    </w:rPr>
  </w:style>
  <w:style w:type="paragraph" w:styleId="29">
    <w:name w:val="toc 4"/>
    <w:basedOn w:val="1"/>
    <w:next w:val="1"/>
    <w:qFormat/>
    <w:uiPriority w:val="0"/>
    <w:pPr>
      <w:ind w:left="630"/>
      <w:jc w:val="left"/>
    </w:pPr>
    <w:rPr>
      <w:rFonts w:ascii="Calibri" w:hAnsi="Calibri" w:cs="Calibri"/>
      <w:sz w:val="18"/>
      <w:szCs w:val="18"/>
    </w:rPr>
  </w:style>
  <w:style w:type="paragraph" w:styleId="30">
    <w:name w:val="Subtitle"/>
    <w:basedOn w:val="1"/>
    <w:next w:val="1"/>
    <w:qFormat/>
    <w:uiPriority w:val="0"/>
    <w:pPr>
      <w:spacing w:before="60" w:after="60"/>
      <w:jc w:val="center"/>
      <w:outlineLvl w:val="1"/>
    </w:pPr>
    <w:rPr>
      <w:rFonts w:ascii="Cambria" w:hAnsi="Cambria"/>
      <w:b/>
      <w:bCs/>
      <w:kern w:val="28"/>
      <w:sz w:val="30"/>
      <w:szCs w:val="32"/>
    </w:rPr>
  </w:style>
  <w:style w:type="paragraph" w:styleId="31">
    <w:name w:val="Body Text Indent 3"/>
    <w:basedOn w:val="1"/>
    <w:qFormat/>
    <w:uiPriority w:val="0"/>
    <w:pPr>
      <w:spacing w:beforeLines="0" w:afterLines="0" w:line="360" w:lineRule="auto"/>
      <w:ind w:left="420" w:firstLine="480"/>
    </w:pPr>
    <w:rPr>
      <w:rFonts w:hint="eastAsia" w:ascii="宋体" w:hAnsi="宋体"/>
      <w:sz w:val="24"/>
    </w:rPr>
  </w:style>
  <w:style w:type="paragraph" w:styleId="32">
    <w:name w:val="toc 2"/>
    <w:basedOn w:val="1"/>
    <w:next w:val="1"/>
    <w:qFormat/>
    <w:uiPriority w:val="39"/>
    <w:pPr>
      <w:spacing w:beforeLines="0" w:afterLines="0"/>
      <w:ind w:left="210"/>
      <w:jc w:val="left"/>
    </w:pPr>
    <w:rPr>
      <w:rFonts w:hint="eastAsia" w:ascii="Calibri" w:hAnsi="Calibri"/>
      <w:smallCaps/>
      <w:sz w:val="20"/>
    </w:rPr>
  </w:style>
  <w:style w:type="paragraph" w:styleId="33">
    <w:name w:val="Body Text 2"/>
    <w:basedOn w:val="1"/>
    <w:qFormat/>
    <w:uiPriority w:val="0"/>
    <w:pPr>
      <w:spacing w:line="440" w:lineRule="exact"/>
    </w:pPr>
    <w:rPr>
      <w:rFonts w:ascii="宋体" w:hAnsi="宋体"/>
      <w:color w:val="000000"/>
      <w:kern w:val="0"/>
    </w:rPr>
  </w:style>
  <w:style w:type="paragraph" w:styleId="34">
    <w:name w:val="Normal (Web)"/>
    <w:basedOn w:val="1"/>
    <w:qFormat/>
    <w:uiPriority w:val="99"/>
    <w:pPr>
      <w:widowControl/>
      <w:spacing w:before="100" w:beforeLines="0" w:beforeAutospacing="1" w:after="100" w:afterLines="0" w:afterAutospacing="1"/>
      <w:jc w:val="left"/>
    </w:pPr>
    <w:rPr>
      <w:rFonts w:hint="eastAsia" w:ascii="宋体" w:hAnsi="宋体"/>
      <w:sz w:val="24"/>
    </w:rPr>
  </w:style>
  <w:style w:type="paragraph" w:styleId="35">
    <w:name w:val="annotation subject"/>
    <w:basedOn w:val="15"/>
    <w:next w:val="15"/>
    <w:link w:val="69"/>
    <w:qFormat/>
    <w:uiPriority w:val="0"/>
    <w:rPr>
      <w:rFonts w:hint="default"/>
      <w:b/>
      <w:bCs/>
    </w:rPr>
  </w:style>
  <w:style w:type="paragraph" w:styleId="36">
    <w:name w:val="Body Text First Indent"/>
    <w:basedOn w:val="17"/>
    <w:link w:val="70"/>
    <w:qFormat/>
    <w:uiPriority w:val="0"/>
    <w:pPr>
      <w:spacing w:after="120"/>
      <w:ind w:firstLine="420" w:firstLineChars="100"/>
      <w:jc w:val="both"/>
    </w:pPr>
  </w:style>
  <w:style w:type="paragraph" w:styleId="37">
    <w:name w:val="Body Text First Indent 2"/>
    <w:basedOn w:val="8"/>
    <w:unhideWhenUsed/>
    <w:qFormat/>
    <w:uiPriority w:val="99"/>
    <w:pPr>
      <w:ind w:firstLine="420" w:firstLineChars="200"/>
    </w:pPr>
  </w:style>
  <w:style w:type="table" w:styleId="39">
    <w:name w:val="Table Grid"/>
    <w:basedOn w:val="38"/>
    <w:qFormat/>
    <w:uiPriority w:val="39"/>
    <w:rPr>
      <w:rFonts w:ascii="等线" w:hAnsi="等线" w:eastAsia="等线"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rFonts w:hint="default" w:ascii="Times New Roman" w:hAnsi="Times New Roman" w:eastAsia="宋体"/>
      <w:b/>
      <w:sz w:val="24"/>
    </w:rPr>
  </w:style>
  <w:style w:type="character" w:styleId="42">
    <w:name w:val="page number"/>
    <w:basedOn w:val="40"/>
    <w:qFormat/>
    <w:uiPriority w:val="0"/>
  </w:style>
  <w:style w:type="character" w:styleId="43">
    <w:name w:val="FollowedHyperlink"/>
    <w:basedOn w:val="40"/>
    <w:qFormat/>
    <w:uiPriority w:val="0"/>
    <w:rPr>
      <w:color w:val="800080"/>
      <w:u w:val="none"/>
    </w:rPr>
  </w:style>
  <w:style w:type="character" w:styleId="44">
    <w:name w:val="Emphasis"/>
    <w:basedOn w:val="40"/>
    <w:qFormat/>
    <w:uiPriority w:val="0"/>
    <w:rPr>
      <w:b/>
      <w:bCs/>
    </w:rPr>
  </w:style>
  <w:style w:type="character" w:styleId="45">
    <w:name w:val="HTML Definition"/>
    <w:basedOn w:val="40"/>
    <w:qFormat/>
    <w:uiPriority w:val="0"/>
  </w:style>
  <w:style w:type="character" w:styleId="46">
    <w:name w:val="HTML Typewriter"/>
    <w:basedOn w:val="40"/>
    <w:qFormat/>
    <w:uiPriority w:val="0"/>
    <w:rPr>
      <w:rFonts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qFormat/>
    <w:uiPriority w:val="99"/>
    <w:rPr>
      <w:rFonts w:hint="default" w:ascii="Times New Roman" w:hAnsi="Times New Roman" w:eastAsia="宋体"/>
      <w:color w:val="0000FF"/>
      <w:sz w:val="24"/>
      <w:u w:val="single"/>
    </w:rPr>
  </w:style>
  <w:style w:type="character" w:styleId="50">
    <w:name w:val="HTML Code"/>
    <w:basedOn w:val="40"/>
    <w:qFormat/>
    <w:uiPriority w:val="0"/>
    <w:rPr>
      <w:rFonts w:hint="default" w:ascii="monospace" w:hAnsi="monospace" w:eastAsia="monospace" w:cs="monospace"/>
      <w:sz w:val="20"/>
    </w:rPr>
  </w:style>
  <w:style w:type="character" w:styleId="51">
    <w:name w:val="annotation reference"/>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default" w:ascii="monospace" w:hAnsi="monospace" w:eastAsia="monospace" w:cs="monospace"/>
      <w:sz w:val="20"/>
    </w:rPr>
  </w:style>
  <w:style w:type="character" w:styleId="54">
    <w:name w:val="HTML Sample"/>
    <w:basedOn w:val="40"/>
    <w:qFormat/>
    <w:uiPriority w:val="0"/>
    <w:rPr>
      <w:rFonts w:hint="default" w:ascii="monospace" w:hAnsi="monospace" w:eastAsia="monospace" w:cs="monospace"/>
    </w:rPr>
  </w:style>
  <w:style w:type="character" w:customStyle="1" w:styleId="55">
    <w:name w:val="标题 1 字符"/>
    <w:link w:val="2"/>
    <w:qFormat/>
    <w:uiPriority w:val="0"/>
    <w:rPr>
      <w:rFonts w:hint="eastAsia"/>
      <w:b/>
      <w:kern w:val="44"/>
      <w:sz w:val="32"/>
    </w:rPr>
  </w:style>
  <w:style w:type="character" w:customStyle="1" w:styleId="56">
    <w:name w:val="标题 4 字符"/>
    <w:link w:val="6"/>
    <w:semiHidden/>
    <w:uiPriority w:val="0"/>
    <w:rPr>
      <w:rFonts w:ascii="Cambria" w:hAnsi="Cambria" w:eastAsia="宋体" w:cs="Times New Roman"/>
      <w:b/>
      <w:bCs/>
      <w:kern w:val="2"/>
      <w:sz w:val="28"/>
      <w:szCs w:val="28"/>
    </w:rPr>
  </w:style>
  <w:style w:type="character" w:customStyle="1" w:styleId="57">
    <w:name w:val="标题 5 字符"/>
    <w:link w:val="7"/>
    <w:qFormat/>
    <w:uiPriority w:val="9"/>
    <w:rPr>
      <w:rFonts w:ascii="Times New Roman" w:hAnsi="Times New Roman" w:eastAsia="仿宋"/>
      <w:bCs/>
      <w:sz w:val="24"/>
      <w:szCs w:val="28"/>
    </w:rPr>
  </w:style>
  <w:style w:type="character" w:customStyle="1" w:styleId="58">
    <w:name w:val="标题 6 字符"/>
    <w:link w:val="9"/>
    <w:qFormat/>
    <w:uiPriority w:val="0"/>
    <w:rPr>
      <w:rFonts w:ascii="Arial" w:hAnsi="Arial" w:eastAsia="仿宋" w:cs="Arial"/>
      <w:b/>
      <w:bCs/>
      <w:szCs w:val="24"/>
    </w:rPr>
  </w:style>
  <w:style w:type="character" w:customStyle="1" w:styleId="59">
    <w:name w:val="标题 7 字符"/>
    <w:link w:val="10"/>
    <w:qFormat/>
    <w:uiPriority w:val="0"/>
    <w:rPr>
      <w:rFonts w:ascii="Times New Roman" w:hAnsi="Times New Roman" w:eastAsia="仿宋"/>
      <w:b/>
      <w:bCs/>
      <w:szCs w:val="24"/>
    </w:rPr>
  </w:style>
  <w:style w:type="character" w:customStyle="1" w:styleId="60">
    <w:name w:val="标题 8 字符"/>
    <w:link w:val="11"/>
    <w:qFormat/>
    <w:uiPriority w:val="0"/>
    <w:rPr>
      <w:rFonts w:ascii="Arial" w:hAnsi="Arial" w:eastAsia="仿宋" w:cs="Arial"/>
      <w:szCs w:val="24"/>
    </w:rPr>
  </w:style>
  <w:style w:type="character" w:customStyle="1" w:styleId="61">
    <w:name w:val="标题 9 字符"/>
    <w:link w:val="12"/>
    <w:qFormat/>
    <w:uiPriority w:val="0"/>
    <w:rPr>
      <w:rFonts w:ascii="Arial" w:hAnsi="Arial" w:eastAsia="仿宋" w:cs="Arial"/>
      <w:sz w:val="21"/>
      <w:szCs w:val="21"/>
    </w:rPr>
  </w:style>
  <w:style w:type="character" w:customStyle="1" w:styleId="62">
    <w:name w:val="文档结构图 字符"/>
    <w:link w:val="14"/>
    <w:qFormat/>
    <w:uiPriority w:val="0"/>
    <w:rPr>
      <w:rFonts w:ascii="宋体" w:hAnsi="Times New Roman"/>
      <w:kern w:val="2"/>
      <w:sz w:val="18"/>
      <w:szCs w:val="18"/>
    </w:rPr>
  </w:style>
  <w:style w:type="character" w:customStyle="1" w:styleId="63">
    <w:name w:val="批注文字 字符"/>
    <w:link w:val="15"/>
    <w:qFormat/>
    <w:uiPriority w:val="0"/>
    <w:rPr>
      <w:rFonts w:ascii="Times New Roman" w:hAnsi="Times New Roman"/>
      <w:kern w:val="2"/>
      <w:sz w:val="21"/>
      <w:szCs w:val="22"/>
    </w:rPr>
  </w:style>
  <w:style w:type="character" w:customStyle="1" w:styleId="64">
    <w:name w:val="正文文本 3 字符"/>
    <w:link w:val="16"/>
    <w:qFormat/>
    <w:uiPriority w:val="0"/>
    <w:rPr>
      <w:rFonts w:ascii="Times New Roman" w:hAnsi="Times New Roman"/>
      <w:kern w:val="2"/>
      <w:sz w:val="16"/>
      <w:szCs w:val="16"/>
    </w:rPr>
  </w:style>
  <w:style w:type="character" w:customStyle="1" w:styleId="65">
    <w:name w:val="正文文本 字符"/>
    <w:link w:val="17"/>
    <w:qFormat/>
    <w:uiPriority w:val="0"/>
    <w:rPr>
      <w:rFonts w:ascii="Times New Roman" w:hAnsi="Times New Roman"/>
      <w:kern w:val="2"/>
      <w:sz w:val="21"/>
      <w:szCs w:val="22"/>
    </w:rPr>
  </w:style>
  <w:style w:type="character" w:customStyle="1" w:styleId="66">
    <w:name w:val="日期 字符1"/>
    <w:link w:val="21"/>
    <w:qFormat/>
    <w:uiPriority w:val="0"/>
    <w:rPr>
      <w:rFonts w:ascii="Times New Roman" w:hAnsi="Times New Roman"/>
      <w:kern w:val="2"/>
      <w:sz w:val="21"/>
      <w:szCs w:val="22"/>
    </w:rPr>
  </w:style>
  <w:style w:type="character" w:customStyle="1" w:styleId="67">
    <w:name w:val="批注框文本 字符"/>
    <w:link w:val="24"/>
    <w:qFormat/>
    <w:uiPriority w:val="0"/>
    <w:rPr>
      <w:rFonts w:ascii="Times New Roman" w:hAnsi="Times New Roman"/>
      <w:kern w:val="2"/>
      <w:sz w:val="18"/>
      <w:szCs w:val="18"/>
    </w:rPr>
  </w:style>
  <w:style w:type="character" w:customStyle="1" w:styleId="68">
    <w:name w:val="页脚 字符"/>
    <w:link w:val="25"/>
    <w:qFormat/>
    <w:uiPriority w:val="0"/>
    <w:rPr>
      <w:rFonts w:ascii="Times New Roman" w:hAnsi="Times New Roman"/>
      <w:kern w:val="2"/>
      <w:sz w:val="18"/>
      <w:szCs w:val="22"/>
    </w:rPr>
  </w:style>
  <w:style w:type="character" w:customStyle="1" w:styleId="69">
    <w:name w:val="批注主题 字符"/>
    <w:link w:val="35"/>
    <w:qFormat/>
    <w:uiPriority w:val="0"/>
    <w:rPr>
      <w:rFonts w:ascii="Times New Roman" w:hAnsi="Times New Roman"/>
      <w:b/>
      <w:bCs/>
      <w:kern w:val="2"/>
      <w:sz w:val="21"/>
      <w:szCs w:val="22"/>
    </w:rPr>
  </w:style>
  <w:style w:type="character" w:customStyle="1" w:styleId="70">
    <w:name w:val="正文文本首行缩进 字符"/>
    <w:basedOn w:val="65"/>
    <w:link w:val="36"/>
    <w:qFormat/>
    <w:uiPriority w:val="0"/>
  </w:style>
  <w:style w:type="paragraph" w:customStyle="1" w:styleId="71">
    <w:name w:val="正文缩进1"/>
    <w:basedOn w:val="1"/>
    <w:next w:val="1"/>
    <w:qFormat/>
    <w:uiPriority w:val="0"/>
    <w:pPr>
      <w:ind w:firstLine="420"/>
    </w:pPr>
  </w:style>
  <w:style w:type="paragraph" w:customStyle="1" w:styleId="72">
    <w:name w:val="正文1"/>
    <w:basedOn w:val="1"/>
    <w:qFormat/>
    <w:uiPriority w:val="0"/>
    <w:pPr>
      <w:tabs>
        <w:tab w:val="left" w:pos="420"/>
      </w:tabs>
      <w:spacing w:line="360" w:lineRule="auto"/>
      <w:ind w:firstLine="420" w:firstLineChars="200"/>
    </w:pPr>
    <w:rPr>
      <w:rFonts w:ascii="宋体" w:hAnsi="宋体"/>
      <w:szCs w:val="24"/>
    </w:rPr>
  </w:style>
  <w:style w:type="character" w:customStyle="1" w:styleId="73">
    <w:name w:val="NormalCharacter"/>
    <w:qFormat/>
    <w:uiPriority w:val="0"/>
    <w:rPr>
      <w:rFonts w:hint="eastAsia"/>
      <w:kern w:val="2"/>
      <w:sz w:val="21"/>
      <w:szCs w:val="22"/>
      <w:lang w:val="en-US" w:eastAsia="zh-CN" w:bidi="ar-SA"/>
    </w:rPr>
  </w:style>
  <w:style w:type="paragraph" w:customStyle="1" w:styleId="74">
    <w:name w:val="MessageHeader"/>
    <w:basedOn w:val="1"/>
    <w:next w:val="75"/>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75">
    <w:name w:val="BodyText"/>
    <w:basedOn w:val="1"/>
    <w:next w:val="1"/>
    <w:qFormat/>
    <w:uiPriority w:val="0"/>
    <w:pPr>
      <w:jc w:val="center"/>
      <w:textAlignment w:val="baseline"/>
    </w:pPr>
  </w:style>
  <w:style w:type="character" w:customStyle="1" w:styleId="76">
    <w:name w:val="font61"/>
    <w:qFormat/>
    <w:uiPriority w:val="0"/>
    <w:rPr>
      <w:rFonts w:hint="eastAsia" w:ascii="宋体" w:hAnsi="宋体" w:eastAsia="宋体" w:cs="宋体"/>
      <w:color w:val="000000"/>
      <w:sz w:val="18"/>
      <w:szCs w:val="18"/>
      <w:u w:val="none"/>
    </w:rPr>
  </w:style>
  <w:style w:type="character" w:customStyle="1" w:styleId="77">
    <w:name w:val="06-正文 Char"/>
    <w:link w:val="78"/>
    <w:qFormat/>
    <w:locked/>
    <w:uiPriority w:val="0"/>
    <w:rPr>
      <w:rFonts w:ascii="Arial" w:hAnsi="Arial"/>
      <w:sz w:val="24"/>
    </w:rPr>
  </w:style>
  <w:style w:type="paragraph" w:customStyle="1" w:styleId="78">
    <w:name w:val="06-正文"/>
    <w:basedOn w:val="1"/>
    <w:link w:val="77"/>
    <w:qFormat/>
    <w:uiPriority w:val="0"/>
    <w:pPr>
      <w:ind w:firstLine="480" w:firstLineChars="200"/>
    </w:pPr>
    <w:rPr>
      <w:rFonts w:hint="default" w:ascii="Arial" w:hAnsi="Arial"/>
      <w:kern w:val="0"/>
      <w:sz w:val="24"/>
      <w:szCs w:val="20"/>
    </w:rPr>
  </w:style>
  <w:style w:type="character" w:customStyle="1" w:styleId="79">
    <w:name w:val="标题55 Char"/>
    <w:link w:val="80"/>
    <w:qFormat/>
    <w:uiPriority w:val="0"/>
    <w:rPr>
      <w:rFonts w:ascii="Times New Roman" w:hAnsi="Times New Roman" w:eastAsia="仿宋"/>
      <w:b/>
      <w:bCs/>
      <w:sz w:val="28"/>
      <w:szCs w:val="28"/>
    </w:rPr>
  </w:style>
  <w:style w:type="paragraph" w:customStyle="1" w:styleId="80">
    <w:name w:val="标题55"/>
    <w:basedOn w:val="7"/>
    <w:next w:val="81"/>
    <w:link w:val="79"/>
    <w:qFormat/>
    <w:uiPriority w:val="0"/>
    <w:pPr>
      <w:numPr>
        <w:ilvl w:val="4"/>
        <w:numId w:val="0"/>
      </w:numPr>
      <w:spacing w:before="50" w:beforeAutospacing="0"/>
    </w:pPr>
    <w:rPr>
      <w:b/>
      <w:sz w:val="28"/>
    </w:rPr>
  </w:style>
  <w:style w:type="paragraph" w:customStyle="1" w:styleId="81">
    <w:name w:val="正文3"/>
    <w:basedOn w:val="36"/>
    <w:link w:val="82"/>
    <w:qFormat/>
    <w:uiPriority w:val="0"/>
    <w:pPr>
      <w:autoSpaceDE w:val="0"/>
      <w:autoSpaceDN w:val="0"/>
      <w:adjustRightInd w:val="0"/>
      <w:spacing w:after="0" w:line="360" w:lineRule="auto"/>
      <w:ind w:firstLine="200" w:firstLineChars="200"/>
      <w:jc w:val="left"/>
    </w:pPr>
    <w:rPr>
      <w:rFonts w:hint="default" w:ascii="仿宋" w:hAnsi="仿宋" w:eastAsia="仿宋"/>
      <w:kern w:val="0"/>
      <w:sz w:val="24"/>
      <w:szCs w:val="28"/>
    </w:rPr>
  </w:style>
  <w:style w:type="character" w:customStyle="1" w:styleId="82">
    <w:name w:val="正文3 Char"/>
    <w:link w:val="81"/>
    <w:qFormat/>
    <w:uiPriority w:val="0"/>
    <w:rPr>
      <w:rFonts w:ascii="仿宋" w:hAnsi="仿宋" w:eastAsia="仿宋"/>
      <w:sz w:val="24"/>
      <w:szCs w:val="28"/>
    </w:rPr>
  </w:style>
  <w:style w:type="character" w:customStyle="1" w:styleId="83">
    <w:name w:val="font31"/>
    <w:qFormat/>
    <w:uiPriority w:val="0"/>
    <w:rPr>
      <w:rFonts w:hint="eastAsia" w:ascii="宋体" w:hAnsi="宋体" w:eastAsia="宋体" w:cs="宋体"/>
      <w:color w:val="000000"/>
      <w:sz w:val="20"/>
      <w:szCs w:val="20"/>
      <w:u w:val="none"/>
    </w:rPr>
  </w:style>
  <w:style w:type="character" w:customStyle="1" w:styleId="84">
    <w:name w:val="日期 字符"/>
    <w:qFormat/>
    <w:uiPriority w:val="0"/>
    <w:rPr>
      <w:kern w:val="2"/>
      <w:sz w:val="21"/>
      <w:szCs w:val="24"/>
      <w:lang w:bidi="ar-SA"/>
    </w:rPr>
  </w:style>
  <w:style w:type="character" w:customStyle="1" w:styleId="85">
    <w:name w:val="font41"/>
    <w:qFormat/>
    <w:uiPriority w:val="0"/>
    <w:rPr>
      <w:rFonts w:hint="eastAsia" w:ascii="宋体" w:hAnsi="宋体" w:eastAsia="宋体" w:cs="宋体"/>
      <w:color w:val="000000"/>
      <w:sz w:val="21"/>
      <w:szCs w:val="21"/>
      <w:u w:val="none"/>
    </w:rPr>
  </w:style>
  <w:style w:type="paragraph" w:customStyle="1" w:styleId="86">
    <w:name w:val="目录"/>
    <w:basedOn w:val="1"/>
    <w:unhideWhenUsed/>
    <w:qFormat/>
    <w:uiPriority w:val="99"/>
    <w:pPr>
      <w:widowControl/>
      <w:spacing w:beforeLines="0" w:afterLines="0"/>
      <w:jc w:val="center"/>
    </w:pPr>
    <w:rPr>
      <w:rFonts w:hint="eastAsia" w:ascii="宋体"/>
      <w:b/>
      <w:sz w:val="36"/>
    </w:rPr>
  </w:style>
  <w:style w:type="paragraph" w:customStyle="1" w:styleId="87">
    <w:name w:val=" Char Char Char Char Char Char Char Char Char Char Char Char Char Char Char1 Char"/>
    <w:basedOn w:val="1"/>
    <w:qFormat/>
    <w:uiPriority w:val="0"/>
    <w:pPr>
      <w:adjustRightInd w:val="0"/>
      <w:spacing w:line="312" w:lineRule="atLeast"/>
      <w:textAlignment w:val="baseline"/>
    </w:pPr>
    <w:rPr>
      <w:rFonts w:hint="default"/>
      <w:b/>
      <w:bCs/>
      <w:kern w:val="0"/>
      <w:sz w:val="36"/>
      <w:szCs w:val="32"/>
    </w:rPr>
  </w:style>
  <w:style w:type="paragraph" w:customStyle="1" w:styleId="88">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9">
    <w:name w:val="Table Paragraph"/>
    <w:basedOn w:val="1"/>
    <w:qFormat/>
    <w:uiPriority w:val="1"/>
    <w:rPr>
      <w:rFonts w:ascii="PMingLiU" w:hAnsi="PMingLiU" w:eastAsia="PMingLiU" w:cs="PMingLiU"/>
      <w:lang w:val="zh-CN" w:eastAsia="zh-CN" w:bidi="zh-CN"/>
    </w:rPr>
  </w:style>
  <w:style w:type="paragraph" w:customStyle="1" w:styleId="90">
    <w:name w:val="BodyText1I2"/>
    <w:basedOn w:val="91"/>
    <w:qFormat/>
    <w:uiPriority w:val="0"/>
    <w:pPr>
      <w:spacing w:after="0"/>
      <w:ind w:left="0" w:leftChars="0" w:firstLine="420"/>
    </w:pPr>
    <w:rPr>
      <w:rFonts w:ascii="宋体" w:hAnsi="Calibri"/>
      <w:szCs w:val="20"/>
    </w:rPr>
  </w:style>
  <w:style w:type="paragraph" w:customStyle="1" w:styleId="91">
    <w:name w:val="BodyTextIndent"/>
    <w:basedOn w:val="1"/>
    <w:qFormat/>
    <w:uiPriority w:val="0"/>
    <w:pPr>
      <w:spacing w:after="120" w:line="360" w:lineRule="auto"/>
      <w:ind w:left="420" w:leftChars="200" w:firstLine="200" w:firstLineChars="200"/>
    </w:pPr>
    <w:rPr>
      <w:rFonts w:ascii="Arial" w:hAnsi="Arial"/>
      <w:sz w:val="24"/>
    </w:rPr>
  </w:style>
  <w:style w:type="paragraph" w:customStyle="1" w:styleId="92">
    <w:name w:val="_Style 43"/>
    <w:basedOn w:val="14"/>
    <w:qFormat/>
    <w:uiPriority w:val="0"/>
    <w:pPr>
      <w:shd w:val="clear" w:color="auto" w:fill="000080"/>
    </w:pPr>
    <w:rPr>
      <w:rFonts w:hint="default" w:ascii="Tahoma" w:hAnsi="Tahoma"/>
      <w:sz w:val="24"/>
      <w:szCs w:val="24"/>
    </w:rPr>
  </w:style>
  <w:style w:type="paragraph" w:customStyle="1" w:styleId="93">
    <w:name w:val="Plain Text"/>
    <w:basedOn w:val="1"/>
    <w:qFormat/>
    <w:uiPriority w:val="0"/>
    <w:pPr>
      <w:overflowPunct w:val="0"/>
      <w:autoSpaceDE w:val="0"/>
      <w:autoSpaceDN w:val="0"/>
      <w:adjustRightInd w:val="0"/>
      <w:textAlignment w:val="baseline"/>
    </w:pPr>
    <w:rPr>
      <w:rFonts w:ascii="宋体"/>
      <w:sz w:val="21"/>
    </w:rPr>
  </w:style>
  <w:style w:type="paragraph" w:customStyle="1" w:styleId="94">
    <w:name w:val="样式 首行缩进:  2 字符"/>
    <w:basedOn w:val="1"/>
    <w:qFormat/>
    <w:uiPriority w:val="0"/>
    <w:pPr>
      <w:spacing w:line="400" w:lineRule="exact"/>
      <w:ind w:firstLine="200" w:firstLineChars="200"/>
    </w:pPr>
    <w:rPr>
      <w:rFonts w:cs="宋体"/>
      <w:sz w:val="24"/>
    </w:rPr>
  </w:style>
  <w:style w:type="paragraph" w:customStyle="1" w:styleId="95">
    <w:name w:val="Char Char Char Char Char Char Char Char Char Char Char1 Char Char Char Char Char Char Char Char Char Char Char Char"/>
    <w:basedOn w:val="1"/>
    <w:qFormat/>
    <w:uiPriority w:val="0"/>
    <w:rPr>
      <w:rFonts w:hint="default"/>
      <w:szCs w:val="20"/>
    </w:rPr>
  </w:style>
  <w:style w:type="paragraph" w:customStyle="1" w:styleId="96">
    <w:name w:val="p18"/>
    <w:basedOn w:val="1"/>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97">
    <w:name w:val="正文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98">
    <w:name w:val="列出段落1"/>
    <w:basedOn w:val="1"/>
    <w:qFormat/>
    <w:uiPriority w:val="34"/>
    <w:pPr>
      <w:ind w:firstLine="420" w:firstLineChars="200"/>
    </w:pPr>
  </w:style>
  <w:style w:type="paragraph" w:customStyle="1" w:styleId="99">
    <w:name w:val="列出段落"/>
    <w:basedOn w:val="1"/>
    <w:qFormat/>
    <w:uiPriority w:val="34"/>
    <w:pPr>
      <w:ind w:firstLine="420" w:firstLineChars="200"/>
    </w:pPr>
    <w:rPr>
      <w:rFonts w:hint="default" w:ascii="Calibri" w:hAnsi="Calibri" w:eastAsia="宋体" w:cs="Times New Roman"/>
    </w:rPr>
  </w:style>
  <w:style w:type="paragraph" w:customStyle="1" w:styleId="100">
    <w:name w:val="_Style 3"/>
    <w:basedOn w:val="1"/>
    <w:qFormat/>
    <w:uiPriority w:val="34"/>
    <w:pPr>
      <w:ind w:firstLine="420" w:firstLineChars="200"/>
    </w:pPr>
    <w:rPr>
      <w:rFonts w:hint="default" w:ascii="Calibri" w:hAnsi="Calibri"/>
    </w:rPr>
  </w:style>
  <w:style w:type="paragraph" w:customStyle="1" w:styleId="101">
    <w:name w:val="List Paragraph"/>
    <w:basedOn w:val="1"/>
    <w:next w:val="1"/>
    <w:qFormat/>
    <w:uiPriority w:val="34"/>
    <w:pPr>
      <w:ind w:firstLine="420" w:firstLineChars="200"/>
    </w:pPr>
  </w:style>
  <w:style w:type="paragraph" w:customStyle="1" w:styleId="102">
    <w:name w:val="p17"/>
    <w:basedOn w:val="1"/>
    <w:qFormat/>
    <w:uiPriority w:val="0"/>
    <w:pPr>
      <w:widowControl/>
      <w:ind w:firstLine="420"/>
    </w:pPr>
    <w:rPr>
      <w:rFonts w:hint="default"/>
      <w:kern w:val="0"/>
      <w:szCs w:val="21"/>
    </w:rPr>
  </w:style>
  <w:style w:type="paragraph" w:customStyle="1" w:styleId="103">
    <w:name w:val="正文(1)"/>
    <w:basedOn w:val="1"/>
    <w:qFormat/>
    <w:uiPriority w:val="0"/>
    <w:pPr>
      <w:numPr>
        <w:ilvl w:val="0"/>
        <w:numId w:val="1"/>
      </w:numPr>
      <w:ind w:firstLine="200"/>
    </w:pPr>
    <w:rPr>
      <w:b/>
    </w:rPr>
  </w:style>
  <w:style w:type="paragraph" w:customStyle="1" w:styleId="104">
    <w:name w:val="Heading3"/>
    <w:basedOn w:val="1"/>
    <w:next w:val="1"/>
    <w:qFormat/>
    <w:uiPriority w:val="0"/>
    <w:pPr>
      <w:keepNext/>
      <w:spacing w:line="320" w:lineRule="exact"/>
      <w:jc w:val="both"/>
      <w:textAlignment w:val="baseline"/>
    </w:pPr>
    <w:rPr>
      <w:rFonts w:ascii="楷体_GB2312" w:eastAsia="楷体_GB2312"/>
      <w:kern w:val="2"/>
      <w:sz w:val="32"/>
      <w:lang w:val="en-US" w:eastAsia="zh-CN" w:bidi="ar-SA"/>
    </w:rPr>
  </w:style>
  <w:style w:type="paragraph" w:customStyle="1" w:styleId="105">
    <w:name w:val="NormalIndent"/>
    <w:basedOn w:val="1"/>
    <w:qFormat/>
    <w:uiPriority w:val="0"/>
    <w:pPr>
      <w:ind w:firstLine="420"/>
      <w:jc w:val="both"/>
      <w:textAlignment w:val="baseline"/>
    </w:pPr>
    <w:rPr>
      <w:kern w:val="2"/>
      <w:sz w:val="21"/>
      <w:szCs w:val="21"/>
      <w:lang w:val="en-US" w:eastAsia="zh-CN" w:bidi="ar-SA"/>
    </w:rPr>
  </w:style>
  <w:style w:type="paragraph" w:customStyle="1" w:styleId="10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07">
    <w:name w:val="Table Normal"/>
    <w:unhideWhenUsed/>
    <w:qFormat/>
    <w:uiPriority w:val="0"/>
    <w:tblPr>
      <w:tblCellMar>
        <w:top w:w="0" w:type="dxa"/>
        <w:left w:w="0" w:type="dxa"/>
        <w:bottom w:w="0" w:type="dxa"/>
        <w:right w:w="0" w:type="dxa"/>
      </w:tblCellMar>
    </w:tblPr>
  </w:style>
  <w:style w:type="paragraph" w:customStyle="1" w:styleId="108">
    <w:name w:val="null3"/>
    <w:qFormat/>
    <w:uiPriority w:val="0"/>
    <w:rPr>
      <w:rFonts w:hint="eastAsia" w:ascii="Calibri" w:hAnsi="Calibri" w:eastAsia="宋体" w:cs="Times New Roman"/>
      <w:lang w:val="en-US" w:eastAsia="zh-Hans"/>
    </w:rPr>
  </w:style>
  <w:style w:type="paragraph" w:customStyle="1" w:styleId="109">
    <w:name w:val="_Style 13"/>
    <w:qFormat/>
    <w:uiPriority w:val="0"/>
    <w:pPr>
      <w:spacing w:before="120" w:after="120" w:line="288" w:lineRule="auto"/>
      <w:ind w:left="0"/>
      <w:jc w:val="left"/>
    </w:pPr>
    <w:rPr>
      <w:rFonts w:ascii="Arial" w:hAnsi="Arial" w:eastAsia="等线" w:cs="Arial"/>
      <w:sz w:val="22"/>
      <w:szCs w:val="22"/>
    </w:rPr>
  </w:style>
  <w:style w:type="paragraph" w:customStyle="1" w:styleId="110">
    <w:name w:val="op_mapdots_left"/>
    <w:basedOn w:val="1"/>
    <w:qFormat/>
    <w:uiPriority w:val="0"/>
    <w:pPr>
      <w:widowControl/>
      <w:jc w:val="left"/>
    </w:pPr>
    <w:rPr>
      <w:bCs/>
      <w:kern w:val="0"/>
      <w:sz w:val="24"/>
    </w:rPr>
  </w:style>
  <w:style w:type="paragraph" w:customStyle="1" w:styleId="111">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13261</Words>
  <Characters>14506</Characters>
  <Lines>367</Lines>
  <Paragraphs>103</Paragraphs>
  <TotalTime>161</TotalTime>
  <ScaleCrop>false</ScaleCrop>
  <LinksUpToDate>false</LinksUpToDate>
  <CharactersWithSpaces>14664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2020-06-11T12:32:00Z</dcterms:created>
  <dc:creator>jia</dc:creator>
  <cp:lastModifiedBy>admin</cp:lastModifiedBy>
  <cp:lastPrinted>2026-08-03T06:58:00Z</cp:lastPrinted>
  <dcterms:modified xsi:type="dcterms:W3CDTF">2026-08-05T06:15:46Z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C46DF446655346C1998E2252BFB3984F_13</vt:lpwstr>
  </property>
  <property fmtid="{D5CDD505-2E9C-101B-9397-08002B2CF9AE}" pid="4" name="KSOTemplateDocerSaveRecord">
    <vt:lpwstr>eyJoZGlkIjoiNDFiZmZmNDQyYzUxMzhiOWVkN2IzMDRmYThlNTRhNTAiLCJ1c2VySWQiOiI3ODAwNzU1NjEifQ==</vt:lpwstr>
  </property>
</Properties>
</file>