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版本号：HRPD-ZFCG-2026-00520260702001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2026年富平县老庙镇万斛村峪岭村水毁基础设施修复项目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HRPD-ZFCG-2026-005</w:t>
      </w:r>
      <w:r>
        <w:br/>
      </w:r>
      <w:r>
        <w:br/>
      </w:r>
      <w:r>
        <w:br/>
      </w:r>
    </w:p>
    <w:p>
      <w:pPr>
        <w:pStyle w:val="null3"/>
        <w:jc w:val="center"/>
        <w:outlineLvl w:val="2"/>
      </w:pPr>
      <w:r>
        <w:rPr>
          <w:rFonts w:ascii="仿宋_GB2312" w:hAnsi="仿宋_GB2312" w:cs="仿宋_GB2312" w:eastAsia="仿宋_GB2312"/>
          <w:sz w:val="28"/>
          <w:b/>
        </w:rPr>
        <w:t>富平县老庙镇人民政府（本级）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富平县老庙镇人民政府（本级）</w:t>
      </w:r>
      <w:r>
        <w:rPr>
          <w:rFonts w:ascii="仿宋_GB2312" w:hAnsi="仿宋_GB2312" w:cs="仿宋_GB2312" w:eastAsia="仿宋_GB2312"/>
        </w:rPr>
        <w:t>委托，拟对</w:t>
      </w:r>
      <w:r>
        <w:rPr>
          <w:rFonts w:ascii="仿宋_GB2312" w:hAnsi="仿宋_GB2312" w:cs="仿宋_GB2312" w:eastAsia="仿宋_GB2312"/>
        </w:rPr>
        <w:t>2026年富平县老庙镇万斛村峪岭村水毁基础设施修复项目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2026年富平县老庙镇万斛村峪岭村水毁基础设施修复项目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万斛村：挖除软基5200方，素土回填6914 方，做3:7灰土路基1500m²,护坡336方，硬 化1250m²(长357m,宽3.5m,厚度18cm)。 峪岭村：挖除软基2900方，素土回填1830 方，做3:7灰土路基1560m²,护坡485万，硬 化混凝土路面1295m²,埋110pvc管160m,300 波纹管6m,300水泥管30m。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采购包1（2026年富平县老庙镇万斛村峪岭村水毁基础设施修复项目）：属于专门面向中小企业采购。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富平县老庙镇人民政府（本级）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富平县老庙镇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富平县老庙镇人民政府（本级）经办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13572333805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15511636505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开户名称：宏睿鹏达项目管理有限公司富平分公司</w:t>
            </w:r>
          </w:p>
          <w:p>
            <w:pPr>
              <w:pStyle w:val="null3"/>
            </w:pPr>
            <w:r>
              <w:rPr>
                <w:rFonts w:ascii="仿宋_GB2312" w:hAnsi="仿宋_GB2312" w:cs="仿宋_GB2312" w:eastAsia="仿宋_GB2312"/>
              </w:rPr>
              <w:t>开户银行：中国建设银行股份有限公司富平县东新街支行</w:t>
            </w:r>
          </w:p>
          <w:p>
            <w:pPr>
              <w:pStyle w:val="null3"/>
            </w:pPr>
            <w:r>
              <w:rPr>
                <w:rFonts w:ascii="仿宋_GB2312" w:hAnsi="仿宋_GB2312" w:cs="仿宋_GB2312" w:eastAsia="仿宋_GB2312"/>
              </w:rPr>
              <w:t>银行账号：61050164831500002163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代理服务费用收取对象：采购人 代理服务费收费标准：招标代理服务费参照国家计委印发《招标代理服务收费管理暂行办法》的通 知（计价格[2002]1980 号）计算收取，不计入工程造价，按照《国家发展改革委办公厅关于招标代理服务收费有关问题的通知》（发改办价格〔2003〕 857 号）规定向成交供应商收取。造价咨询服务费按（陕价行发【2014】88 号文件）计算收取，不计入工程造价，由成交供应商支付。若本次招标失败（非代理机构原因），招标代理服务费由采购人支付。具体金额详见中标（成交）结果公告，在领取中标通知书时向采购代理机构一 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富平县老庙镇人民政府（本级）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富平县老庙镇人民政府（本级）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富平县老庙镇人民政府（本级）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联系电话：15511636505</w:t>
      </w:r>
    </w:p>
    <w:p>
      <w:pPr>
        <w:pStyle w:val="null3"/>
      </w:pPr>
      <w:r>
        <w:rPr>
          <w:rFonts w:ascii="仿宋_GB2312" w:hAnsi="仿宋_GB2312" w:cs="仿宋_GB2312" w:eastAsia="仿宋_GB2312"/>
        </w:rPr>
        <w:t>地址：陕西省渭南市富平县城关街道新兴巷秦楚名苑小区对面二楼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1,296,317.52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2026年富平县老庙镇万斛村峪岭村水毁基础设施修复项目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标的名称：2026年富平县老庙镇万斛村峪岭村水毁基础设施修复项目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万斛村:挖除软基5200方，素土回填6914方，做3:7灰土路基1500m2,护坡336方，硬化1250m2(长357m,宽3.5m,厚度18cm).</w:t>
            </w:r>
            <w:r>
              <w:br/>
            </w:r>
            <w:r>
              <w:rPr>
                <w:rFonts w:ascii="仿宋_GB2312" w:hAnsi="仿宋_GB2312" w:cs="仿宋_GB2312" w:eastAsia="仿宋_GB2312"/>
              </w:rPr>
              <w:t xml:space="preserve"> 峪岭村:挖除软基2900方，素土回填1830 方,做3:7灰土路基1560m2,护坡485万,硬化混凝土路面1295m2,埋110pvc管160m,300波纹管6m,300水泥管30m。</w:t>
            </w:r>
            <w:r>
              <w:br/>
            </w:r>
            <w:r>
              <w:rPr>
                <w:rFonts w:ascii="仿宋_GB2312" w:hAnsi="仿宋_GB2312" w:cs="仿宋_GB2312" w:eastAsia="仿宋_GB2312"/>
              </w:rPr>
              <w:t xml:space="preserve"> 二、实施地点:</w:t>
            </w:r>
          </w:p>
          <w:p>
            <w:pPr>
              <w:pStyle w:val="null3"/>
            </w:pPr>
            <w:r>
              <w:rPr>
                <w:rFonts w:ascii="仿宋_GB2312" w:hAnsi="仿宋_GB2312" w:cs="仿宋_GB2312" w:eastAsia="仿宋_GB2312"/>
              </w:rPr>
              <w:t>采购人指定地点</w:t>
            </w:r>
            <w:r>
              <w:br/>
            </w:r>
            <w:r>
              <w:rPr>
                <w:rFonts w:ascii="仿宋_GB2312" w:hAnsi="仿宋_GB2312" w:cs="仿宋_GB2312" w:eastAsia="仿宋_GB2312"/>
              </w:rPr>
              <w:t xml:space="preserve"> 三、项目要求:</w:t>
            </w:r>
            <w:r>
              <w:br/>
            </w:r>
            <w:r>
              <w:rPr>
                <w:rFonts w:ascii="仿宋_GB2312" w:hAnsi="仿宋_GB2312" w:cs="仿宋_GB2312" w:eastAsia="仿宋_GB2312"/>
              </w:rPr>
              <w:t xml:space="preserve"> 1.工程质量目标:达到国家现行施工验收规范“合格"标准。</w:t>
            </w:r>
            <w:r>
              <w:br/>
            </w:r>
            <w:r>
              <w:rPr>
                <w:rFonts w:ascii="仿宋_GB2312" w:hAnsi="仿宋_GB2312" w:cs="仿宋_GB2312" w:eastAsia="仿宋_GB2312"/>
              </w:rPr>
              <w:t xml:space="preserve"> 2.文明施工:安全文明施工工地。</w:t>
            </w:r>
            <w:r>
              <w:br/>
            </w:r>
            <w:r>
              <w:rPr>
                <w:rFonts w:ascii="仿宋_GB2312" w:hAnsi="仿宋_GB2312" w:cs="仿宋_GB2312" w:eastAsia="仿宋_GB2312"/>
              </w:rPr>
              <w:t xml:space="preserve"> 四、工期:</w:t>
            </w:r>
            <w:r>
              <w:br/>
            </w:r>
            <w:r>
              <w:rPr>
                <w:rFonts w:ascii="仿宋_GB2312" w:hAnsi="仿宋_GB2312" w:cs="仿宋_GB2312" w:eastAsia="仿宋_GB2312"/>
              </w:rPr>
              <w:t xml:space="preserve"> 工期:60日历天(计划开、竣工日期以施工合同签订时间为准)。</w:t>
            </w:r>
          </w:p>
          <w:p>
            <w:pPr>
              <w:pStyle w:val="null3"/>
            </w:pPr>
            <w:r>
              <w:rPr>
                <w:rFonts w:ascii="仿宋_GB2312" w:hAnsi="仿宋_GB2312" w:cs="仿宋_GB2312" w:eastAsia="仿宋_GB2312"/>
              </w:rPr>
              <w:t>五、安全要求</w:t>
            </w:r>
            <w:r>
              <w:br/>
            </w:r>
            <w:r>
              <w:rPr>
                <w:rFonts w:ascii="仿宋_GB2312" w:hAnsi="仿宋_GB2312" w:cs="仿宋_GB2312" w:eastAsia="仿宋_GB2312"/>
              </w:rPr>
              <w:t xml:space="preserve"> 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rPr>
              <w:t>六、工程施工基本要求</w:t>
            </w:r>
            <w:r>
              <w:br/>
            </w:r>
            <w:r>
              <w:rPr>
                <w:rFonts w:ascii="仿宋_GB2312" w:hAnsi="仿宋_GB2312" w:cs="仿宋_GB2312" w:eastAsia="仿宋_GB2312"/>
              </w:rPr>
              <w:t xml:space="preserve"> 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供应商特定资格要求.docx 项目管理机构组成表.pdf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已标价工程量清单.docx 已标价工程量清单 中小企业声明函 承诺书.docx 近年完成的类似项目情况表.docx 响应文件封面 残疾人福利性单位声明函 报价函 标的清单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已标价工程量清单.docx 已标价工程量清单 中小企业声明函 承诺书.docx 近年完成的类似项目情况表.docx 响应文件封面 残疾人福利性单位声明函 报价函 标的清单 项目管理机构组成表.pdf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已标价工程量清单.docx 已标价工程量清单 中小企业声明函 承诺书.docx 近年完成的类似项目情况表.docx 响应文件封面 残疾人福利性单位声明函 报价函 标的清单 供应商特定资格要求.docx 项目管理机构组成表.pdf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项目组织机构.docx</w:t>
            </w:r>
          </w:p>
          <w:p>
            <w:pPr>
              <w:pStyle w:val="null3"/>
            </w:pPr>
            <w:r>
              <w:rPr>
                <w:rFonts w:ascii="仿宋_GB2312" w:hAnsi="仿宋_GB2312" w:cs="仿宋_GB2312" w:eastAsia="仿宋_GB2312"/>
              </w:rPr>
              <w:t>项目管理机构组成表.pdf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2024年01月至今完成的类似业绩，一项得2分，最多得6分。 注：须附类似项目业绩的成交（中标）通知书或合同或竣工验收证明材料复印件或扫描件），以提供证明资料的落款时间为准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详见附件：项目管理机构组成表.pdf</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