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版本号：DRZB2026-ZC-178.1B120260819001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学校医务(保健)室医疗服务外包项目（二次）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DRZB2026-ZC-178.1B1</w:t>
      </w:r>
      <w:r>
        <w:br/>
      </w:r>
      <w:r>
        <w:br/>
      </w:r>
      <w:r>
        <w:br/>
      </w:r>
    </w:p>
    <w:p>
      <w:pPr>
        <w:pStyle w:val="null3"/>
        <w:jc w:val="center"/>
        <w:outlineLvl w:val="2"/>
      </w:pPr>
      <w:r>
        <w:rPr>
          <w:rFonts w:ascii="仿宋_GB2312" w:hAnsi="仿宋_GB2312" w:cs="仿宋_GB2312" w:eastAsia="仿宋_GB2312"/>
          <w:sz w:val="28"/>
          <w:b/>
        </w:rPr>
        <w:t>陕西开放大学</w:t>
      </w:r>
    </w:p>
    <w:p>
      <w:pPr>
        <w:pStyle w:val="null3"/>
        <w:jc w:val="center"/>
        <w:outlineLvl w:val="2"/>
      </w:pPr>
      <w:r>
        <w:rPr>
          <w:rFonts w:ascii="仿宋_GB2312" w:hAnsi="仿宋_GB2312" w:cs="仿宋_GB2312" w:eastAsia="仿宋_GB2312"/>
          <w:sz w:val="28"/>
          <w:b/>
        </w:rPr>
        <w:t>陕西德仁招标有限公司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陕西开放大学</w:t>
      </w:r>
      <w:r>
        <w:rPr>
          <w:rFonts w:ascii="仿宋_GB2312" w:hAnsi="仿宋_GB2312" w:cs="仿宋_GB2312" w:eastAsia="仿宋_GB2312"/>
        </w:rPr>
        <w:t>委托，拟对</w:t>
      </w:r>
      <w:r>
        <w:rPr>
          <w:rFonts w:ascii="仿宋_GB2312" w:hAnsi="仿宋_GB2312" w:cs="仿宋_GB2312" w:eastAsia="仿宋_GB2312"/>
        </w:rPr>
        <w:t>学校医务(保健)室医疗服务外包项目（二次）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DRZB2026-ZC-178.1B1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学校医务(保健)室医疗服务外包项目（二次）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学校医务(保健)室医疗服务外包项目（二次），具体内容详见磋商文件及采购需求。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4、社会保障资金缴纳证明：提供递交响应文件截止之日前六个月内任意一个月的社会保障资金缴存单据或社保机构开具的社会保险参保缴费情况证明。依法不需要缴纳社会保障资金 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6、无重大违法记录声明：参加本次政府采购活动前 3 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7、法定代表人授权委托书：法定代表人直接参加磋商的，须出具法定代表人身份证明书及身份证；授权代表参加磋商的，须出具法定代表人授权书及授权代表身份证；</w:t>
      </w:r>
    </w:p>
    <w:p>
      <w:pPr>
        <w:pStyle w:val="null3"/>
      </w:pPr>
      <w:r>
        <w:rPr>
          <w:rFonts w:ascii="仿宋_GB2312" w:hAnsi="仿宋_GB2312" w:cs="仿宋_GB2312" w:eastAsia="仿宋_GB2312"/>
        </w:rPr>
        <w:t>8、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供应商关联关系声明：供应商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10、特定资质：供应商具备合法有效的《医疗机构执业许可证》；</w:t>
      </w:r>
    </w:p>
    <w:p>
      <w:pPr>
        <w:pStyle w:val="null3"/>
      </w:pPr>
      <w:r>
        <w:rPr>
          <w:rFonts w:ascii="仿宋_GB2312" w:hAnsi="仿宋_GB2312" w:cs="仿宋_GB2312" w:eastAsia="仿宋_GB2312"/>
        </w:rPr>
        <w:t>11、非联合体声明：本项目不接受联合体磋商。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陕西开放大学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西安市长安区郭杜北街41号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帅老师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029-81896974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贺培文、张海燕、赵璐、苏庆春、曹静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采购包1保证金金额：25,178.00元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开户名称：陕西德仁招标有限公司</w:t>
            </w:r>
          </w:p>
          <w:p>
            <w:pPr>
              <w:pStyle w:val="null3"/>
            </w:pPr>
            <w:r>
              <w:rPr>
                <w:rFonts w:ascii="仿宋_GB2312" w:hAnsi="仿宋_GB2312" w:cs="仿宋_GB2312" w:eastAsia="仿宋_GB2312"/>
              </w:rPr>
              <w:t>开户银行：中国建设银行股份有限公司西安吉祥路支行</w:t>
            </w:r>
          </w:p>
          <w:p>
            <w:pPr>
              <w:pStyle w:val="null3"/>
            </w:pPr>
            <w:r>
              <w:rPr>
                <w:rFonts w:ascii="仿宋_GB2312" w:hAnsi="仿宋_GB2312" w:cs="仿宋_GB2312" w:eastAsia="仿宋_GB2312"/>
              </w:rPr>
              <w:t>银行账号：6105 0172 6500 0000 0081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说明：合同签订后，成交供应商向采购人缴纳项目履约保证金，金额为合同总金额的5%。合同期满无违约行为的全额无息退还。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实行市场调节价，采用差额定率累进法计费，以成交金额为计费基数，由成交供应商在领取成交通知书前一次性支付。本项目一采三年，代理服务费按三年收取。按照“服务类”项目的取费标准，具体费率：100万元以下，按照1.5%计取，100万元-500万元，按照0.8%计取。 银行户名：陕西德仁招标有限公司 开户银行：招商银行股份有限公司西安城南支行 账 号：1299 0904 6810 901 联系人：苏会计 联系电话：029-89185132 邮箱：sxdrzb@qq.com</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踏勘时间：2026-08-28 10:00:00</w:t>
            </w:r>
          </w:p>
          <w:p>
            <w:pPr>
              <w:pStyle w:val="null3"/>
              <w:ind w:firstLine="975"/>
            </w:pPr>
            <w:r>
              <w:rPr>
                <w:rFonts w:ascii="仿宋_GB2312" w:hAnsi="仿宋_GB2312" w:cs="仿宋_GB2312" w:eastAsia="仿宋_GB2312"/>
              </w:rPr>
              <w:t>踏勘地点：陕西开放大学郭杜校区东门口集合</w:t>
            </w:r>
          </w:p>
          <w:p>
            <w:pPr>
              <w:pStyle w:val="null3"/>
              <w:ind w:firstLine="975"/>
            </w:pPr>
            <w:r>
              <w:rPr>
                <w:rFonts w:ascii="仿宋_GB2312" w:hAnsi="仿宋_GB2312" w:cs="仿宋_GB2312" w:eastAsia="仿宋_GB2312"/>
              </w:rPr>
              <w:t>联系人：申老师</w:t>
            </w:r>
          </w:p>
          <w:p>
            <w:pPr>
              <w:pStyle w:val="null3"/>
              <w:ind w:firstLine="975"/>
            </w:pPr>
            <w:r>
              <w:rPr>
                <w:rFonts w:ascii="仿宋_GB2312" w:hAnsi="仿宋_GB2312" w:cs="仿宋_GB2312" w:eastAsia="仿宋_GB2312"/>
              </w:rPr>
              <w:t>联系电话号码：13701318283</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陕西开放大学</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陕西开放大学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陕西开放大学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以采购文件、响应文件及签订合同要求为准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联系人：贺培文、张海燕、赵璐</w:t>
      </w:r>
    </w:p>
    <w:p>
      <w:pPr>
        <w:pStyle w:val="null3"/>
      </w:pPr>
      <w:r>
        <w:rPr>
          <w:rFonts w:ascii="仿宋_GB2312" w:hAnsi="仿宋_GB2312" w:cs="仿宋_GB2312" w:eastAsia="仿宋_GB2312"/>
        </w:rPr>
        <w:t>联系电话：029-85565073</w:t>
      </w:r>
    </w:p>
    <w:p>
      <w:pPr>
        <w:pStyle w:val="null3"/>
      </w:pPr>
      <w:r>
        <w:rPr>
          <w:rFonts w:ascii="仿宋_GB2312" w:hAnsi="仿宋_GB2312" w:cs="仿宋_GB2312" w:eastAsia="仿宋_GB2312"/>
        </w:rPr>
        <w:t>地址：西安市唐延路37号class公馆B栋1103室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学校医务(保健)室医疗服务外包项目，具体内容详见磋商文件及采购需求。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1,290,000.00</w:t>
      </w:r>
    </w:p>
    <w:p>
      <w:pPr>
        <w:pStyle w:val="null3"/>
      </w:pPr>
      <w:r>
        <w:rPr>
          <w:rFonts w:ascii="仿宋_GB2312" w:hAnsi="仿宋_GB2312" w:cs="仿宋_GB2312" w:eastAsia="仿宋_GB2312"/>
        </w:rPr>
        <w:t>采购包最高限价（元）: 1,290,000.00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学校医务(保健)室医疗服务外包项目（二次）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标的名称：学校医务(保健)室医疗服务外包项目（二次）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一、第三方服务承包单位的要求</w:t>
            </w:r>
          </w:p>
          <w:p>
            <w:pPr>
              <w:pStyle w:val="null3"/>
              <w:jc w:val="left"/>
            </w:pPr>
            <w:r>
              <w:rPr>
                <w:rFonts w:ascii="仿宋_GB2312" w:hAnsi="仿宋_GB2312" w:cs="仿宋_GB2312" w:eastAsia="仿宋_GB2312"/>
                <w:sz w:val="21"/>
                <w:b/>
              </w:rPr>
              <w:t>（一）法规依据与服务期限</w:t>
            </w:r>
          </w:p>
          <w:p>
            <w:pPr>
              <w:pStyle w:val="null3"/>
              <w:jc w:val="left"/>
            </w:pPr>
            <w:r>
              <w:rPr>
                <w:rFonts w:ascii="仿宋_GB2312" w:hAnsi="仿宋_GB2312" w:cs="仿宋_GB2312" w:eastAsia="仿宋_GB2312"/>
                <w:sz w:val="21"/>
              </w:rPr>
              <w:t>1.按照《学校卫生工作条例》相关规定，校医务室（保健室）隶属后勤管理处，由后勤管理处统一管理和监督实施。</w:t>
            </w:r>
          </w:p>
          <w:p>
            <w:pPr>
              <w:pStyle w:val="null3"/>
              <w:jc w:val="left"/>
            </w:pPr>
            <w:r>
              <w:rPr>
                <w:rFonts w:ascii="仿宋_GB2312" w:hAnsi="仿宋_GB2312" w:cs="仿宋_GB2312" w:eastAsia="仿宋_GB2312"/>
                <w:sz w:val="21"/>
              </w:rPr>
              <w:t>2.本项目服务期限为三年，每年度服务期满前，由学校根据综合考核评估结果决定是否续签下一年度合同，考核评估内容包括但不限于：服务质量、师生满意度、制度执行情况、医疗安全等。</w:t>
            </w:r>
          </w:p>
          <w:p>
            <w:pPr>
              <w:pStyle w:val="null3"/>
              <w:jc w:val="left"/>
            </w:pPr>
            <w:r>
              <w:rPr>
                <w:rFonts w:ascii="仿宋_GB2312" w:hAnsi="仿宋_GB2312" w:cs="仿宋_GB2312" w:eastAsia="仿宋_GB2312"/>
                <w:sz w:val="21"/>
              </w:rPr>
              <w:t>3.考核合格后续签，考核不合格的，学校有权终止合同，不再续签。</w:t>
            </w:r>
          </w:p>
          <w:p>
            <w:pPr>
              <w:pStyle w:val="null3"/>
              <w:jc w:val="left"/>
            </w:pPr>
            <w:r>
              <w:rPr>
                <w:rFonts w:ascii="仿宋_GB2312" w:hAnsi="仿宋_GB2312" w:cs="仿宋_GB2312" w:eastAsia="仿宋_GB2312"/>
                <w:sz w:val="21"/>
                <w:b/>
              </w:rPr>
              <w:t>（二）合规运营要求</w:t>
            </w:r>
          </w:p>
          <w:p>
            <w:pPr>
              <w:pStyle w:val="null3"/>
              <w:jc w:val="left"/>
            </w:pPr>
            <w:r>
              <w:rPr>
                <w:rFonts w:ascii="仿宋_GB2312" w:hAnsi="仿宋_GB2312" w:cs="仿宋_GB2312" w:eastAsia="仿宋_GB2312"/>
                <w:sz w:val="21"/>
              </w:rPr>
              <w:t>合作期间，服务机构须严格按照《学校卫生工作条例》《医疗机构管理条例》《执业医师法》等国家法律法规及相关医疗技术规范要求，结合学校实际需求，主动配合学校建立健全医务室各项管理制度，全面落实医务（保健）室的各项工作职责。</w:t>
            </w:r>
          </w:p>
          <w:p>
            <w:pPr>
              <w:pStyle w:val="null3"/>
              <w:jc w:val="left"/>
            </w:pPr>
            <w:r>
              <w:rPr>
                <w:rFonts w:ascii="仿宋_GB2312" w:hAnsi="仿宋_GB2312" w:cs="仿宋_GB2312" w:eastAsia="仿宋_GB2312"/>
                <w:sz w:val="21"/>
              </w:rPr>
              <w:t>1.依法执业：所有医务人员须持有效的《医师资格证书》《医师执业证书》或《护士执业证书》上岗，执业地点注册在本机构，严禁非卫生技术人员从事诊疗技术工作。</w:t>
            </w:r>
          </w:p>
          <w:p>
            <w:pPr>
              <w:pStyle w:val="null3"/>
              <w:jc w:val="left"/>
            </w:pPr>
            <w:r>
              <w:rPr>
                <w:rFonts w:ascii="仿宋_GB2312" w:hAnsi="仿宋_GB2312" w:cs="仿宋_GB2312" w:eastAsia="仿宋_GB2312"/>
                <w:sz w:val="21"/>
              </w:rPr>
              <w:t>2.诊疗规范：严格执行首诊负责制、病历书写规范、处方管理制度、消毒隔离制度、医疗废物管理制度等，确保诊疗行为规范、安全。</w:t>
            </w:r>
          </w:p>
          <w:p>
            <w:pPr>
              <w:pStyle w:val="null3"/>
              <w:jc w:val="left"/>
            </w:pPr>
            <w:r>
              <w:rPr>
                <w:rFonts w:ascii="仿宋_GB2312" w:hAnsi="仿宋_GB2312" w:cs="仿宋_GB2312" w:eastAsia="仿宋_GB2312"/>
                <w:sz w:val="21"/>
              </w:rPr>
              <w:t>3.药品管理：药品须从具有合法资质的正规渠道采购，执行国家药品价格政策，实行明码标价，杜绝上调药品价格等乱收费行为。</w:t>
            </w:r>
          </w:p>
          <w:p>
            <w:pPr>
              <w:pStyle w:val="null3"/>
              <w:jc w:val="left"/>
            </w:pPr>
            <w:r>
              <w:rPr>
                <w:rFonts w:ascii="仿宋_GB2312" w:hAnsi="仿宋_GB2312" w:cs="仿宋_GB2312" w:eastAsia="仿宋_GB2312"/>
                <w:sz w:val="21"/>
              </w:rPr>
              <w:t>4.收费标准：医疗诊疗服务费严格执行国家及属地医疗服务价格标准（明码标价上墙），原则上不得高于同等高校医务室服务价格标准，不得擅自提高收费标准或变相增加收费项目。</w:t>
            </w:r>
          </w:p>
          <w:p>
            <w:pPr>
              <w:pStyle w:val="null3"/>
              <w:jc w:val="left"/>
            </w:pPr>
            <w:r>
              <w:rPr>
                <w:rFonts w:ascii="仿宋_GB2312" w:hAnsi="仿宋_GB2312" w:cs="仿宋_GB2312" w:eastAsia="仿宋_GB2312"/>
                <w:sz w:val="21"/>
              </w:rPr>
              <w:t>5.服务时间：本岗位实行全年常态化值守机制，工作日、双休日、法定节假日均需按排班开展工作。如遇突发公共卫生事件、校园重大应急处置等特殊情形，工作人员须保持全天候通信畅通，接到应急指令即时到岗响应，落实 24 小时应急处置职责。</w:t>
            </w:r>
          </w:p>
          <w:p>
            <w:pPr>
              <w:pStyle w:val="null3"/>
              <w:jc w:val="left"/>
            </w:pPr>
            <w:r>
              <w:rPr>
                <w:rFonts w:ascii="仿宋_GB2312" w:hAnsi="仿宋_GB2312" w:cs="仿宋_GB2312" w:eastAsia="仿宋_GB2312"/>
                <w:sz w:val="21"/>
              </w:rPr>
              <w:t>6.质量安全：不断提高医疗技术水平和医疗服务态度，确保医疗质量和医疗安全。按规定购买医疗责任保险，独立承担医疗法律责任。</w:t>
            </w:r>
          </w:p>
          <w:p>
            <w:pPr>
              <w:pStyle w:val="null3"/>
              <w:jc w:val="left"/>
            </w:pPr>
            <w:r>
              <w:rPr>
                <w:rFonts w:ascii="仿宋_GB2312" w:hAnsi="仿宋_GB2312" w:cs="仿宋_GB2312" w:eastAsia="仿宋_GB2312"/>
                <w:sz w:val="21"/>
                <w:b/>
              </w:rPr>
              <w:t>二、人员保障</w:t>
            </w:r>
          </w:p>
          <w:p>
            <w:pPr>
              <w:pStyle w:val="null3"/>
              <w:jc w:val="left"/>
            </w:pPr>
            <w:r>
              <w:rPr>
                <w:rFonts w:ascii="仿宋_GB2312" w:hAnsi="仿宋_GB2312" w:cs="仿宋_GB2312" w:eastAsia="仿宋_GB2312"/>
                <w:sz w:val="21"/>
              </w:rPr>
              <w:t>结合我校医务工作实际和各校区医务室设置情况，严格按照在校总人数600:1的比例配齐配全专业专职医务团队，总人数≥19人。具体配置如下：</w:t>
            </w:r>
          </w:p>
          <w:p>
            <w:pPr>
              <w:pStyle w:val="null3"/>
              <w:jc w:val="left"/>
            </w:pPr>
            <w:r>
              <w:rPr>
                <w:rFonts w:ascii="仿宋_GB2312" w:hAnsi="仿宋_GB2312" w:cs="仿宋_GB2312" w:eastAsia="仿宋_GB2312"/>
                <w:sz w:val="21"/>
                <w:b/>
              </w:rPr>
              <w:t>（一）郭杜校区（≥9人）</w:t>
            </w:r>
          </w:p>
          <w:p>
            <w:pPr>
              <w:pStyle w:val="null3"/>
              <w:jc w:val="left"/>
            </w:pPr>
            <w:r>
              <w:rPr>
                <w:rFonts w:ascii="仿宋_GB2312" w:hAnsi="仿宋_GB2312" w:cs="仿宋_GB2312" w:eastAsia="仿宋_GB2312"/>
                <w:sz w:val="21"/>
              </w:rPr>
              <w:t>1.医务室负责人（兼全科医生）1名：具有医师从业经验及正规医师资质，全面负责各校区医务室的整体管理、医疗质量控制、人员调度及与学校的日常对接工作，协调处理突发公共卫生事件。</w:t>
            </w:r>
          </w:p>
          <w:p>
            <w:pPr>
              <w:pStyle w:val="null3"/>
              <w:jc w:val="left"/>
            </w:pPr>
            <w:r>
              <w:rPr>
                <w:rFonts w:ascii="仿宋_GB2312" w:hAnsi="仿宋_GB2312" w:cs="仿宋_GB2312" w:eastAsia="仿宋_GB2312"/>
                <w:sz w:val="21"/>
              </w:rPr>
              <w:t>2.预防保健员（兼医保专员）1名：负责各校区日常医疗数据上报统计、传染病监测与上报、大学生医保事务及医保档案管理，协助学校完成与属地卫健、医保等部门的文件对接工作，组织师生健康体检。</w:t>
            </w:r>
          </w:p>
          <w:p>
            <w:pPr>
              <w:pStyle w:val="null3"/>
              <w:jc w:val="left"/>
            </w:pPr>
            <w:r>
              <w:rPr>
                <w:rFonts w:ascii="仿宋_GB2312" w:hAnsi="仿宋_GB2312" w:cs="仿宋_GB2312" w:eastAsia="仿宋_GB2312"/>
                <w:sz w:val="21"/>
              </w:rPr>
              <w:t>3.全科医生2名：负责郭杜校区日常门诊、常见病诊疗、急诊急救及大型活动医疗保障工作。</w:t>
            </w:r>
          </w:p>
          <w:p>
            <w:pPr>
              <w:pStyle w:val="null3"/>
              <w:jc w:val="left"/>
            </w:pPr>
            <w:r>
              <w:rPr>
                <w:rFonts w:ascii="仿宋_GB2312" w:hAnsi="仿宋_GB2312" w:cs="仿宋_GB2312" w:eastAsia="仿宋_GB2312"/>
                <w:sz w:val="21"/>
              </w:rPr>
              <w:t>4.护士3名：配合医生开展治疗及护理工作，负责院感防控、消毒隔离、急救配合、防疫物资库房管理等工作。</w:t>
            </w:r>
          </w:p>
          <w:p>
            <w:pPr>
              <w:pStyle w:val="null3"/>
              <w:jc w:val="left"/>
            </w:pPr>
            <w:r>
              <w:rPr>
                <w:rFonts w:ascii="仿宋_GB2312" w:hAnsi="仿宋_GB2312" w:cs="仿宋_GB2312" w:eastAsia="仿宋_GB2312"/>
                <w:sz w:val="21"/>
              </w:rPr>
              <w:t>5.药剂师1名：负责药房日常管理、药品采购计划制定、药品出入库登记、近效期药品清查、药品质量监控及处方审核与发放。</w:t>
            </w:r>
          </w:p>
          <w:p>
            <w:pPr>
              <w:pStyle w:val="null3"/>
              <w:jc w:val="left"/>
            </w:pPr>
            <w:r>
              <w:rPr>
                <w:rFonts w:ascii="仿宋_GB2312" w:hAnsi="仿宋_GB2312" w:cs="仿宋_GB2312" w:eastAsia="仿宋_GB2312"/>
                <w:sz w:val="21"/>
              </w:rPr>
              <w:t>6.检验科技师1名：负责门诊常规检验工作（血常规、尿常规、便常规、血糖快速检测等），检验设备日常维护与质控。</w:t>
            </w:r>
          </w:p>
          <w:p>
            <w:pPr>
              <w:pStyle w:val="null3"/>
              <w:jc w:val="left"/>
            </w:pPr>
            <w:r>
              <w:rPr>
                <w:rFonts w:ascii="仿宋_GB2312" w:hAnsi="仿宋_GB2312" w:cs="仿宋_GB2312" w:eastAsia="仿宋_GB2312"/>
                <w:sz w:val="21"/>
                <w:b/>
              </w:rPr>
              <w:t>（二）太白校区（≥4人）</w:t>
            </w:r>
          </w:p>
          <w:p>
            <w:pPr>
              <w:pStyle w:val="null3"/>
              <w:jc w:val="left"/>
            </w:pPr>
            <w:r>
              <w:rPr>
                <w:rFonts w:ascii="仿宋_GB2312" w:hAnsi="仿宋_GB2312" w:cs="仿宋_GB2312" w:eastAsia="仿宋_GB2312"/>
                <w:sz w:val="21"/>
              </w:rPr>
              <w:t>1.全科医生2名：负责太白校区日常门诊及急诊急救工作，满足师生多元就医需求，同时协助传染病防控及健康宣教。</w:t>
            </w:r>
          </w:p>
          <w:p>
            <w:pPr>
              <w:pStyle w:val="null3"/>
              <w:jc w:val="left"/>
            </w:pPr>
            <w:r>
              <w:rPr>
                <w:rFonts w:ascii="仿宋_GB2312" w:hAnsi="仿宋_GB2312" w:cs="仿宋_GB2312" w:eastAsia="仿宋_GB2312"/>
                <w:sz w:val="21"/>
              </w:rPr>
              <w:t>2.护士2名：配合医生开展治疗及护理工作，负责院感防控、协助完成与学校及属地部门的对接工作。</w:t>
            </w:r>
          </w:p>
          <w:p>
            <w:pPr>
              <w:pStyle w:val="null3"/>
              <w:jc w:val="left"/>
            </w:pPr>
            <w:r>
              <w:rPr>
                <w:rFonts w:ascii="仿宋_GB2312" w:hAnsi="仿宋_GB2312" w:cs="仿宋_GB2312" w:eastAsia="仿宋_GB2312"/>
                <w:sz w:val="21"/>
                <w:b/>
              </w:rPr>
              <w:t>（三）明德校区（≥5人）</w:t>
            </w:r>
          </w:p>
          <w:p>
            <w:pPr>
              <w:pStyle w:val="null3"/>
              <w:jc w:val="left"/>
            </w:pPr>
            <w:r>
              <w:rPr>
                <w:rFonts w:ascii="仿宋_GB2312" w:hAnsi="仿宋_GB2312" w:cs="仿宋_GB2312" w:eastAsia="仿宋_GB2312"/>
                <w:sz w:val="21"/>
              </w:rPr>
              <w:t>1.全科医生2名：负责明德校区日常门诊及急诊急救工作。</w:t>
            </w:r>
          </w:p>
          <w:p>
            <w:pPr>
              <w:pStyle w:val="null3"/>
              <w:jc w:val="left"/>
            </w:pPr>
            <w:r>
              <w:rPr>
                <w:rFonts w:ascii="仿宋_GB2312" w:hAnsi="仿宋_GB2312" w:cs="仿宋_GB2312" w:eastAsia="仿宋_GB2312"/>
                <w:sz w:val="21"/>
              </w:rPr>
              <w:t>2.护士2名：配合医生开展治疗及护理工作，协助完成与学校及属地部门的对接工作。</w:t>
            </w:r>
          </w:p>
          <w:p>
            <w:pPr>
              <w:pStyle w:val="null3"/>
              <w:jc w:val="left"/>
            </w:pPr>
            <w:r>
              <w:rPr>
                <w:rFonts w:ascii="仿宋_GB2312" w:hAnsi="仿宋_GB2312" w:cs="仿宋_GB2312" w:eastAsia="仿宋_GB2312"/>
                <w:sz w:val="21"/>
              </w:rPr>
              <w:t>3.药师1名：负责明德校区药房管理、药品发放及处方审核。</w:t>
            </w:r>
          </w:p>
          <w:p>
            <w:pPr>
              <w:pStyle w:val="null3"/>
              <w:jc w:val="left"/>
            </w:pPr>
            <w:r>
              <w:rPr>
                <w:rFonts w:ascii="仿宋_GB2312" w:hAnsi="仿宋_GB2312" w:cs="仿宋_GB2312" w:eastAsia="仿宋_GB2312"/>
                <w:sz w:val="21"/>
                <w:b/>
              </w:rPr>
              <w:t>（四）高新校区（≥1人）</w:t>
            </w:r>
          </w:p>
          <w:p>
            <w:pPr>
              <w:pStyle w:val="null3"/>
              <w:jc w:val="left"/>
            </w:pPr>
            <w:r>
              <w:rPr>
                <w:rFonts w:ascii="仿宋_GB2312" w:hAnsi="仿宋_GB2312" w:cs="仿宋_GB2312" w:eastAsia="仿宋_GB2312"/>
                <w:sz w:val="21"/>
              </w:rPr>
              <w:t>预防保健人员1名：负责高新校区师生日常健康咨询、传染病监测与上报、数据统计、健康宣教，协助完成与学校及属地部门的对接工作。</w:t>
            </w:r>
          </w:p>
          <w:p>
            <w:pPr>
              <w:pStyle w:val="null3"/>
              <w:jc w:val="left"/>
            </w:pPr>
            <w:r>
              <w:rPr>
                <w:rFonts w:ascii="仿宋_GB2312" w:hAnsi="仿宋_GB2312" w:cs="仿宋_GB2312" w:eastAsia="仿宋_GB2312"/>
                <w:sz w:val="21"/>
                <w:b/>
              </w:rPr>
              <w:t>（五）人员资质要求</w:t>
            </w:r>
          </w:p>
          <w:p>
            <w:pPr>
              <w:pStyle w:val="null3"/>
              <w:jc w:val="left"/>
            </w:pPr>
            <w:r>
              <w:rPr>
                <w:rFonts w:ascii="仿宋_GB2312" w:hAnsi="仿宋_GB2312" w:cs="仿宋_GB2312" w:eastAsia="仿宋_GB2312"/>
                <w:sz w:val="21"/>
              </w:rPr>
              <w:t>★1.所有医务人员必须具备相应执业资格证书（医师须持《医师资格证书》《医师执业证书》，护士须持《护士执业证书》，药剂人员须持《药师资格证书》，检验人员须持相应专业技术资格证书。</w:t>
            </w:r>
            <w:r>
              <w:rPr>
                <w:rFonts w:ascii="仿宋_GB2312" w:hAnsi="仿宋_GB2312" w:cs="仿宋_GB2312" w:eastAsia="仿宋_GB2312"/>
                <w:sz w:val="21"/>
                <w:b/>
              </w:rPr>
              <w:t>（供应商提供相关证书复印件）</w:t>
            </w:r>
          </w:p>
          <w:p>
            <w:pPr>
              <w:pStyle w:val="null3"/>
              <w:jc w:val="left"/>
            </w:pPr>
            <w:r>
              <w:rPr>
                <w:rFonts w:ascii="仿宋_GB2312" w:hAnsi="仿宋_GB2312" w:cs="仿宋_GB2312" w:eastAsia="仿宋_GB2312"/>
                <w:sz w:val="21"/>
              </w:rPr>
              <w:t>2.医师须具有3年以上临床工作经验，擅长常见病、多发病的诊治，具备处理急诊急救及突发公共卫生事件的能力。</w:t>
            </w:r>
          </w:p>
          <w:p>
            <w:pPr>
              <w:pStyle w:val="null3"/>
              <w:jc w:val="left"/>
            </w:pPr>
            <w:r>
              <w:rPr>
                <w:rFonts w:ascii="仿宋_GB2312" w:hAnsi="仿宋_GB2312" w:cs="仿宋_GB2312" w:eastAsia="仿宋_GB2312"/>
                <w:sz w:val="21"/>
                <w:b/>
              </w:rPr>
              <w:t>三、基本服务要求</w:t>
            </w:r>
          </w:p>
          <w:p>
            <w:pPr>
              <w:pStyle w:val="null3"/>
              <w:jc w:val="left"/>
            </w:pPr>
            <w:r>
              <w:rPr>
                <w:rFonts w:ascii="仿宋_GB2312" w:hAnsi="仿宋_GB2312" w:cs="仿宋_GB2312" w:eastAsia="仿宋_GB2312"/>
                <w:sz w:val="21"/>
                <w:b/>
              </w:rPr>
              <w:t>（一）功能科室设置（下述所有医疗设备由中标单位提供）</w:t>
            </w:r>
          </w:p>
          <w:p>
            <w:pPr>
              <w:pStyle w:val="null3"/>
              <w:jc w:val="left"/>
            </w:pPr>
            <w:r>
              <w:rPr>
                <w:rFonts w:ascii="仿宋_GB2312" w:hAnsi="仿宋_GB2312" w:cs="仿宋_GB2312" w:eastAsia="仿宋_GB2312"/>
                <w:sz w:val="21"/>
              </w:rPr>
              <w:t>服务承包单位须满足学校日常医疗保障及健康服务需求，设置符合医疗标准的、包括但不限于以下功能科室及设施设备：</w:t>
            </w:r>
          </w:p>
          <w:p>
            <w:pPr>
              <w:pStyle w:val="null3"/>
              <w:jc w:val="left"/>
            </w:pPr>
            <w:r>
              <w:rPr>
                <w:rFonts w:ascii="仿宋_GB2312" w:hAnsi="仿宋_GB2312" w:cs="仿宋_GB2312" w:eastAsia="仿宋_GB2312"/>
                <w:sz w:val="21"/>
              </w:rPr>
              <w:t>1.内科/外科诊疗室、急救室、治疗室、观察室、药房、检验室、预防保健室、医疗废物暂存间、防疫物资库房等；</w:t>
            </w:r>
          </w:p>
          <w:p>
            <w:pPr>
              <w:pStyle w:val="null3"/>
              <w:jc w:val="left"/>
            </w:pPr>
            <w:r>
              <w:rPr>
                <w:rFonts w:ascii="仿宋_GB2312" w:hAnsi="仿宋_GB2312" w:cs="仿宋_GB2312" w:eastAsia="仿宋_GB2312"/>
                <w:sz w:val="21"/>
              </w:rPr>
              <w:t>2.诊察床、诊察桌、诊察凳、血压计（电子或水银）、听诊器、体温计（电子+水银）、压舌板、手电筒、医用镊子、止血钳、医用剪刀、身高体重测量仪、出诊箱；</w:t>
            </w:r>
          </w:p>
          <w:p>
            <w:pPr>
              <w:pStyle w:val="null3"/>
              <w:jc w:val="left"/>
            </w:pPr>
            <w:r>
              <w:rPr>
                <w:rFonts w:ascii="仿宋_GB2312" w:hAnsi="仿宋_GB2312" w:cs="仿宋_GB2312" w:eastAsia="仿宋_GB2312"/>
                <w:sz w:val="21"/>
              </w:rPr>
              <w:t>3.检验设备，血常规分析仪（可选配）、尿常规分析仪（可选配）、血糖仪；</w:t>
            </w:r>
          </w:p>
          <w:p>
            <w:pPr>
              <w:pStyle w:val="null3"/>
              <w:jc w:val="left"/>
            </w:pPr>
            <w:r>
              <w:rPr>
                <w:rFonts w:ascii="仿宋_GB2312" w:hAnsi="仿宋_GB2312" w:cs="仿宋_GB2312" w:eastAsia="仿宋_GB2312"/>
                <w:sz w:val="21"/>
              </w:rPr>
              <w:t>4.医疗检查设备心电图机、肺活量测试仪、红外测温枪；</w:t>
            </w:r>
          </w:p>
          <w:p>
            <w:pPr>
              <w:pStyle w:val="null3"/>
              <w:jc w:val="left"/>
            </w:pPr>
            <w:r>
              <w:rPr>
                <w:rFonts w:ascii="仿宋_GB2312" w:hAnsi="仿宋_GB2312" w:cs="仿宋_GB2312" w:eastAsia="仿宋_GB2312"/>
                <w:sz w:val="21"/>
              </w:rPr>
              <w:t>5.抢救室设备抢救诊疗床、氧气瓶（或便携式氧气袋）、急救药品柜、人工呼吸面罩、开口器、舌钳、轮椅、担架（折叠式）、脊柱板、急救箱（含止血带、绷带、三角巾、夹板等）；</w:t>
            </w:r>
          </w:p>
          <w:p>
            <w:pPr>
              <w:pStyle w:val="null3"/>
              <w:jc w:val="left"/>
            </w:pPr>
            <w:r>
              <w:rPr>
                <w:rFonts w:ascii="仿宋_GB2312" w:hAnsi="仿宋_GB2312" w:cs="仿宋_GB2312" w:eastAsia="仿宋_GB2312"/>
                <w:sz w:val="21"/>
              </w:rPr>
              <w:t>6. 紫外线消毒灯车、含氯消毒剂、75%医用酒精、碘伏、免洗手消毒凝胶、敷料缸、方盘、消毒棉球、纱布罐；</w:t>
            </w:r>
          </w:p>
          <w:p>
            <w:pPr>
              <w:pStyle w:val="null3"/>
              <w:jc w:val="left"/>
            </w:pPr>
            <w:r>
              <w:rPr>
                <w:rFonts w:ascii="仿宋_GB2312" w:hAnsi="仿宋_GB2312" w:cs="仿宋_GB2312" w:eastAsia="仿宋_GB2312"/>
                <w:sz w:val="21"/>
              </w:rPr>
              <w:t>7.其他辅助设备医用冷藏冰箱、阴凉柜、利器盒、医用垃圾桶（套黄色医疗废物专用袋）、医用隔离衣、防护面罩、护目镜；</w:t>
            </w:r>
          </w:p>
          <w:p>
            <w:pPr>
              <w:pStyle w:val="null3"/>
              <w:jc w:val="left"/>
            </w:pPr>
            <w:r>
              <w:rPr>
                <w:rFonts w:ascii="仿宋_GB2312" w:hAnsi="仿宋_GB2312" w:cs="仿宋_GB2312" w:eastAsia="仿宋_GB2312"/>
                <w:sz w:val="21"/>
              </w:rPr>
              <w:t>8.配备充足的常用药品、急救药品以及无菌敷料包、清创消毒物品等；</w:t>
            </w:r>
          </w:p>
          <w:p>
            <w:pPr>
              <w:pStyle w:val="null3"/>
              <w:jc w:val="left"/>
            </w:pPr>
            <w:r>
              <w:rPr>
                <w:rFonts w:ascii="仿宋_GB2312" w:hAnsi="仿宋_GB2312" w:cs="仿宋_GB2312" w:eastAsia="仿宋_GB2312"/>
                <w:sz w:val="21"/>
              </w:rPr>
              <w:t>9.配备电脑、打印机、电话、资料柜、办公桌椅等办公设备。（办公用房由甲方提供）。</w:t>
            </w:r>
          </w:p>
          <w:p>
            <w:pPr>
              <w:pStyle w:val="null3"/>
              <w:jc w:val="left"/>
            </w:pPr>
            <w:r>
              <w:rPr>
                <w:rFonts w:ascii="仿宋_GB2312" w:hAnsi="仿宋_GB2312" w:cs="仿宋_GB2312" w:eastAsia="仿宋_GB2312"/>
                <w:sz w:val="21"/>
                <w:b/>
              </w:rPr>
              <w:t>（二）日常医疗保障与服务</w:t>
            </w:r>
          </w:p>
          <w:p>
            <w:pPr>
              <w:pStyle w:val="null3"/>
              <w:jc w:val="left"/>
            </w:pPr>
            <w:r>
              <w:rPr>
                <w:rFonts w:ascii="仿宋_GB2312" w:hAnsi="仿宋_GB2312" w:cs="仿宋_GB2312" w:eastAsia="仿宋_GB2312"/>
                <w:sz w:val="21"/>
              </w:rPr>
              <w:t>1.统筹推进大学生医疗保险参保组织实施工作，常态化完善并长效运维大学生医保档案管理体系，保障相关工作连贯有序开展。</w:t>
            </w:r>
          </w:p>
          <w:p>
            <w:pPr>
              <w:pStyle w:val="null3"/>
              <w:jc w:val="left"/>
            </w:pPr>
            <w:r>
              <w:rPr>
                <w:rFonts w:ascii="仿宋_GB2312" w:hAnsi="仿宋_GB2312" w:cs="仿宋_GB2312" w:eastAsia="仿宋_GB2312"/>
                <w:sz w:val="21"/>
              </w:rPr>
              <w:t>2.统筹落实在校学生年度常规健康体检工作，健全学生体检长效档案管理体系，动态更新档案信息，实现学生健康跟踪管理可持续开展。</w:t>
            </w:r>
          </w:p>
          <w:p>
            <w:pPr>
              <w:pStyle w:val="null3"/>
              <w:jc w:val="left"/>
            </w:pPr>
            <w:r>
              <w:rPr>
                <w:rFonts w:ascii="仿宋_GB2312" w:hAnsi="仿宋_GB2312" w:cs="仿宋_GB2312" w:eastAsia="仿宋_GB2312"/>
                <w:sz w:val="21"/>
              </w:rPr>
              <w:t>3.提供学校各种大型集体活动医疗保障服务工作（如考试、招聘会、运动会、军训、大型会议、培训会等），其中在新生军训和学校运动会期间须提供救护车全天待命（全年≦40次）</w:t>
            </w:r>
          </w:p>
          <w:p>
            <w:pPr>
              <w:pStyle w:val="null3"/>
              <w:jc w:val="left"/>
            </w:pPr>
            <w:r>
              <w:rPr>
                <w:rFonts w:ascii="仿宋_GB2312" w:hAnsi="仿宋_GB2312" w:cs="仿宋_GB2312" w:eastAsia="仿宋_GB2312"/>
                <w:sz w:val="21"/>
              </w:rPr>
              <w:t>4.负责完成校内各类突发疾病和突发公共医疗事件的应急处理；</w:t>
            </w:r>
          </w:p>
          <w:p>
            <w:pPr>
              <w:pStyle w:val="null3"/>
              <w:jc w:val="left"/>
            </w:pPr>
            <w:r>
              <w:rPr>
                <w:rFonts w:ascii="仿宋_GB2312" w:hAnsi="仿宋_GB2312" w:cs="仿宋_GB2312" w:eastAsia="仿宋_GB2312"/>
                <w:sz w:val="21"/>
              </w:rPr>
              <w:t>5.负责学校健康驿站的管理和各项日常工作。</w:t>
            </w:r>
          </w:p>
          <w:p>
            <w:pPr>
              <w:pStyle w:val="null3"/>
              <w:jc w:val="left"/>
            </w:pPr>
            <w:r>
              <w:rPr>
                <w:rFonts w:ascii="仿宋_GB2312" w:hAnsi="仿宋_GB2312" w:cs="仿宋_GB2312" w:eastAsia="仿宋_GB2312"/>
                <w:sz w:val="21"/>
              </w:rPr>
              <w:t>6.建立医疗服务质量管理制度，包括服务标准、满意度评价、投诉处理机制，定期开展服务质量评估与改进。</w:t>
            </w:r>
          </w:p>
          <w:p>
            <w:pPr>
              <w:pStyle w:val="null3"/>
              <w:jc w:val="left"/>
            </w:pPr>
            <w:r>
              <w:rPr>
                <w:rFonts w:ascii="仿宋_GB2312" w:hAnsi="仿宋_GB2312" w:cs="仿宋_GB2312" w:eastAsia="仿宋_GB2312"/>
                <w:sz w:val="21"/>
              </w:rPr>
              <w:t>7.建立医疗安全与风险管理制度，制定医疗差错/事故预防措施、医疗纠纷处理预案，投保医疗责任保险。</w:t>
            </w:r>
          </w:p>
          <w:p>
            <w:pPr>
              <w:pStyle w:val="null3"/>
              <w:jc w:val="left"/>
            </w:pPr>
            <w:r>
              <w:rPr>
                <w:rFonts w:ascii="仿宋_GB2312" w:hAnsi="仿宋_GB2312" w:cs="仿宋_GB2312" w:eastAsia="仿宋_GB2312"/>
                <w:sz w:val="21"/>
              </w:rPr>
              <w:t>8.建立药品与医疗器械管理制度，规范药品采购、储存、发放、有效期管理流程，定期维护校准医疗设备。</w:t>
            </w:r>
          </w:p>
          <w:p>
            <w:pPr>
              <w:pStyle w:val="null3"/>
              <w:jc w:val="left"/>
            </w:pPr>
            <w:r>
              <w:rPr>
                <w:rFonts w:ascii="仿宋_GB2312" w:hAnsi="仿宋_GB2312" w:cs="仿宋_GB2312" w:eastAsia="仿宋_GB2312"/>
                <w:sz w:val="21"/>
              </w:rPr>
              <w:t>9.制定医疗废物处理规范，明确医疗废弃物的分类、暂存、转运和处置流程，符合环保与卫生要求。</w:t>
            </w:r>
          </w:p>
          <w:p>
            <w:pPr>
              <w:pStyle w:val="null3"/>
              <w:jc w:val="left"/>
            </w:pPr>
            <w:r>
              <w:rPr>
                <w:rFonts w:ascii="仿宋_GB2312" w:hAnsi="仿宋_GB2312" w:cs="仿宋_GB2312" w:eastAsia="仿宋_GB2312"/>
                <w:sz w:val="21"/>
              </w:rPr>
              <w:t>10.全体在岗人员信息统一上墙，人员变动实时更新，明确人员资质与培训制度，定期组织培训与业务考核。</w:t>
            </w:r>
          </w:p>
          <w:p>
            <w:pPr>
              <w:pStyle w:val="null3"/>
              <w:jc w:val="left"/>
            </w:pPr>
            <w:r>
              <w:rPr>
                <w:rFonts w:ascii="仿宋_GB2312" w:hAnsi="仿宋_GB2312" w:cs="仿宋_GB2312" w:eastAsia="仿宋_GB2312"/>
                <w:sz w:val="21"/>
                <w:b/>
              </w:rPr>
              <w:t>（三）传染病监测预警</w:t>
            </w:r>
          </w:p>
          <w:p>
            <w:pPr>
              <w:pStyle w:val="null3"/>
              <w:jc w:val="left"/>
            </w:pPr>
            <w:r>
              <w:rPr>
                <w:rFonts w:ascii="仿宋_GB2312" w:hAnsi="仿宋_GB2312" w:cs="仿宋_GB2312" w:eastAsia="仿宋_GB2312"/>
                <w:sz w:val="21"/>
              </w:rPr>
              <w:t>1.建立传染病监测指标与预警阈值，明确不同传染病的监测频率、报告标准和响应分级。</w:t>
            </w:r>
          </w:p>
          <w:p>
            <w:pPr>
              <w:pStyle w:val="null3"/>
              <w:jc w:val="left"/>
            </w:pPr>
            <w:r>
              <w:rPr>
                <w:rFonts w:ascii="仿宋_GB2312" w:hAnsi="仿宋_GB2312" w:cs="仿宋_GB2312" w:eastAsia="仿宋_GB2312"/>
                <w:sz w:val="21"/>
              </w:rPr>
              <w:t>2.制定分级响应预案，根据疫情严重程度启动相应级别的防控措施。</w:t>
            </w:r>
          </w:p>
          <w:p>
            <w:pPr>
              <w:pStyle w:val="null3"/>
              <w:jc w:val="left"/>
            </w:pPr>
            <w:r>
              <w:rPr>
                <w:rFonts w:ascii="仿宋_GB2312" w:hAnsi="仿宋_GB2312" w:cs="仿宋_GB2312" w:eastAsia="仿宋_GB2312"/>
                <w:sz w:val="21"/>
              </w:rPr>
              <w:t>3.与属地疾控部门建立信息互通机制，确保疫情信息及时上报与共享。</w:t>
            </w:r>
          </w:p>
          <w:p>
            <w:pPr>
              <w:pStyle w:val="null3"/>
              <w:jc w:val="left"/>
            </w:pPr>
            <w:r>
              <w:rPr>
                <w:rFonts w:ascii="仿宋_GB2312" w:hAnsi="仿宋_GB2312" w:cs="仿宋_GB2312" w:eastAsia="仿宋_GB2312"/>
                <w:sz w:val="21"/>
                <w:b/>
              </w:rPr>
              <w:t>（四）转诊与急救转运</w:t>
            </w:r>
          </w:p>
          <w:p>
            <w:pPr>
              <w:pStyle w:val="null3"/>
              <w:jc w:val="left"/>
            </w:pPr>
            <w:r>
              <w:rPr>
                <w:rFonts w:ascii="仿宋_GB2312" w:hAnsi="仿宋_GB2312" w:cs="仿宋_GB2312" w:eastAsia="仿宋_GB2312"/>
                <w:sz w:val="21"/>
              </w:rPr>
              <w:t>1.建立日常转诊机制，明确与周边二级甲等以上医院的转诊流程和对接方式。</w:t>
            </w:r>
          </w:p>
          <w:p>
            <w:pPr>
              <w:pStyle w:val="null3"/>
              <w:jc w:val="left"/>
            </w:pPr>
            <w:r>
              <w:rPr>
                <w:rFonts w:ascii="仿宋_GB2312" w:hAnsi="仿宋_GB2312" w:cs="仿宋_GB2312" w:eastAsia="仿宋_GB2312"/>
                <w:sz w:val="21"/>
              </w:rPr>
              <w:t>2.除军训、运动会等大型活动外，日常急救应与属地120建立快速响应联动机制。</w:t>
            </w:r>
          </w:p>
          <w:p>
            <w:pPr>
              <w:pStyle w:val="null3"/>
              <w:jc w:val="left"/>
            </w:pPr>
            <w:r>
              <w:rPr>
                <w:rFonts w:ascii="仿宋_GB2312" w:hAnsi="仿宋_GB2312" w:cs="仿宋_GB2312" w:eastAsia="仿宋_GB2312"/>
                <w:sz w:val="21"/>
              </w:rPr>
              <w:t>3.制定急救转运预案，明确转运过程中的医护陪同、信息交接等规范。</w:t>
            </w:r>
          </w:p>
          <w:p>
            <w:pPr>
              <w:pStyle w:val="null3"/>
              <w:jc w:val="left"/>
            </w:pPr>
            <w:r>
              <w:rPr>
                <w:rFonts w:ascii="仿宋_GB2312" w:hAnsi="仿宋_GB2312" w:cs="仿宋_GB2312" w:eastAsia="仿宋_GB2312"/>
                <w:sz w:val="21"/>
                <w:b/>
              </w:rPr>
              <w:t>（五）健康教育宣传</w:t>
            </w:r>
          </w:p>
          <w:p>
            <w:pPr>
              <w:pStyle w:val="null3"/>
              <w:jc w:val="left"/>
            </w:pPr>
            <w:r>
              <w:rPr>
                <w:rFonts w:ascii="仿宋_GB2312" w:hAnsi="仿宋_GB2312" w:cs="仿宋_GB2312" w:eastAsia="仿宋_GB2312"/>
                <w:sz w:val="21"/>
              </w:rPr>
              <w:t>1.配合学校定期举行学生心理咨询服务，配合学校建立心理危机干预机制，对突发心理危机事件进行快速识别、干预与转介；</w:t>
            </w:r>
          </w:p>
          <w:p>
            <w:pPr>
              <w:pStyle w:val="null3"/>
              <w:jc w:val="left"/>
            </w:pPr>
            <w:r>
              <w:rPr>
                <w:rFonts w:ascii="仿宋_GB2312" w:hAnsi="仿宋_GB2312" w:cs="仿宋_GB2312" w:eastAsia="仿宋_GB2312"/>
                <w:sz w:val="21"/>
              </w:rPr>
              <w:t>2.有序开展健康教育宣传工作，定期更换传染病宣传展板、举办急救知识培训讲座、加强艾滋病及其他性传播疾病的预防宣传、学生常见心理障碍（如抑郁、焦虑等）等宣传工作。</w:t>
            </w:r>
          </w:p>
          <w:p>
            <w:pPr>
              <w:pStyle w:val="null3"/>
              <w:jc w:val="left"/>
            </w:pPr>
            <w:r>
              <w:rPr>
                <w:rFonts w:ascii="仿宋_GB2312" w:hAnsi="仿宋_GB2312" w:cs="仿宋_GB2312" w:eastAsia="仿宋_GB2312"/>
                <w:sz w:val="21"/>
                <w:b/>
              </w:rPr>
              <w:t>（六）慢性病学生专项管理</w:t>
            </w:r>
          </w:p>
          <w:p>
            <w:pPr>
              <w:pStyle w:val="null3"/>
              <w:jc w:val="left"/>
            </w:pPr>
            <w:r>
              <w:rPr>
                <w:rFonts w:ascii="仿宋_GB2312" w:hAnsi="仿宋_GB2312" w:cs="仿宋_GB2312" w:eastAsia="仿宋_GB2312"/>
                <w:sz w:val="21"/>
              </w:rPr>
              <w:t>1.建立慢性病学生健康档案，对患有高血压、糖尿病、哮喘、癫痫等慢性疾病的学生进行登记备案。</w:t>
            </w:r>
          </w:p>
          <w:p>
            <w:pPr>
              <w:pStyle w:val="null3"/>
              <w:jc w:val="left"/>
            </w:pPr>
            <w:r>
              <w:rPr>
                <w:rFonts w:ascii="仿宋_GB2312" w:hAnsi="仿宋_GB2312" w:cs="仿宋_GB2312" w:eastAsia="仿宋_GB2312"/>
                <w:sz w:val="21"/>
              </w:rPr>
              <w:t>2.制定慢性病学生应急预案，明确在校期间突发疾病的处置流程和联系人信息。</w:t>
            </w:r>
          </w:p>
          <w:p>
            <w:pPr>
              <w:pStyle w:val="null3"/>
              <w:jc w:val="left"/>
            </w:pPr>
            <w:r>
              <w:rPr>
                <w:rFonts w:ascii="仿宋_GB2312" w:hAnsi="仿宋_GB2312" w:cs="仿宋_GB2312" w:eastAsia="仿宋_GB2312"/>
                <w:sz w:val="21"/>
              </w:rPr>
              <w:t>3.定期对慢性病学生进行健康随访，提供用药指导和生活方式建议。</w:t>
            </w:r>
          </w:p>
          <w:p>
            <w:pPr>
              <w:pStyle w:val="null3"/>
              <w:jc w:val="left"/>
            </w:pPr>
            <w:r>
              <w:rPr>
                <w:rFonts w:ascii="仿宋_GB2312" w:hAnsi="仿宋_GB2312" w:cs="仿宋_GB2312" w:eastAsia="仿宋_GB2312"/>
                <w:sz w:val="21"/>
                <w:b/>
              </w:rPr>
              <w:t>（七）信息化与数据管理</w:t>
            </w:r>
          </w:p>
          <w:p>
            <w:pPr>
              <w:pStyle w:val="null3"/>
              <w:jc w:val="left"/>
            </w:pPr>
            <w:r>
              <w:rPr>
                <w:rFonts w:ascii="仿宋_GB2312" w:hAnsi="仿宋_GB2312" w:cs="仿宋_GB2312" w:eastAsia="仿宋_GB2312"/>
                <w:sz w:val="21"/>
              </w:rPr>
              <w:t>1.建立电子化健康档案管理系统，实现学生健康数据的集中存储、动态更新和便捷查询。</w:t>
            </w:r>
          </w:p>
          <w:p>
            <w:pPr>
              <w:pStyle w:val="null3"/>
              <w:jc w:val="left"/>
            </w:pPr>
            <w:r>
              <w:rPr>
                <w:rFonts w:ascii="仿宋_GB2312" w:hAnsi="仿宋_GB2312" w:cs="仿宋_GB2312" w:eastAsia="仿宋_GB2312"/>
                <w:sz w:val="21"/>
              </w:rPr>
              <w:t>2.推动健康档案与学校学生管理系统的数据互通，提高管理效率。</w:t>
            </w:r>
          </w:p>
          <w:p>
            <w:pPr>
              <w:pStyle w:val="null3"/>
              <w:jc w:val="left"/>
            </w:pPr>
            <w:r>
              <w:rPr>
                <w:rFonts w:ascii="仿宋_GB2312" w:hAnsi="仿宋_GB2312" w:cs="仿宋_GB2312" w:eastAsia="仿宋_GB2312"/>
                <w:sz w:val="21"/>
              </w:rPr>
              <w:t>3.保障健康档案的数据安全与隐私保护，严格遵守相关法律法规。</w:t>
            </w:r>
          </w:p>
          <w:p>
            <w:pPr>
              <w:pStyle w:val="null3"/>
              <w:jc w:val="left"/>
            </w:pPr>
            <w:r>
              <w:rPr>
                <w:rFonts w:ascii="仿宋_GB2312" w:hAnsi="仿宋_GB2312" w:cs="仿宋_GB2312" w:eastAsia="仿宋_GB2312"/>
                <w:sz w:val="21"/>
              </w:rPr>
              <w:t>4.通过微信公众号、APP等平台发布医疗服务和健康资讯。</w:t>
            </w:r>
          </w:p>
          <w:p>
            <w:pPr>
              <w:pStyle w:val="null3"/>
              <w:jc w:val="left"/>
            </w:pPr>
            <w:r>
              <w:rPr>
                <w:rFonts w:ascii="仿宋_GB2312" w:hAnsi="仿宋_GB2312" w:cs="仿宋_GB2312" w:eastAsia="仿宋_GB2312"/>
                <w:sz w:val="21"/>
              </w:rPr>
              <w:t>5.完成年度就诊学生健康状况分析研判，形成专项报告报送学校。</w:t>
            </w:r>
          </w:p>
          <w:p>
            <w:pPr>
              <w:pStyle w:val="null3"/>
              <w:jc w:val="left"/>
            </w:pPr>
            <w:r>
              <w:rPr>
                <w:rFonts w:ascii="仿宋_GB2312" w:hAnsi="仿宋_GB2312" w:cs="仿宋_GB2312" w:eastAsia="仿宋_GB2312"/>
                <w:sz w:val="21"/>
                <w:b/>
              </w:rPr>
              <w:t>（八）其他工作</w:t>
            </w:r>
          </w:p>
          <w:p>
            <w:pPr>
              <w:pStyle w:val="null3"/>
              <w:jc w:val="left"/>
            </w:pPr>
            <w:r>
              <w:rPr>
                <w:rFonts w:ascii="仿宋_GB2312" w:hAnsi="仿宋_GB2312" w:cs="仿宋_GB2312" w:eastAsia="仿宋_GB2312"/>
                <w:sz w:val="21"/>
              </w:rPr>
              <w:t>1.配合学校完成属地对高校的各项卫生防疫、医疗政策及相关文件对接工作。</w:t>
            </w:r>
          </w:p>
          <w:p>
            <w:pPr>
              <w:pStyle w:val="null3"/>
              <w:jc w:val="left"/>
            </w:pPr>
            <w:r>
              <w:rPr>
                <w:rFonts w:ascii="仿宋_GB2312" w:hAnsi="仿宋_GB2312" w:cs="仿宋_GB2312" w:eastAsia="仿宋_GB2312"/>
                <w:sz w:val="21"/>
              </w:rPr>
              <w:t>2.协助学校完成上级单位及辖区相关卫生部门检查指导工作。</w:t>
            </w:r>
          </w:p>
          <w:p>
            <w:pPr>
              <w:pStyle w:val="null3"/>
              <w:jc w:val="left"/>
            </w:pPr>
            <w:r>
              <w:rPr>
                <w:rFonts w:ascii="仿宋_GB2312" w:hAnsi="仿宋_GB2312" w:cs="仿宋_GB2312" w:eastAsia="仿宋_GB2312"/>
                <w:sz w:val="21"/>
              </w:rPr>
              <w:t>3.协助学校开通具有二级甲等以上医院就医绿色通道。</w:t>
            </w:r>
          </w:p>
          <w:p>
            <w:pPr>
              <w:pStyle w:val="null3"/>
              <w:jc w:val="left"/>
            </w:pPr>
            <w:r>
              <w:rPr>
                <w:rFonts w:ascii="仿宋_GB2312" w:hAnsi="仿宋_GB2312" w:cs="仿宋_GB2312" w:eastAsia="仿宋_GB2312"/>
                <w:sz w:val="21"/>
              </w:rPr>
              <w:t>4.储备急救药品和器械，确保数量充足、效期有效。</w:t>
            </w:r>
          </w:p>
          <w:p>
            <w:pPr>
              <w:pStyle w:val="null3"/>
              <w:jc w:val="left"/>
            </w:pPr>
            <w:r>
              <w:rPr>
                <w:rFonts w:ascii="仿宋_GB2312" w:hAnsi="仿宋_GB2312" w:cs="仿宋_GB2312" w:eastAsia="仿宋_GB2312"/>
                <w:sz w:val="21"/>
              </w:rPr>
              <w:t>5.协助管理防疫物资库房日常工作，建立物资台账管理制度，定期盘点、及时补充，满足疫情防控需求。</w:t>
            </w:r>
          </w:p>
          <w:p>
            <w:pPr>
              <w:pStyle w:val="null3"/>
              <w:jc w:val="left"/>
            </w:pPr>
            <w:r>
              <w:rPr>
                <w:rFonts w:ascii="仿宋_GB2312" w:hAnsi="仿宋_GB2312" w:cs="仿宋_GB2312" w:eastAsia="仿宋_GB2312"/>
                <w:sz w:val="21"/>
              </w:rPr>
              <w:t>6.为行动不便和残疾学生提供上门诊疗或陪同就医等便利服务，提供无障碍就医环境，包括无障碍通道、轮椅等辅助设施。</w:t>
            </w:r>
          </w:p>
          <w:p>
            <w:pPr>
              <w:pStyle w:val="null3"/>
              <w:jc w:val="left"/>
            </w:pPr>
            <w:r>
              <w:rPr>
                <w:rFonts w:ascii="仿宋_GB2312" w:hAnsi="仿宋_GB2312" w:cs="仿宋_GB2312" w:eastAsia="仿宋_GB2312"/>
                <w:sz w:val="21"/>
              </w:rPr>
              <w:t>7.配合学校完成病媒生物防治的监督考核工作。</w:t>
            </w:r>
          </w:p>
          <w:p>
            <w:pPr>
              <w:pStyle w:val="null3"/>
            </w:pPr>
            <w:r>
              <w:rPr>
                <w:rFonts w:ascii="仿宋_GB2312" w:hAnsi="仿宋_GB2312" w:cs="仿宋_GB2312" w:eastAsia="仿宋_GB2312"/>
                <w:sz w:val="21"/>
              </w:rPr>
              <w:t>8.完成学校交办的其他相关工作。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服务期限为三年，每年度服务期满前，由学校根据综合考核评估结果决定是否续签下一年度合同，考核评估内容包括但不限于：服务质量、师生满意度、制度执行情况、医疗安全等。考核合格后续签，考核不合格的，学校有权终止合同，不再续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采购人指定工作场所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进度款，合同签订后，按月支付费用（当月支付上一月费用），达到付款条件起30个工作日内，支付合同总金额的100.0%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本项目政府采购工作，供应商须在陕西省政府采购电子化交易平台上传电子版响应文件并完成签章、加密，同时，线下递交纸质版响应文件正本一份，副本一份。若电子版响应文件与纸质版响应文件不一致的，以陕西省政府采购电子化交易平台上传的电子版响应文件为准。纸质版响应文件递交截止时间同开标截止时间，递交地点为西安市唐延路37号class公馆B栋1103室。 2、磋商保证金注意事项：磋商保证金须从供应商账户转账；以保函形式交纳磋商保证金的，供应商应在响应截止时间前将保函扫描成清晰的PDF文件，发送至邮箱1172109359@qq.com（邮件命名：项目名称+项目编号），供应商应在响应文件中附保函复印件。保函必须由具有开具投标保函资格的单位开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 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 3 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法定代表人直接参加磋商的，须出具法定代表人身份证明书及身份证；授权代表参加磋商的，须出具法定代表人授权书及授权代表身份证；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供应商具备合法有效的《医疗机构执业许可证》；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磋商小组认为供应商报价明显低于其他实质性响应的供应商报价，有可能影响产品质量或者不能诚信履约的，磋商小组应当要求其在合理的时间内提供成本构成书面说明，并提交相关证明材料。书面说明应当按照国家财务会计制度的规定要求，逐项就供应商提供的货物、工程和服务的主营业务成本（应根据投标人企业类型予以区别）、税金及附加、销售费用、管理费用、财务费用等成本构成事项详细陈述。 2.供应商提交的相关说明和证明材料，应当加盖供应商（法定名称）电子印章，在磋商小组要求的时间内通过项目电子化交易系统进行提交，否则提交的相关证明材料无效。供应商不能证明其磋商报价合理性的，磋商小组应当将其响应文件作为无效处理。 3.落实《关于推动解决政府采购异常低价问题的通知》财库〔2026〕2号相关要求。</w:t>
            </w:r>
          </w:p>
        </w:tc>
        <w:tc>
          <w:tcPr>
            <w:tcW w:type="dxa" w:w="1661"/>
          </w:tcPr>
          <w:p>
            <w:pPr>
              <w:pStyle w:val="null3"/>
            </w:pPr>
            <w:r>
              <w:rPr>
                <w:rFonts w:ascii="仿宋_GB2312" w:hAnsi="仿宋_GB2312" w:cs="仿宋_GB2312" w:eastAsia="仿宋_GB2312"/>
              </w:rPr>
              <w:t>分项报价表.docx 标的清单 报价表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分项报价表.docx 标的清单 报价表 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自磋商之日起不少于90个日历日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专项服务方案.docx 供应商承诺.docx 增值服务及合理化建议.docx 供应商认为有必要说明的其他资料.docx 中小企业声明函 报价表 服务内容响应及服务承诺.docx 医生配置、人员配备.docx 资格证明文件.docx 供应商承诺书.docx 服务偏离表.docx 项目团队人员配置、应急及项目保障措施、其他服务.docx 响应文件封面 分项报价表.docx 残疾人福利性单位声明函 业绩统计表.docx 标的清单 保证金缴纳凭证.docx 响应函 报价表.docx 商务偏离表.docx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磋商文件商务条款</w:t>
            </w:r>
          </w:p>
        </w:tc>
        <w:tc>
          <w:tcPr>
            <w:tcW w:type="dxa" w:w="3322"/>
          </w:tcPr>
          <w:p>
            <w:pPr>
              <w:pStyle w:val="null3"/>
            </w:pPr>
            <w:r>
              <w:rPr>
                <w:rFonts w:ascii="仿宋_GB2312" w:hAnsi="仿宋_GB2312" w:cs="仿宋_GB2312" w:eastAsia="仿宋_GB2312"/>
              </w:rPr>
              <w:t>响应磋商文件商务条款，无重大保留或偏差</w:t>
            </w:r>
          </w:p>
        </w:tc>
        <w:tc>
          <w:tcPr>
            <w:tcW w:type="dxa" w:w="1661"/>
          </w:tcPr>
          <w:p>
            <w:pPr>
              <w:pStyle w:val="null3"/>
            </w:pPr>
            <w:r>
              <w:rPr>
                <w:rFonts w:ascii="仿宋_GB2312" w:hAnsi="仿宋_GB2312" w:cs="仿宋_GB2312" w:eastAsia="仿宋_GB2312"/>
              </w:rPr>
              <w:t>报价表.docx 商务偏离表.docx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无不符合法律法规或磋商文件规定的响应无效条款</w:t>
            </w:r>
          </w:p>
        </w:tc>
        <w:tc>
          <w:tcPr>
            <w:tcW w:type="dxa" w:w="1661"/>
          </w:tcPr>
          <w:p>
            <w:pPr>
              <w:pStyle w:val="null3"/>
            </w:pPr>
            <w:r>
              <w:rPr>
                <w:rFonts w:ascii="仿宋_GB2312" w:hAnsi="仿宋_GB2312" w:cs="仿宋_GB2312" w:eastAsia="仿宋_GB2312"/>
              </w:rPr>
              <w:t>专项服务方案.docx 供应商承诺.docx 增值服务及合理化建议.docx 供应商认为有必要说明的其他资料.docx 中小企业声明函 报价表 服务内容响应及服务承诺.docx 医生配置、人员配备.docx 资格证明文件.docx 供应商承诺书.docx 服务偏离表.docx 项目团队人员配置、应急及项目保障措施、其他服务.docx 响应文件封面 分项报价表.docx 残疾人福利性单位声明函 业绩统计表.docx 标的清单 保证金缴纳凭证.docx 响应函 报价表.docx 商务偏离表.docx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服务内容响应及服务承诺</w:t>
            </w:r>
          </w:p>
        </w:tc>
        <w:tc>
          <w:tcPr>
            <w:tcW w:type="dxa" w:w="2492"/>
          </w:tcPr>
          <w:p>
            <w:pPr>
              <w:pStyle w:val="null3"/>
            </w:pPr>
            <w:r>
              <w:rPr>
                <w:rFonts w:ascii="仿宋_GB2312" w:hAnsi="仿宋_GB2312" w:cs="仿宋_GB2312" w:eastAsia="仿宋_GB2312"/>
              </w:rPr>
              <w:t>1、供应商完全响应磋商文件中采购需求及内容，没有负偏离的得5分，负偏离不得分。 2、承诺能够定期调研采购人对服务质量的满意度并加以改进、出现服务人员因事、病等不能工作的，及时调整其他服务人员补充的，按照法律法规跟服务人员签订劳动合同、缴纳社保等，提供承诺函得5分。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服务内容响应及服务承诺.docx</w:t>
            </w:r>
          </w:p>
        </w:tc>
      </w:tr>
      <w:tr>
        <w:tc>
          <w:tcPr>
            <w:tcW w:type="dxa" w:w="831"/>
            <w:vMerge/>
          </w:tcPr>
          <w:p/>
        </w:tc>
        <w:tc>
          <w:tcPr>
            <w:tcW w:type="dxa" w:w="1661"/>
          </w:tcPr>
          <w:p>
            <w:pPr>
              <w:pStyle w:val="null3"/>
            </w:pPr>
            <w:r>
              <w:rPr>
                <w:rFonts w:ascii="仿宋_GB2312" w:hAnsi="仿宋_GB2312" w:cs="仿宋_GB2312" w:eastAsia="仿宋_GB2312"/>
              </w:rPr>
              <w:t>专项服务方案</w:t>
            </w:r>
          </w:p>
        </w:tc>
        <w:tc>
          <w:tcPr>
            <w:tcW w:type="dxa" w:w="2492"/>
          </w:tcPr>
          <w:p>
            <w:pPr>
              <w:pStyle w:val="null3"/>
            </w:pPr>
            <w:r>
              <w:rPr>
                <w:rFonts w:ascii="仿宋_GB2312" w:hAnsi="仿宋_GB2312" w:cs="仿宋_GB2312" w:eastAsia="仿宋_GB2312"/>
              </w:rPr>
              <w:t>针对本项目提供完善的专项服务方案，包括但不限于：①功能科室设置及医疗设备配备方案；②日常医疗保障与服务方案；③传染病监测预警、防控方案；④转诊与急救转运方案；⑤健康教育宣传方案；⑥慢性病学生专项管理方案；⑦信息化与数据管理方案；⑧项目各环节重点难点分析及专项解决方案；⑨项目人员与采购人的组织协调措施。 评审标准：方案各部分内容全面详细、阐述条理清晰详尽、符合本项目采购需求，能保障本项目实施得27分；评审内容每缺一项扣3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专项服务方案.docx</w:t>
            </w:r>
          </w:p>
        </w:tc>
      </w:tr>
      <w:tr>
        <w:tc>
          <w:tcPr>
            <w:tcW w:type="dxa" w:w="831"/>
            <w:vMerge/>
          </w:tcPr>
          <w:p/>
        </w:tc>
        <w:tc>
          <w:tcPr>
            <w:tcW w:type="dxa" w:w="1661"/>
          </w:tcPr>
          <w:p>
            <w:pPr>
              <w:pStyle w:val="null3"/>
            </w:pPr>
            <w:r>
              <w:rPr>
                <w:rFonts w:ascii="仿宋_GB2312" w:hAnsi="仿宋_GB2312" w:cs="仿宋_GB2312" w:eastAsia="仿宋_GB2312"/>
              </w:rPr>
              <w:t>项目团队人员配置、应急及项目保障措施、其他服务</w:t>
            </w:r>
          </w:p>
        </w:tc>
        <w:tc>
          <w:tcPr>
            <w:tcW w:type="dxa" w:w="2492"/>
          </w:tcPr>
          <w:p>
            <w:pPr>
              <w:pStyle w:val="null3"/>
            </w:pPr>
            <w:r>
              <w:rPr>
                <w:rFonts w:ascii="仿宋_GB2312" w:hAnsi="仿宋_GB2312" w:cs="仿宋_GB2312" w:eastAsia="仿宋_GB2312"/>
              </w:rPr>
              <w:t>针对本项目采购需求提供项目团队人员配置、应急及项目保障措施、其他服务，包括但不限于：①实施组织机构划分、人员经验（人员简介及相关工作经验）、项目人员管理制度；②人员安排方案、岗位分工及职责任务；③突发应急救援的方案；④急救药品和器械储备方案；⑤针对不同学生的诊疗服务方案；⑥项目质量管控、服务考核及长效运维保障方案。 评审标准：方案各部分内容全面详细、阐述条理清晰详尽、符合本项目采购需求，能保障本项目实施得12分；评审内容每缺一项扣2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项目团队人员配置、应急及项目保障措施、其他服务.docx</w:t>
            </w:r>
          </w:p>
        </w:tc>
      </w:tr>
      <w:tr>
        <w:tc>
          <w:tcPr>
            <w:tcW w:type="dxa" w:w="831"/>
            <w:vMerge/>
          </w:tcPr>
          <w:p/>
        </w:tc>
        <w:tc>
          <w:tcPr>
            <w:tcW w:type="dxa" w:w="1661"/>
          </w:tcPr>
          <w:p>
            <w:pPr>
              <w:pStyle w:val="null3"/>
            </w:pPr>
            <w:r>
              <w:rPr>
                <w:rFonts w:ascii="仿宋_GB2312" w:hAnsi="仿宋_GB2312" w:cs="仿宋_GB2312" w:eastAsia="仿宋_GB2312"/>
              </w:rPr>
              <w:t>医生配置</w:t>
            </w:r>
          </w:p>
        </w:tc>
        <w:tc>
          <w:tcPr>
            <w:tcW w:type="dxa" w:w="2492"/>
          </w:tcPr>
          <w:p>
            <w:pPr>
              <w:pStyle w:val="null3"/>
            </w:pPr>
            <w:r>
              <w:rPr>
                <w:rFonts w:ascii="仿宋_GB2312" w:hAnsi="仿宋_GB2312" w:cs="仿宋_GB2312" w:eastAsia="仿宋_GB2312"/>
              </w:rPr>
              <w:t>项目团队每提供一位具有3年（不含）-5年（含）临床工作经验的医生，计1分；5年（不含）以上临床工作经验的医生，计1.5分；本项满分9分。 备注：1、提供人员就职证明/劳动合同及有效的资质证书等证明材料，否则不计分。 2、提供能证明医生工作经验的证明材料，无法证明或未提供不得分。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医生配置、人员配备.docx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在满足磋商文件采购需求要求的基础人员数量（19人）外，额外增加服务人员数量，每增加 1 人得 0.5 分，最高得 2分。 备注：提供人员就职证明/劳动合同及有效的资质证书等证明材料，否则不计分）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医生配置、人员配备.docx</w:t>
            </w:r>
          </w:p>
        </w:tc>
      </w:tr>
      <w:tr>
        <w:tc>
          <w:tcPr>
            <w:tcW w:type="dxa" w:w="831"/>
            <w:vMerge/>
          </w:tcPr>
          <w:p/>
        </w:tc>
        <w:tc>
          <w:tcPr>
            <w:tcW w:type="dxa" w:w="1661"/>
          </w:tcPr>
          <w:p>
            <w:pPr>
              <w:pStyle w:val="null3"/>
            </w:pPr>
            <w:r>
              <w:rPr>
                <w:rFonts w:ascii="仿宋_GB2312" w:hAnsi="仿宋_GB2312" w:cs="仿宋_GB2312" w:eastAsia="仿宋_GB2312"/>
              </w:rPr>
              <w:t>供应商承诺</w:t>
            </w:r>
          </w:p>
        </w:tc>
        <w:tc>
          <w:tcPr>
            <w:tcW w:type="dxa" w:w="2492"/>
          </w:tcPr>
          <w:p>
            <w:pPr>
              <w:pStyle w:val="null3"/>
            </w:pPr>
            <w:r>
              <w:rPr>
                <w:rFonts w:ascii="仿宋_GB2312" w:hAnsi="仿宋_GB2312" w:cs="仿宋_GB2312" w:eastAsia="仿宋_GB2312"/>
              </w:rPr>
              <w:t>①供应商提供磋商响应3年内，本单位及派驻执业医护人员无卫健部门认定的一级、二级医疗事故承诺，提供承诺函得3分，未提供不得分，格式自拟。 ②供应商提供急危重症患者转诊承诺：接诊后10分钟内完成急救预处理并拨打120，同步上报学校管理部门，先转运后补齐转诊书面资料；转诊完成后24小时内回访患者诊疗情况，48小时内形成转诊台账提交后勤管理处备案，提供承诺函得3分，未提供不得分，格式自拟。 ③供应商提供24小时应急转诊承诺：夜间、双休日、法定节假日实行24小时应急转诊响应，危重病例执行同等急救时效，提供承诺函得3分，未提供不得分，格式自拟。</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供应商承诺.docx</w:t>
            </w:r>
          </w:p>
        </w:tc>
      </w:tr>
      <w:tr>
        <w:tc>
          <w:tcPr>
            <w:tcW w:type="dxa" w:w="831"/>
            <w:vMerge/>
          </w:tcPr>
          <w:p/>
        </w:tc>
        <w:tc>
          <w:tcPr>
            <w:tcW w:type="dxa" w:w="1661"/>
          </w:tcPr>
          <w:p>
            <w:pPr>
              <w:pStyle w:val="null3"/>
            </w:pPr>
            <w:r>
              <w:rPr>
                <w:rFonts w:ascii="仿宋_GB2312" w:hAnsi="仿宋_GB2312" w:cs="仿宋_GB2312" w:eastAsia="仿宋_GB2312"/>
              </w:rPr>
              <w:t>增值服务及合理化建议</w:t>
            </w:r>
          </w:p>
        </w:tc>
        <w:tc>
          <w:tcPr>
            <w:tcW w:type="dxa" w:w="2492"/>
          </w:tcPr>
          <w:p>
            <w:pPr>
              <w:pStyle w:val="null3"/>
            </w:pPr>
            <w:r>
              <w:rPr>
                <w:rFonts w:ascii="仿宋_GB2312" w:hAnsi="仿宋_GB2312" w:cs="仿宋_GB2312" w:eastAsia="仿宋_GB2312"/>
              </w:rPr>
              <w:t>1、增值服务：投标人须提供针对本项目具备落地可行性且对项目实施存在实质性利好的增值服务书面承诺；经评审小组全体评委一致认定该增值服务针对性强、可落地实施且显著有利于本项目推进的，得 3分；未提供增值服务承诺，或所提供承诺针对性不足、可实施性较差，评审小组无法达成一致认可的，本项不得分。 2、合理化建议：投标人须提供针对本项目具备实操价值且能显著优化项目实施的合理化建议；经评审小组全体专家一致认定该建议可行、对项目实施具备实质性利好的得3分；未提供合理化建议，或建议脱离项目实际、不具备落地可行性，评审小组无法达成一致认定的，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增值服务及合理化建议.docx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自2023年1月1日以来（以合同签订时间为准），供应商承担过类似服务业绩，每提供一个项目业绩得1分，最高得5分。 注：业绩证明材料以发票凭证及合同的复印件或扫描件加盖公章为准，合同的复印件或扫描件必须清晰体现签约主体和日期、项目名称及内容、合同金额等核心要素，否则不计为有效业绩。</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业绩统计表.docx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磋商总报价最低的磋商总报价为评标基准价，其价格为20分。（因落实政府采购政策进行价格调整的，以调整后的价格计算评标基准价）其他供应商的价格分按照下列公式计算：磋商总报价得分＝（评标基准价/磋商总报价）×20。价格得分四舍五入保留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分项报价表.docx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详见附件：服务内容响应及服务承诺.docx</w:t>
      </w:r>
    </w:p>
    <w:p>
      <w:pPr>
        <w:pStyle w:val="null3"/>
        <w:ind w:firstLine="960"/>
      </w:pPr>
      <w:r>
        <w:rPr>
          <w:rFonts w:ascii="仿宋_GB2312" w:hAnsi="仿宋_GB2312" w:cs="仿宋_GB2312" w:eastAsia="仿宋_GB2312"/>
        </w:rPr>
        <w:t>详见附件：专项服务方案.docx</w:t>
      </w:r>
    </w:p>
    <w:p>
      <w:pPr>
        <w:pStyle w:val="null3"/>
        <w:ind w:firstLine="960"/>
      </w:pPr>
      <w:r>
        <w:rPr>
          <w:rFonts w:ascii="仿宋_GB2312" w:hAnsi="仿宋_GB2312" w:cs="仿宋_GB2312" w:eastAsia="仿宋_GB2312"/>
        </w:rPr>
        <w:t>详见附件：项目团队人员配置、应急及项目保障措施、其他服务.docx</w:t>
      </w:r>
    </w:p>
    <w:p>
      <w:pPr>
        <w:pStyle w:val="null3"/>
        <w:ind w:firstLine="960"/>
      </w:pPr>
      <w:r>
        <w:rPr>
          <w:rFonts w:ascii="仿宋_GB2312" w:hAnsi="仿宋_GB2312" w:cs="仿宋_GB2312" w:eastAsia="仿宋_GB2312"/>
        </w:rPr>
        <w:t>详见附件：医生配置、人员配备.docx</w:t>
      </w:r>
    </w:p>
    <w:p>
      <w:pPr>
        <w:pStyle w:val="null3"/>
        <w:ind w:firstLine="960"/>
      </w:pPr>
      <w:r>
        <w:rPr>
          <w:rFonts w:ascii="仿宋_GB2312" w:hAnsi="仿宋_GB2312" w:cs="仿宋_GB2312" w:eastAsia="仿宋_GB2312"/>
        </w:rPr>
        <w:t>详见附件：供应商承诺.docx</w:t>
      </w:r>
    </w:p>
    <w:p>
      <w:pPr>
        <w:pStyle w:val="null3"/>
        <w:ind w:firstLine="960"/>
      </w:pPr>
      <w:r>
        <w:rPr>
          <w:rFonts w:ascii="仿宋_GB2312" w:hAnsi="仿宋_GB2312" w:cs="仿宋_GB2312" w:eastAsia="仿宋_GB2312"/>
        </w:rPr>
        <w:t>详见附件：增值服务及合理化建议.docx</w:t>
      </w:r>
    </w:p>
    <w:p>
      <w:pPr>
        <w:pStyle w:val="null3"/>
        <w:ind w:firstLine="960"/>
      </w:pPr>
      <w:r>
        <w:rPr>
          <w:rFonts w:ascii="仿宋_GB2312" w:hAnsi="仿宋_GB2312" w:cs="仿宋_GB2312" w:eastAsia="仿宋_GB2312"/>
        </w:rPr>
        <w:t>详见附件：业绩统计表.docx</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详见附件：供应商认为有必要说明的其他资料.docx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