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采购需求</w:t>
      </w:r>
    </w:p>
    <w:p w14:paraId="23A792A2">
      <w:pPr>
        <w:pStyle w:val="15"/>
        <w:ind w:firstLine="643" w:firstLineChars="200"/>
        <w:rPr>
          <w:rFonts w:hint="default" w:ascii="仿宋_GB2312" w:hAnsi="仿宋_GB2312" w:eastAsia="仿宋_GB2312" w:cs="仿宋_GB2312"/>
          <w:b/>
          <w:bCs/>
          <w:sz w:val="32"/>
          <w:szCs w:val="32"/>
          <w:highlight w:val="none"/>
          <w:lang w:eastAsia="zh-CN"/>
        </w:rPr>
      </w:pPr>
      <w:r>
        <w:rPr>
          <w:rFonts w:hint="default" w:ascii="仿宋_GB2312" w:hAnsi="仿宋_GB2312" w:eastAsia="仿宋_GB2312" w:cs="仿宋_GB2312"/>
          <w:b/>
          <w:bCs/>
          <w:sz w:val="32"/>
          <w:szCs w:val="32"/>
          <w:highlight w:val="none"/>
          <w:lang w:eastAsia="zh-CN"/>
        </w:rPr>
        <w:t>一、项目概况</w:t>
      </w:r>
    </w:p>
    <w:p w14:paraId="4E55179D">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（一）项目内容</w:t>
      </w:r>
    </w:p>
    <w:p w14:paraId="540D4EC6">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秦马跃山河——秦陵宝藏系列展(暂定名)”以秦陵的“马”为主角展开叙事，从生物学、历史学、考古学、情感文化四个维度，系统阐释马从家畜、战略资源到文化象征的多重身份。展览将以马的生物特性为起点，追溯秦人如何依托养马立足，逐步实现东出争霸的宏伟抱负。同时，结合考古发现与文物组合，深入剖析秦人与马之间超越工具层面的深厚情感与精神纽带。</w:t>
      </w:r>
    </w:p>
    <w:p w14:paraId="12D695DA">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（二）施工范围</w:t>
      </w:r>
    </w:p>
    <w:p w14:paraId="051E9BB9">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秦马跃山河——秦陵宝藏系列展(暂定名)”展览设计、施工制作及布展施工范围包含室内展厅（面积约287平</w:t>
      </w:r>
      <w:bookmarkStart w:id="0" w:name="_GoBack"/>
      <w:bookmarkEnd w:id="0"/>
      <w:r>
        <w:rPr>
          <w:rFonts w:hint="default" w:ascii="仿宋_GB2312" w:hAnsi="仿宋_GB2312" w:eastAsia="仿宋_GB2312" w:cs="仿宋_GB2312"/>
          <w:sz w:val="32"/>
          <w:szCs w:val="32"/>
          <w:highlight w:val="none"/>
          <w:lang w:eastAsia="zh-CN"/>
        </w:rPr>
        <w:t>方米，吊顶以下高度4.4米。）及相邻室外公共区域。</w:t>
      </w:r>
    </w:p>
    <w:p w14:paraId="31377492">
      <w:pPr>
        <w:pStyle w:val="15"/>
        <w:ind w:firstLine="643" w:firstLineChars="200"/>
        <w:rPr>
          <w:rFonts w:hint="default" w:ascii="仿宋_GB2312" w:hAnsi="仿宋_GB2312" w:eastAsia="仿宋_GB2312" w:cs="仿宋_GB2312"/>
          <w:b/>
          <w:bCs/>
          <w:sz w:val="32"/>
          <w:szCs w:val="32"/>
          <w:highlight w:val="none"/>
          <w:lang w:eastAsia="zh-CN"/>
        </w:rPr>
      </w:pPr>
      <w:r>
        <w:rPr>
          <w:rFonts w:hint="default" w:ascii="仿宋_GB2312" w:hAnsi="仿宋_GB2312" w:eastAsia="仿宋_GB2312" w:cs="仿宋_GB2312"/>
          <w:b/>
          <w:bCs/>
          <w:sz w:val="32"/>
          <w:szCs w:val="32"/>
          <w:highlight w:val="none"/>
          <w:lang w:eastAsia="zh-CN"/>
        </w:rPr>
        <w:t>二、技术要求</w:t>
      </w:r>
    </w:p>
    <w:p w14:paraId="174AFED7">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（一）“秦马跃山河——秦陵宝藏系列展(暂定名)”展览设计、施工制作及布展由供应商根据采购人所提供的相关资料进行设计与制作；</w:t>
      </w:r>
    </w:p>
    <w:p w14:paraId="719CAB17">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（二）要求展览形式设计充分响应展陈大纲，单元划分合理明晰，展陈设施设备完全针对和满足文物清单要求，设计新颖、展线清晰，能给观众带来丰富而深刻的观展体验；</w:t>
      </w:r>
    </w:p>
    <w:p w14:paraId="0F51139E">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（三）供应商需按采购要求提供较为完整的设计方案（包括且不限于:平面布局图、展厅效果图、参观流线图、展柜及照明系统、图文展板等）、施工组织方案和报价清单；</w:t>
      </w:r>
    </w:p>
    <w:p w14:paraId="0D135426">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四）成交后，采购人有权根据实际情况对成交供应商的设计方案进行论证、修改和指导，成交供应商需全面配合采购人及时修改、调整、深化。完善空间、立面、平面、照明、材料和施工细节，并按照采购人要求施工；</w:t>
      </w:r>
    </w:p>
    <w:p w14:paraId="43F5982C">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（五）制作内容包含原有展厅展陈设施（隔墙、地台、展柜、多媒体设备、展板灯箱及部分电器管线等）拆除，拆除面积约为287平方米；</w:t>
      </w:r>
    </w:p>
    <w:p w14:paraId="6F02EA11">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（六）文物展柜的采购或制作要求结构合理，密闭良好，开启方便，同时应包含柜内文物的展托展架的设计和制作；</w:t>
      </w:r>
    </w:p>
    <w:p w14:paraId="285FDD7B">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（七）文物照明应采用符合博物馆文物照明级别要求的高质量灯具；</w:t>
      </w:r>
    </w:p>
    <w:p w14:paraId="7FEA51A8">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（八）供应商负责图文版面及文物说明牌的设计制作等；</w:t>
      </w:r>
    </w:p>
    <w:p w14:paraId="7E08D48E">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（九）供应商需熟悉并掌握展馆、展会常用材料及技术工艺，能够积极响应并达到采购人提出的制作手段和制作要求，施工材料绿色环保、安全可靠、符合消防要求；</w:t>
      </w:r>
    </w:p>
    <w:p w14:paraId="4D4B9A62">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（十）供应商承担视频多媒体内容及设备的制作、采购、安装和调试；</w:t>
      </w:r>
    </w:p>
    <w:p w14:paraId="49C64359">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（十一）供应商应具备展品（文物、艺术品）的布展经验，配合采购人，承担展览布展工作；</w:t>
      </w:r>
    </w:p>
    <w:p w14:paraId="1021D9B8">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（十二）供应商承担本展览新闻媒体发布会相关广告宣传活动背景墙搭建；</w:t>
      </w:r>
    </w:p>
    <w:p w14:paraId="34A82265">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（十三）供应商承担其他采购人要求的与展览相关的制作内容（如：海报、请柬、折页、展馆外围及文物陈列楼外立面广告等的设计与制作）；</w:t>
      </w:r>
    </w:p>
    <w:p w14:paraId="32751113">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（十四）供应商承担本展览宣传手册的设计与制作（开本：140*200mm；纸张：157-200克环保特种纸；P数：40P；装订方式：锁线蝴蝶装；工艺：封面特种工艺；数量：100本）；</w:t>
      </w:r>
    </w:p>
    <w:p w14:paraId="40CD0862">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（十五）供应商承担本展览集换式收藏卡的设计和制作（尺寸：63mm × 88mm（圆角）、芯纸：350–400g黑芯纸/白卡纸，坚挺耐折、表面：双面覆哑膜/亮膜，防刮防水、基础：四色胶印+覆膜、特种工艺：烫金、烫银、镭射闪膜、UV上光、击凸、滴胶、光刻（金属）、数量：一套10张，共100套);</w:t>
      </w:r>
    </w:p>
    <w:p w14:paraId="47B764E4">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（十六）供应商承担展览撤展（包含所有展陈设施的拆除）；</w:t>
      </w:r>
    </w:p>
    <w:p w14:paraId="4ECB218E">
      <w:pPr>
        <w:pStyle w:val="15"/>
        <w:ind w:firstLine="643"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b/>
          <w:bCs/>
          <w:sz w:val="32"/>
          <w:szCs w:val="32"/>
          <w:highlight w:val="none"/>
          <w:lang w:eastAsia="zh-CN"/>
        </w:rPr>
        <w:t>三、商务要求</w:t>
      </w:r>
    </w:p>
    <w:p w14:paraId="176764C6">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（一）工期：自合同签订之日起45个日历天。</w:t>
      </w:r>
    </w:p>
    <w:p w14:paraId="2D768EA2">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（二）工程地点：秦始皇帝陵博物院陈列厅。</w:t>
      </w:r>
    </w:p>
    <w:p w14:paraId="43DFB424">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（三）工程质量标准：达到国家现行施工验收规范“合格”标准。</w:t>
      </w:r>
    </w:p>
    <w:p w14:paraId="1190DB77">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（四）本项目保修期为展览竣工验收至展览结束。</w:t>
      </w:r>
    </w:p>
    <w:p w14:paraId="6598BA46">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（五）附件 ：</w:t>
      </w:r>
    </w:p>
    <w:p w14:paraId="2B52EE06">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1、展陈大纲及展品清单</w:t>
      </w:r>
    </w:p>
    <w:p w14:paraId="6F81B581">
      <w:pPr>
        <w:pStyle w:val="15"/>
        <w:ind w:firstLine="640" w:firstLineChars="200"/>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t>2、展厅原始图纸</w:t>
      </w:r>
    </w:p>
    <w:p w14:paraId="1B6D8CAA">
      <w:pPr>
        <w:pStyle w:val="15"/>
        <w:ind w:firstLine="643" w:firstLineChars="200"/>
        <w:rPr>
          <w:rFonts w:hint="default" w:ascii="仿宋_GB2312" w:hAnsi="仿宋_GB2312" w:eastAsia="仿宋_GB2312" w:cs="仿宋_GB2312"/>
          <w:b/>
          <w:bCs/>
          <w:sz w:val="32"/>
          <w:szCs w:val="32"/>
          <w:highlight w:val="none"/>
          <w:lang w:eastAsia="zh-CN"/>
        </w:rPr>
      </w:pPr>
      <w:r>
        <w:rPr>
          <w:rFonts w:hint="default" w:ascii="仿宋_GB2312" w:hAnsi="仿宋_GB2312" w:eastAsia="仿宋_GB2312" w:cs="仿宋_GB2312"/>
          <w:b/>
          <w:bCs/>
          <w:sz w:val="32"/>
          <w:szCs w:val="32"/>
          <w:highlight w:val="none"/>
          <w:lang w:eastAsia="zh-CN"/>
        </w:rPr>
        <w:t>四、其他要求</w:t>
      </w:r>
    </w:p>
    <w:p w14:paraId="2211D4E7">
      <w:pPr>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highlight w:val="none"/>
          <w:lang w:eastAsia="zh-CN"/>
        </w:rPr>
        <w:t>展览为设计施工一体化项目。供应商须提交完整展陈设计方案，方案包含且不限于展陈空间规划、参观流线设计、空间视觉设计、分区展陈方案、重点展项专项设计、照明、多媒体等专项系统设计等；配套图纸包含但不限于效果图、平面布置图、流线分析图、立面图、施工详图。所有图纸深度须达到施工落地标准，供应商须以自行绘制并提交的全套施工图纸</w:t>
      </w:r>
      <w:r>
        <w:rPr>
          <w:rFonts w:hint="eastAsia" w:ascii="仿宋_GB2312" w:hAnsi="仿宋_GB2312" w:eastAsia="仿宋_GB2312" w:cs="仿宋_GB2312"/>
          <w:sz w:val="32"/>
          <w:szCs w:val="32"/>
          <w:highlight w:val="none"/>
          <w:lang w:val="en-US" w:eastAsia="zh-CN"/>
        </w:rPr>
        <w:t>及设计方案</w:t>
      </w:r>
      <w:r>
        <w:rPr>
          <w:rFonts w:hint="default" w:ascii="仿宋_GB2312" w:hAnsi="仿宋_GB2312" w:eastAsia="仿宋_GB2312" w:cs="仿宋_GB2312"/>
          <w:sz w:val="32"/>
          <w:szCs w:val="32"/>
          <w:highlight w:val="none"/>
          <w:lang w:eastAsia="zh-CN"/>
        </w:rPr>
        <w:t>为编制依据，提交对应的工程预算清单，</w:t>
      </w:r>
      <w:r>
        <w:rPr>
          <w:rFonts w:hint="eastAsia" w:ascii="仿宋_GB2312" w:hAnsi="仿宋_GB2312" w:eastAsia="仿宋_GB2312" w:cs="仿宋_GB2312"/>
          <w:sz w:val="32"/>
          <w:szCs w:val="32"/>
          <w:highlight w:val="none"/>
          <w:lang w:eastAsia="zh-CN"/>
        </w:rPr>
        <w:t>预算清单需与设计方案、施工图纸关联且保持一致。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D6176A"/>
    <w:rsid w:val="26072B40"/>
    <w:rsid w:val="2D3576C1"/>
    <w:rsid w:val="3E1E037D"/>
    <w:rsid w:val="656C55A9"/>
    <w:rsid w:val="70113CA5"/>
    <w:rsid w:val="7A710351"/>
    <w:rsid w:val="7AD617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2026-08-07T12:42:00Z</dcterms:created>
  <dc:creator>陕西华采招标有限公司</dc:creator>
  <cp:lastModifiedBy>陕西华采招标有限公司</cp:lastModifiedBy>
  <dcterms:modified xsi:type="dcterms:W3CDTF">2026-08-07T12:43:17Z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3F2B35B732C04D31984CBC2951A023E8_11</vt:lpwstr>
  </property>
  <property fmtid="{D5CDD505-2E9C-101B-9397-08002B2CF9AE}" pid="4" name="KSOTemplateDocerSaveRecord">
    <vt:lpwstr>eyJoZGlkIjoiNzlkYjQxZmY4MWQ0ZWY2YTZhOTY1MTMyMDgzMmE0NmEiLCJ1c2VySWQiOiI5MzY1NjA0ODAifQ==</vt:lpwstr>
  </property>
</Properties>
</file>