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版本号：SXZYXM2026-1620260428001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年度国土变更调查项目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SXZYXM2026-16</w:t>
      </w:r>
      <w:r>
        <w:br/>
      </w:r>
      <w:r>
        <w:br/>
      </w:r>
      <w:r>
        <w:br/>
      </w:r>
    </w:p>
    <w:p>
      <w:pPr>
        <w:pStyle w:val="null3"/>
        <w:jc w:val="center"/>
        <w:outlineLvl w:val="2"/>
      </w:pPr>
      <w:r>
        <w:rPr>
          <w:rFonts w:ascii="仿宋_GB2312" w:hAnsi="仿宋_GB2312" w:cs="仿宋_GB2312" w:eastAsia="仿宋_GB2312"/>
          <w:sz w:val="28"/>
          <w:b/>
        </w:rPr>
        <w:t>华阴市自然资源局</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华阴市自然资源局</w:t>
      </w:r>
      <w:r>
        <w:rPr>
          <w:rFonts w:ascii="仿宋_GB2312" w:hAnsi="仿宋_GB2312" w:cs="仿宋_GB2312" w:eastAsia="仿宋_GB2312"/>
        </w:rPr>
        <w:t>委托，拟对</w:t>
      </w:r>
      <w:r>
        <w:rPr>
          <w:rFonts w:ascii="仿宋_GB2312" w:hAnsi="仿宋_GB2312" w:cs="仿宋_GB2312" w:eastAsia="仿宋_GB2312"/>
        </w:rPr>
        <w:t>年度国土变更调查项目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SXZYXM2026-16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年度国土变更调查项目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通过互联网、云计算等技术，更新形成华阴市年度国土调查数据库。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采购包1（年度国土变更调查项目）：属于专门面向中小企业采购。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1、具有独立承担民事责任能力的法人、其他组织或自然人：提供合法有效的统一社会信用代码营业执照，自然人提供身份证；</w:t>
      </w:r>
    </w:p>
    <w:p>
      <w:pPr>
        <w:pStyle w:val="null3"/>
      </w:pPr>
      <w:r>
        <w:rPr>
          <w:rFonts w:ascii="仿宋_GB2312" w:hAnsi="仿宋_GB2312" w:cs="仿宋_GB2312" w:eastAsia="仿宋_GB2312"/>
        </w:rPr>
        <w:t>2、供应商授权合法的人员参加磋商全过程：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p>
      <w:pPr>
        <w:pStyle w:val="null3"/>
      </w:pPr>
      <w:r>
        <w:rPr>
          <w:rFonts w:ascii="仿宋_GB2312" w:hAnsi="仿宋_GB2312" w:cs="仿宋_GB2312" w:eastAsia="仿宋_GB2312"/>
        </w:rPr>
        <w:t>3、财务报告：提供2024或2025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p>
      <w:pPr>
        <w:pStyle w:val="null3"/>
      </w:pPr>
      <w:r>
        <w:rPr>
          <w:rFonts w:ascii="仿宋_GB2312" w:hAnsi="仿宋_GB2312" w:cs="仿宋_GB2312" w:eastAsia="仿宋_GB2312"/>
        </w:rPr>
        <w:t>4、税收缴纳证明：提供递交截止时间前6个月内任意一个月的缴费凭据，依法免税的单位应提供相关证明材料；</w:t>
      </w:r>
    </w:p>
    <w:p>
      <w:pPr>
        <w:pStyle w:val="null3"/>
      </w:pPr>
      <w:r>
        <w:rPr>
          <w:rFonts w:ascii="仿宋_GB2312" w:hAnsi="仿宋_GB2312" w:cs="仿宋_GB2312" w:eastAsia="仿宋_GB2312"/>
        </w:rPr>
        <w:t>5、社会保障资金缴纳证明：提供递交截止时间前6个月内任意一个月的社会保障资金缴存单据或社保机构开具的社会保险参保缴费情况证明，依法不需要缴纳社会保障资金的单位应提供相关证明材料；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7、资质条件：供应商须具有有效的测绘乙级及以上资质；</w:t>
      </w:r>
    </w:p>
    <w:p>
      <w:pPr>
        <w:pStyle w:val="null3"/>
      </w:pPr>
      <w:r>
        <w:rPr>
          <w:rFonts w:ascii="仿宋_GB2312" w:hAnsi="仿宋_GB2312" w:cs="仿宋_GB2312" w:eastAsia="仿宋_GB2312"/>
        </w:rPr>
        <w:t>8、项目负责人：拟派项目负责人具有相关专业中级及以上职称证书；</w:t>
      </w:r>
    </w:p>
    <w:p>
      <w:pPr>
        <w:pStyle w:val="null3"/>
      </w:pPr>
      <w:r>
        <w:rPr>
          <w:rFonts w:ascii="仿宋_GB2312" w:hAnsi="仿宋_GB2312" w:cs="仿宋_GB2312" w:eastAsia="仿宋_GB2312"/>
        </w:rPr>
        <w:t>9、参加政府采购活动前三年内，在经营活动中没有重大违法记录：提供参加政府采购活动前3年内在经营活动中没有重大违法记录的书面声明；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10、信用记录：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11、投标承诺：单位负责人为同一人或者存在直接控股、管理关系的不同供应商，不得参加同一合同项下的政府采购活动（提供控股管理关系清单）；</w:t>
      </w:r>
    </w:p>
    <w:p>
      <w:pPr>
        <w:pStyle w:val="null3"/>
      </w:pPr>
      <w:r>
        <w:rPr>
          <w:rFonts w:ascii="仿宋_GB2312" w:hAnsi="仿宋_GB2312" w:cs="仿宋_GB2312" w:eastAsia="仿宋_GB2312"/>
        </w:rPr>
        <w:t>12、非联合体磋商：提供非联合体磋商声明。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渭南市华阴市华岳大道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华阴市自然资源局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0913-4612356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西安市曲江新区雁翔路旺座曲江L座1506室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钮依宁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采购包1：955,476.00元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代理服务费参照国家计委颁发的《招标代理服务收费管理暂行办法》(计价格[2002]1980号)和发改委办公厅颁发的《关于招标代理服务收费有关问题的通知》(发改办价格[2003]857号)及发改价格【2011】534的有关规定执行，由中标人向采购代理机构一次付清招标代理服务费。 代理费用由投标人自行考虑包含在投标报价中，费用可不单列。 供应商需要办理完税发票（招标代理服务费）的，须在招标代理服务费缴纳之日起90日内换领，逾期不予办理。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华阴市自然资源局</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按国家相关规范及采购合同执行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联系人：钮依宁</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通过互联网、云计算等技术，更新形成华阴市年度国土调查数据库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955,476.00</w:t>
      </w:r>
    </w:p>
    <w:p>
      <w:pPr>
        <w:pStyle w:val="null3"/>
      </w:pPr>
      <w:r>
        <w:rPr>
          <w:rFonts w:ascii="仿宋_GB2312" w:hAnsi="仿宋_GB2312" w:cs="仿宋_GB2312" w:eastAsia="仿宋_GB2312"/>
        </w:rPr>
        <w:t>采购包最高限价（元）: 955,476.00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年度国土变更调查项目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955,476.00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标的名称：年度国土变更调查项目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b/>
              </w:rPr>
              <w:t>（一）项目情况</w:t>
            </w:r>
          </w:p>
          <w:p>
            <w:pPr>
              <w:pStyle w:val="null3"/>
              <w:ind w:firstLine="560"/>
              <w:jc w:val="both"/>
            </w:pPr>
            <w:r>
              <w:rPr>
                <w:rFonts w:ascii="仿宋_GB2312" w:hAnsi="仿宋_GB2312" w:cs="仿宋_GB2312" w:eastAsia="仿宋_GB2312"/>
              </w:rPr>
              <w:t>为维护更新第三次全国国土调查（下称</w:t>
            </w:r>
            <w:r>
              <w:rPr>
                <w:rFonts w:ascii="仿宋_GB2312" w:hAnsi="仿宋_GB2312" w:cs="仿宋_GB2312" w:eastAsia="仿宋_GB2312"/>
              </w:rPr>
              <w:t>“三调”)成果，保持国土调查成果现势性，全面掌握华阴市年度的地类、面积、属性及相关图层属性信息的变化情况，以耕地变化为重点，更新华阴市国土调查数据库，形成变更增量包，逐级上报市、省、国家检查确认。完成华阴市年度变更调查工作。</w:t>
            </w:r>
          </w:p>
          <w:p>
            <w:pPr>
              <w:pStyle w:val="null3"/>
              <w:ind w:firstLine="562"/>
              <w:jc w:val="both"/>
            </w:pPr>
            <w:r>
              <w:rPr>
                <w:rFonts w:ascii="仿宋_GB2312" w:hAnsi="仿宋_GB2312" w:cs="仿宋_GB2312" w:eastAsia="仿宋_GB2312"/>
                <w:b/>
              </w:rPr>
              <w:t>（二）主要任务</w:t>
            </w:r>
          </w:p>
          <w:p>
            <w:pPr>
              <w:pStyle w:val="null3"/>
              <w:jc w:val="both"/>
            </w:pPr>
            <w:r>
              <w:rPr>
                <w:rFonts w:ascii="仿宋_GB2312" w:hAnsi="仿宋_GB2312" w:cs="仿宋_GB2312" w:eastAsia="仿宋_GB2312"/>
              </w:rPr>
              <w:t>　　按照国家统一标准，</w:t>
            </w:r>
            <w:r>
              <w:rPr>
                <w:rFonts w:ascii="仿宋_GB2312" w:hAnsi="仿宋_GB2312" w:cs="仿宋_GB2312" w:eastAsia="仿宋_GB2312"/>
              </w:rPr>
              <w:t>通过互联网、云计算等技术，对照上年度国土变更调查结果，提取国土利用变化信息，制作外业调查底图，并开展实地调查举证，全面掌握土地利用现状的地类、面积、属性及相关图层属性信息的变化情况，更新县级国土调查数据库，形成年度变更增量包，逐级报省级和国家级核查后，更新形成华阴市国土调查数据库。通过调查、统计和分析，掌握永久基本农田变化，建设占用农用地、耕地非粮化、耕地非农化状况，设施农用地变化，25度和15度以上坡耕地变化，耕地资源质量分类变化情况，农村建房、临时用地、批而未用土地、退耕还林、光伏用地和农业结构调整以及难以或不宜长期稳定利用的耕地等变化状况，各类自然保护区及生态保护红线范围内的土地利用变化状况，土地整治、高标准农田、增减挂钩等项目的实施状况，空间规划的实施状况等有关情况。</w:t>
            </w:r>
          </w:p>
          <w:p>
            <w:pPr>
              <w:pStyle w:val="null3"/>
              <w:ind w:firstLine="562"/>
              <w:jc w:val="both"/>
            </w:pPr>
            <w:r>
              <w:rPr>
                <w:rFonts w:ascii="仿宋_GB2312" w:hAnsi="仿宋_GB2312" w:cs="仿宋_GB2312" w:eastAsia="仿宋_GB2312"/>
                <w:b/>
              </w:rPr>
              <w:t>（三）主要成果</w:t>
            </w:r>
          </w:p>
          <w:p>
            <w:pPr>
              <w:pStyle w:val="null3"/>
              <w:spacing w:before="150" w:after="150"/>
              <w:ind w:firstLine="560"/>
              <w:jc w:val="both"/>
            </w:pPr>
            <w:r>
              <w:rPr>
                <w:rFonts w:ascii="仿宋_GB2312" w:hAnsi="仿宋_GB2312" w:cs="仿宋_GB2312" w:eastAsia="仿宋_GB2312"/>
              </w:rPr>
              <w:t>华阴市自然资源局年度国土变更调查成果内容</w:t>
            </w:r>
          </w:p>
          <w:p>
            <w:pPr>
              <w:pStyle w:val="null3"/>
              <w:ind w:firstLine="560"/>
              <w:jc w:val="both"/>
            </w:pPr>
            <w:r>
              <w:rPr>
                <w:rFonts w:ascii="仿宋_GB2312" w:hAnsi="仿宋_GB2312" w:cs="仿宋_GB2312" w:eastAsia="仿宋_GB2312"/>
              </w:rPr>
              <w:t>1、</w:t>
            </w:r>
            <w:r>
              <w:rPr>
                <w:rFonts w:ascii="仿宋_GB2312" w:hAnsi="仿宋_GB2312" w:cs="仿宋_GB2312" w:eastAsia="仿宋_GB2312"/>
              </w:rPr>
              <w:t>年度外业图斑举证数据包（</w:t>
            </w:r>
            <w:r>
              <w:rPr>
                <w:rFonts w:ascii="仿宋_GB2312" w:hAnsi="仿宋_GB2312" w:cs="仿宋_GB2312" w:eastAsia="仿宋_GB2312"/>
              </w:rPr>
              <w:t>DB格式）；</w:t>
            </w:r>
          </w:p>
          <w:p>
            <w:pPr>
              <w:pStyle w:val="null3"/>
              <w:ind w:firstLine="560"/>
              <w:jc w:val="both"/>
            </w:pPr>
            <w:r>
              <w:rPr>
                <w:rFonts w:ascii="仿宋_GB2312" w:hAnsi="仿宋_GB2312" w:cs="仿宋_GB2312" w:eastAsia="仿宋_GB2312"/>
              </w:rPr>
              <w:t>2、</w:t>
            </w:r>
            <w:r>
              <w:rPr>
                <w:rFonts w:ascii="仿宋_GB2312" w:hAnsi="仿宋_GB2312" w:cs="仿宋_GB2312" w:eastAsia="仿宋_GB2312"/>
              </w:rPr>
              <w:t>年度更新数据库成果、</w:t>
            </w:r>
            <w:r>
              <w:rPr>
                <w:rFonts w:ascii="仿宋_GB2312" w:hAnsi="仿宋_GB2312" w:cs="仿宋_GB2312" w:eastAsia="仿宋_GB2312"/>
              </w:rPr>
              <w:t>“变更调查”增量包及各类统计面积汇总表；</w:t>
            </w:r>
          </w:p>
          <w:p>
            <w:pPr>
              <w:pStyle w:val="null3"/>
              <w:ind w:firstLine="560"/>
              <w:jc w:val="both"/>
            </w:pPr>
            <w:r>
              <w:rPr>
                <w:rFonts w:ascii="仿宋_GB2312" w:hAnsi="仿宋_GB2312" w:cs="仿宋_GB2312" w:eastAsia="仿宋_GB2312"/>
              </w:rPr>
              <w:t>3、</w:t>
            </w:r>
            <w:r>
              <w:rPr>
                <w:rFonts w:ascii="仿宋_GB2312" w:hAnsi="仿宋_GB2312" w:cs="仿宋_GB2312" w:eastAsia="仿宋_GB2312"/>
              </w:rPr>
              <w:t>举证图斑信息表（</w:t>
            </w:r>
            <w:r>
              <w:rPr>
                <w:rFonts w:ascii="仿宋_GB2312" w:hAnsi="仿宋_GB2312" w:cs="仿宋_GB2312" w:eastAsia="仿宋_GB2312"/>
              </w:rPr>
              <w:t>MDB格式）；</w:t>
            </w:r>
          </w:p>
          <w:p>
            <w:pPr>
              <w:pStyle w:val="null3"/>
              <w:ind w:firstLine="560"/>
              <w:jc w:val="both"/>
            </w:pPr>
            <w:r>
              <w:rPr>
                <w:rFonts w:ascii="仿宋_GB2312" w:hAnsi="仿宋_GB2312" w:cs="仿宋_GB2312" w:eastAsia="仿宋_GB2312"/>
              </w:rPr>
              <w:t>4、</w:t>
            </w:r>
            <w:r>
              <w:rPr>
                <w:rFonts w:ascii="仿宋_GB2312" w:hAnsi="仿宋_GB2312" w:cs="仿宋_GB2312" w:eastAsia="仿宋_GB2312"/>
              </w:rPr>
              <w:t>图斑信息核实记录表；</w:t>
            </w:r>
          </w:p>
          <w:p>
            <w:pPr>
              <w:pStyle w:val="null3"/>
              <w:ind w:firstLine="560"/>
              <w:jc w:val="both"/>
            </w:pPr>
            <w:r>
              <w:rPr>
                <w:rFonts w:ascii="仿宋_GB2312" w:hAnsi="仿宋_GB2312" w:cs="仿宋_GB2312" w:eastAsia="仿宋_GB2312"/>
              </w:rPr>
              <w:t>5、</w:t>
            </w:r>
            <w:r>
              <w:rPr>
                <w:rFonts w:ascii="仿宋_GB2312" w:hAnsi="仿宋_GB2312" w:cs="仿宋_GB2312" w:eastAsia="仿宋_GB2312"/>
              </w:rPr>
              <w:t>土地利用变化情况分析报告以及其他专题报告；</w:t>
            </w:r>
          </w:p>
          <w:p>
            <w:pPr>
              <w:pStyle w:val="null3"/>
              <w:ind w:firstLine="562"/>
              <w:jc w:val="both"/>
            </w:pPr>
            <w:r>
              <w:rPr>
                <w:rFonts w:ascii="仿宋_GB2312" w:hAnsi="仿宋_GB2312" w:cs="仿宋_GB2312" w:eastAsia="仿宋_GB2312"/>
                <w:b/>
              </w:rPr>
              <w:t>（四）质量标准</w:t>
            </w:r>
          </w:p>
          <w:p>
            <w:pPr>
              <w:pStyle w:val="null3"/>
              <w:ind w:firstLine="560"/>
              <w:jc w:val="both"/>
            </w:pPr>
            <w:r>
              <w:rPr>
                <w:rFonts w:ascii="仿宋_GB2312" w:hAnsi="仿宋_GB2312" w:cs="仿宋_GB2312" w:eastAsia="仿宋_GB2312"/>
              </w:rPr>
              <w:t>符合国家标准、行业标准以及有关技术规范要求。所交付成果应严格按照国家最新发布的规范标准执行。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有针对本项目的专项项目小组，工作人员分工明确(应有具体成员名单，包括姓名、工作职责等)。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合理配备检测设备。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符合磋商文件服务内容及要求。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提交所有成果上报市级、省级核查确认，通过后，所有成果内容上报国家级核查确认通过，所交付成果应严格按照国家最新发布的规范标准执行。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项目成果经核查验收通过之后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向项目所在地人民法院起诉。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服务且验收合格的所有费用，包括但不限于服务实施费用、报告调查表（图）编制费、专业技术人员费、交通费、管理费以及国家按现行税率征收的一切税费等所有费用。任何有选择的报价将不予接受，按无效磋商处理。（二）由供应商自行承担因现场踏勘而产生的费用及安全。（三）本项目所属行业为：其他未列明行业。根据《工业和信息化部、国家统计局、国家发展和改革委员会、财政部关于印发中小企业划型标准规定的通知》《工信部联企业(2011)300 号)规定的划分标准，从业人员300人以下的为中小微企业。其中，从业人员100人及以上的为中型企业；从业人员10人及以上的为小型企业；从业人员10人及以下的为微型企业。（四）、成交供应商在领取成交通知书前，需向采购代理机构提交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供应商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提供合法有效的统一社会信用代码营业执照，自然人提供身份证；</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或2025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供应商须具有有效的测绘乙级及以上资质；</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拟派项目负责人具有相关专业中级及以上职称证书；</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单位负责人为同一人或者存在直接控股、管理关系的不同供应商，不得参加同一合同项下的政府采购活动（提供控股管理关系清单）；</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资格证明资料1.docx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人的报价明显低于其他实质性响应的投标人报价，有可能影响产品质量或者不能诚信履约的，评审委员会应当要求其在评审现场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评审中出现下列情形之一的，评审委员会应当启动异常低价投标（响应）审查程序： ①投标（响应）报价低于全部通过符合性审查投标人投标（响应）报价平均值50%的，即投标（响应）报价&lt;全部通过符合性审查投标人投标（响应）报价平均值×50%； ②投标（响应）报价低于通过符合性审查的次低报价投标人投标（响应）报价50%的，即投标（响应）报价&lt;通过符合性审查的次低报价投标人投标（响应）报价×50%； ③投标（响应）报价低于采购项目最高限价45%的，即投标（响应）报价&lt;采购项目最高限价×45%； ④评审委员会基于专业判断，认为投标人报价过低，有可能影响产品质量或者不能诚信履约的其他情形。评标委员会应当要求相关投标人在评审现场合理的时间内对投标（响应）价格作出解释，提供项目具体成本测算等与报价合理性相关的书面说明及必要的证明材料，包括但不限于原材料成本、人工成本、制造费用等。3.投标人提交的相关证明材料，应当加盖投标人（法定名称）电子印章，在评审委员会要求的时间内通过项目电子化交易系统进行提交，否则提交的相关证明材料无效。投标人不能证明其报价合理性的，评审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响应文件签字盖章齐全</w:t>
            </w:r>
          </w:p>
        </w:tc>
        <w:tc>
          <w:tcPr>
            <w:tcW w:type="dxa" w:w="1661"/>
          </w:tcPr>
          <w:p>
            <w:pPr>
              <w:pStyle w:val="null3"/>
            </w:pPr>
            <w:r>
              <w:rPr>
                <w:rFonts w:ascii="仿宋_GB2312" w:hAnsi="仿宋_GB2312" w:cs="仿宋_GB2312" w:eastAsia="仿宋_GB2312"/>
              </w:rPr>
              <w:t>资格证明资料1.docx 服务内容及服务邀请应答表 中小企业声明函 商务应答表 报价表 人员简历表1.docx 响应文件封面 残疾人福利性单位声明函 服务方案 供应商类似项目业绩一览表1.docx 标的清单 承诺书1.docx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不存在法律、法规和采购文件规定的其他无效情形</w:t>
            </w:r>
          </w:p>
        </w:tc>
        <w:tc>
          <w:tcPr>
            <w:tcW w:type="dxa" w:w="1661"/>
          </w:tcPr>
          <w:p>
            <w:pPr>
              <w:pStyle w:val="null3"/>
            </w:pPr>
            <w:r>
              <w:rPr>
                <w:rFonts w:ascii="仿宋_GB2312" w:hAnsi="仿宋_GB2312" w:cs="仿宋_GB2312" w:eastAsia="仿宋_GB2312"/>
              </w:rPr>
              <w:t>资格证明资料1.docx 服务内容及服务邀请应答表 中小企业声明函 商务应答表 报价表 人员简历表1.docx 响应文件封面 残疾人福利性单位声明函 服务方案 供应商类似项目业绩一览表1.docx 标的清单 承诺书1.docx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一、评审内容：（1）对本项目工作内容的理解；（2）工作目标及内容； （3）服务工作流程；二、评审标准：1.针对性：符合本项目实际情况，专业性强、内容科学合理，可操作性强；2.完整性：内容完整详细，条理清晰； 三、赋分标准（18分）：（1）对本项目工作内容的理解：按照供应商编制内容每项完全满足一个评审标准得3分，满分6分；（2）工作目标及内容：按照供应商编制内容每项完全满足一个评审标准得3分，满分6分；（3）服务工作流程：按照供应商编制内容每项完全满足一个评审标准得3分，满分6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一、评审内容：（1）质量目标；（2）项目质量管理制度；（3）质量保障措施；二、评审标准：1.针对性：符合本项目实际情况，专业性强、内容科学合理，可操作性强；2.完整性：内容完整详细，条理清晰； 三、赋分标准（12分）：（1）质量目标：按照供应商编制内容每项完全满足一个评审标准得2分，满分4分；（2）项目质量管理制度：按照供应商编制内容每项完全满足一个评审标准得2分，满分4分；（3）质量保障措施：按照供应商编制内容每项完全满足一个评审标准得2分，满分4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项目进度及保证措施</w:t>
            </w:r>
          </w:p>
        </w:tc>
        <w:tc>
          <w:tcPr>
            <w:tcW w:type="dxa" w:w="2492"/>
          </w:tcPr>
          <w:p>
            <w:pPr>
              <w:pStyle w:val="null3"/>
            </w:pPr>
            <w:r>
              <w:rPr>
                <w:rFonts w:ascii="仿宋_GB2312" w:hAnsi="仿宋_GB2312" w:cs="仿宋_GB2312" w:eastAsia="仿宋_GB2312"/>
              </w:rPr>
              <w:t>一、评审内容：（1）项目实施进度目标分析；（2）提供合理的工作计划及时间节点； （3）项目进度保障措施；二、评审标准：1.针对性：符合本项目实际情况，专业性强、内容科学合理，可操作性强；2.完整性：内容完整详细，条理清晰； 三、赋分标准（12分）：（1）项目实施进度目标分析：按照供应商编制内容每项完全满足一个评审标准得2分，满分4分；（2）提供合理的工作计划及时间节点：按照供应商编制内容每项完全满足一个评审标准得2分，满分4分；（3）项目进度保障措施：按照供应商编制内容每项完全满足一个评审标准得2分，满分4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项目重难点分析与解决方案</w:t>
            </w:r>
          </w:p>
        </w:tc>
        <w:tc>
          <w:tcPr>
            <w:tcW w:type="dxa" w:w="2492"/>
          </w:tcPr>
          <w:p>
            <w:pPr>
              <w:pStyle w:val="null3"/>
            </w:pPr>
            <w:r>
              <w:rPr>
                <w:rFonts w:ascii="仿宋_GB2312" w:hAnsi="仿宋_GB2312" w:cs="仿宋_GB2312" w:eastAsia="仿宋_GB2312"/>
              </w:rPr>
              <w:t>一、评审内容：（1）重、难点分析；（2）解决措施；二、评审标准：1.针对性：符合本项目实际情况，专业性强、内容科学合理，可操作性强；2.完整性：内容完整详细，条理清晰； 三、赋分标准（10分）：（1）重、难点分析：按照供应商编制内容每项完全满足一个评审标准得2.5分，满分5分；（2）解决措施：按照供应商编制内容每项完全满足一个评审标准得2.5分，满分5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对本项目提供合理化建议；二、评审标准：提出的合理化建议符合本项目实际情况，内容完整详细，专业性强、可操作性强。三、赋分标准（6分）：按照供应商编制合理化建议每有一条完全评审标准的得2分，满分6分。不满足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有针对本项目的专项项目小组，项目团队人员（项目负责人除外）分工明确(应有具体成员名单，包括姓名、工作职责等)。每有1人具有相关专业中级及以上职称得2分，满分8分。评审依据：提供加盖公章的人员职称证书复印件及截止时间前近6个月任意一个月的社保缴纳证明，以上缺一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人员简历表1.docx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供应商2023年4月1日至今承担过类似项目业绩，以合同签订时间为准，每提供1份有效业绩得2分，满分8分,（提供项目业绩合同复印件加盖投标单位公章，否则不得分）。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供应商类似项目业绩一览表1.docx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一、评审内容：（1）服务范围及方式；（2）响应时间；（3）售后服务说明；二、评审标准：1.针对性：符合本项目实际情况，专业性强、内容科学合理，可操作性强；2.完整性：内容完整详细，条理清晰； 三、赋分标准（6分）：（1）服务范围及方式：按照供应商编制内容每项完全满足一个评审标准得1分，满分2分；（2）响应时间：按照供应商编制内容每项完全满足一个评审标准得1分，满分2分；（3）售后服务说明：按照供应商编制内容每项完全满足一个评审标准得1分，满分2分。以上每项内容存在一处缺陷的扣0.5分，未提供得0分。(缺陷是指:存在不适用项目实际情况的情形、凭空编造、逻辑漏洞、前后不一、科学原理错误以及不可能实现的夸大情形、涉及内容无重点、未能体现出本项目的特点或与本项目实际需求不相符、语言错误或存在歧义、该方面内容体现不齐全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1.磋商报价得分=（磋商基准价/最后磋商报价）×20分； 2.满足磋商文件要求且最后报价最低的供应商的价格为磋商基准价。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详见附件：承诺书1.docx</w:t>
      </w:r>
    </w:p>
    <w:p>
      <w:pPr>
        <w:pStyle w:val="null3"/>
        <w:ind w:firstLine="960"/>
      </w:pPr>
      <w:r>
        <w:rPr>
          <w:rFonts w:ascii="仿宋_GB2312" w:hAnsi="仿宋_GB2312" w:cs="仿宋_GB2312" w:eastAsia="仿宋_GB2312"/>
        </w:rPr>
        <w:t>详见附件：供应商类似项目业绩一览表1.docx</w:t>
      </w:r>
    </w:p>
    <w:p>
      <w:pPr>
        <w:pStyle w:val="null3"/>
        <w:ind w:firstLine="960"/>
      </w:pPr>
      <w:r>
        <w:rPr>
          <w:rFonts w:ascii="仿宋_GB2312" w:hAnsi="仿宋_GB2312" w:cs="仿宋_GB2312" w:eastAsia="仿宋_GB2312"/>
        </w:rPr>
        <w:t>详见附件：人员简历表1.docx</w:t>
      </w:r>
    </w:p>
    <w:p>
      <w:pPr>
        <w:pStyle w:val="null3"/>
        <w:ind w:firstLine="960"/>
      </w:pPr>
      <w:r>
        <w:rPr>
          <w:rFonts w:ascii="仿宋_GB2312" w:hAnsi="仿宋_GB2312" w:cs="仿宋_GB2312" w:eastAsia="仿宋_GB2312"/>
        </w:rPr>
        <w:t>详见附件：资格证明资料1.docx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