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版本号：HHZB2026-DY-03120260520001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2026年临潼法院集约化送达服务项目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HHZB2026-DY-031</w:t>
      </w:r>
      <w:r>
        <w:br/>
      </w:r>
      <w:r>
        <w:br/>
      </w:r>
      <w:r>
        <w:br/>
      </w:r>
    </w:p>
    <w:p>
      <w:pPr>
        <w:pStyle w:val="null3"/>
        <w:jc w:val="center"/>
        <w:outlineLvl w:val="5"/>
      </w:pPr>
      <w:r>
        <w:rPr>
          <w:rFonts w:ascii="仿宋_GB2312" w:hAnsi="仿宋_GB2312" w:cs="仿宋_GB2312" w:eastAsia="仿宋_GB2312"/>
          <w:sz w:val="15"/>
          <w:b/>
        </w:rPr>
        <w:t>西安市临潼区人民法院[161]</w:t>
      </w:r>
    </w:p>
    <w:p>
      <w:pPr>
        <w:pStyle w:val="null3"/>
        <w:jc w:val="center"/>
        <w:outlineLvl w:val="5"/>
      </w:pPr>
      <w:r>
        <w:rPr>
          <w:rFonts w:ascii="仿宋_GB2312" w:hAnsi="仿宋_GB2312" w:cs="仿宋_GB2312" w:eastAsia="仿宋_GB2312"/>
          <w:sz w:val="15"/>
          <w:b/>
        </w:rPr>
        <w:t>陕西瀚海昱源企业管理咨询有限公司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2026年临潼法院集约化送达服务项目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HHZB2026-DY-031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2026年临潼法院集约化送达服务项目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2、财务状况报告：提供2025年度经审计的财务报告（成立时间至提交响应文件截止时间不足一年的可提供成立后任意时段的资产负债表），或响应文件递交截止日前 6 个月内银行出具的资信证明；</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4、社会保障资金缴纳证明：提供已缴纳的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7、法定代表人授权委托书：法定代表人（负责人）直接参加投标的须出具法定代表人（负责人） 身份证（须与营业执照上信息一致），法定代表人（负责人）授权代表参加投标的须出具法定代表人（负责人）授权书及授权代表身份证。</w:t>
      </w:r>
    </w:p>
    <w:p>
      <w:pPr>
        <w:pStyle w:val="null3"/>
      </w:pPr>
      <w:r>
        <w:rPr>
          <w:rFonts w:ascii="仿宋_GB2312" w:hAnsi="仿宋_GB2312" w:cs="仿宋_GB2312" w:eastAsia="仿宋_GB2312"/>
        </w:rPr>
        <w:t>8、控股、管理关系：单位负责人为同一人或者存在控股、管理关系 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西安市临潼区人民法院[161]经办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029- 83879613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 、马超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采购包1：991,700.00元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采购包1：991,700.00元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以后续签定合同为准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991,700.00</w:t>
      </w:r>
    </w:p>
    <w:p>
      <w:pPr>
        <w:pStyle w:val="null3"/>
      </w:pPr>
      <w:r>
        <w:rPr>
          <w:rFonts w:ascii="仿宋_GB2312" w:hAnsi="仿宋_GB2312" w:cs="仿宋_GB2312" w:eastAsia="仿宋_GB2312"/>
        </w:rPr>
        <w:t>采购包最高限价（元）: 991,700.00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2026年临潼法院集约化送达服务项目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991,700.00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标的名称：2026年临潼法院集约化送达服务项目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sz w:val="40"/>
                <w:b/>
              </w:rPr>
              <w:t>谈判内容及要求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根据《中华人民共和国民事诉讼法》、《最高人民法院关于适用</w:t>
            </w:r>
            <w:r>
              <w:rPr>
                <w:rFonts w:ascii="仿宋_GB2312" w:hAnsi="仿宋_GB2312" w:cs="仿宋_GB2312" w:eastAsia="仿宋_GB2312"/>
                <w:sz w:val="24"/>
              </w:rPr>
              <w:t>&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2）项目内容</w:t>
            </w:r>
          </w:p>
          <w:p>
            <w:pPr>
              <w:pStyle w:val="null3"/>
              <w:ind w:firstLine="480"/>
              <w:jc w:val="both"/>
            </w:pPr>
            <w:r>
              <w:rPr>
                <w:rFonts w:ascii="仿宋_GB2312" w:hAnsi="仿宋_GB2312" w:cs="仿宋_GB2312" w:eastAsia="仿宋_GB2312"/>
                <w:sz w:val="24"/>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项目预算（最高限价）：人民币</w:t>
            </w:r>
            <w:r>
              <w:rPr>
                <w:rFonts w:ascii="仿宋_GB2312" w:hAnsi="仿宋_GB2312" w:cs="仿宋_GB2312" w:eastAsia="仿宋_GB2312"/>
                <w:sz w:val="24"/>
              </w:rPr>
              <w:t>991700.</w:t>
            </w:r>
            <w:r>
              <w:rPr>
                <w:rFonts w:ascii="仿宋_GB2312" w:hAnsi="仿宋_GB2312" w:cs="仿宋_GB2312" w:eastAsia="仿宋_GB2312"/>
                <w:sz w:val="24"/>
              </w:rPr>
              <w:t>00元。</w:t>
            </w:r>
            <w:r>
              <w:rPr>
                <w:rFonts w:ascii="仿宋_GB2312" w:hAnsi="仿宋_GB2312" w:cs="仿宋_GB2312" w:eastAsia="仿宋_GB2312"/>
                <w:sz w:val="24"/>
              </w:rPr>
              <w:t>预估案件量：</w:t>
            </w:r>
            <w:r>
              <w:rPr>
                <w:rFonts w:ascii="仿宋_GB2312" w:hAnsi="仿宋_GB2312" w:cs="仿宋_GB2312" w:eastAsia="仿宋_GB2312"/>
                <w:sz w:val="24"/>
              </w:rPr>
              <w:t>15240案。</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3）项目要求</w:t>
            </w:r>
          </w:p>
          <w:p>
            <w:pPr>
              <w:pStyle w:val="null3"/>
              <w:ind w:firstLine="480"/>
              <w:jc w:val="both"/>
            </w:pPr>
            <w:r>
              <w:rPr>
                <w:rFonts w:ascii="仿宋_GB2312" w:hAnsi="仿宋_GB2312" w:cs="仿宋_GB2312" w:eastAsia="仿宋_GB2312"/>
                <w:sz w:val="24"/>
              </w:rPr>
              <w:t>1.送达审核。集约送达中心在接收到送达任务后要认真审核，重点关注送达环节及备注情况，合理分配线上、线下送达，不符合要求及时退回并说明理由。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2.电子送达。按照《陕西省高级人民法院关于电子送达与集中送达的若干规定（试行）》进行电子送达。使用送达平台送达文书和诉讼活动总量应符合人民法院诉讼服务质效评估体系指标要求。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.数据整理。做好集约送达中心各项数据汇总、统计、分析，定期通报集约送达平台运行情况。</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.其他事项。服从采购方管理，积极主动承办采购方交办的其他工作。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4）项目指标</w:t>
            </w:r>
          </w:p>
          <w:p>
            <w:pPr>
              <w:pStyle w:val="null3"/>
              <w:ind w:firstLine="480"/>
              <w:jc w:val="both"/>
            </w:pPr>
            <w:r>
              <w:rPr>
                <w:rFonts w:ascii="仿宋_GB2312" w:hAnsi="仿宋_GB2312" w:cs="仿宋_GB2312" w:eastAsia="仿宋_GB2312"/>
                <w:sz w:val="24"/>
              </w:rPr>
              <w:t>1.使用送达平台送达文书和诉讼活动通知的总量与受理案件总量比不低于200%，每一次送达任务中每个受送达人的文书数量都计算在内。</w:t>
            </w:r>
          </w:p>
          <w:p>
            <w:pPr>
              <w:pStyle w:val="null3"/>
              <w:ind w:firstLine="480"/>
              <w:jc w:val="both"/>
            </w:pPr>
            <w:r>
              <w:rPr>
                <w:rFonts w:ascii="仿宋_GB2312" w:hAnsi="仿宋_GB2312" w:cs="仿宋_GB2312" w:eastAsia="仿宋_GB2312"/>
                <w:sz w:val="24"/>
              </w:rPr>
              <w:t>2.使用邮政集约送达的案件数量与邮寄送达案件数量比不低于80%。</w:t>
            </w:r>
          </w:p>
          <w:p>
            <w:pPr>
              <w:pStyle w:val="null3"/>
              <w:ind w:firstLine="480"/>
              <w:jc w:val="both"/>
            </w:pPr>
            <w:r>
              <w:rPr>
                <w:rFonts w:ascii="仿宋_GB2312" w:hAnsi="仿宋_GB2312" w:cs="仿宋_GB2312" w:eastAsia="仿宋_GB2312"/>
                <w:sz w:val="24"/>
              </w:rPr>
              <w:t>3.电子送达成功率。电子送达成功率（符合线上送达任务）每月不低于</w:t>
            </w:r>
            <w:r>
              <w:rPr>
                <w:rFonts w:ascii="仿宋_GB2312" w:hAnsi="仿宋_GB2312" w:cs="仿宋_GB2312" w:eastAsia="仿宋_GB2312"/>
                <w:sz w:val="24"/>
              </w:rPr>
              <w:t>70</w:t>
            </w:r>
            <w:r>
              <w:rPr>
                <w:rFonts w:ascii="仿宋_GB2312" w:hAnsi="仿宋_GB2312" w:cs="仿宋_GB2312" w:eastAsia="仿宋_GB2312"/>
                <w:sz w:val="24"/>
              </w:rPr>
              <w:t>%，每低于1个点扣减当月服务费用2元/案件。</w:t>
            </w:r>
          </w:p>
          <w:p>
            <w:pPr>
              <w:pStyle w:val="null3"/>
              <w:ind w:firstLine="480"/>
              <w:jc w:val="both"/>
            </w:pPr>
            <w:r>
              <w:rPr>
                <w:rFonts w:ascii="仿宋_GB2312" w:hAnsi="仿宋_GB2312" w:cs="仿宋_GB2312" w:eastAsia="仿宋_GB2312"/>
                <w:sz w:val="24"/>
              </w:rPr>
              <w:t>4.邮寄妥投率。在提供的收件人姓名、电话、地址准确的情况下，邮件妥投率达100%。</w:t>
            </w:r>
          </w:p>
          <w:p>
            <w:pPr>
              <w:pStyle w:val="null3"/>
              <w:ind w:firstLine="480"/>
              <w:jc w:val="both"/>
            </w:pPr>
            <w:r>
              <w:rPr>
                <w:rFonts w:ascii="仿宋_GB2312" w:hAnsi="仿宋_GB2312" w:cs="仿宋_GB2312" w:eastAsia="仿宋_GB2312"/>
                <w:sz w:val="24"/>
              </w:rPr>
              <w:t>5.开展集约送达后，供应商应确保民事、行政、国家赔偿和执行案件各类文书通过集约送达平台（特殊情况须经采购方允许方可）流转，严禁出现未经集约送达平台直接邮寄（导致双向收费）</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5）保密要求</w:t>
            </w:r>
          </w:p>
          <w:p>
            <w:pPr>
              <w:pStyle w:val="null3"/>
              <w:ind w:firstLine="480"/>
              <w:jc w:val="both"/>
            </w:pPr>
            <w:r>
              <w:rPr>
                <w:rFonts w:ascii="仿宋_GB2312" w:hAnsi="仿宋_GB2312" w:cs="仿宋_GB2312" w:eastAsia="仿宋_GB2312"/>
                <w:sz w:val="24"/>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供应商对集约送达工作人员工作中因供应商一方涉及的安全保密问题承担责任。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6）技术要求</w:t>
            </w:r>
          </w:p>
          <w:p>
            <w:pPr>
              <w:pStyle w:val="null3"/>
              <w:ind w:firstLine="482"/>
              <w:jc w:val="both"/>
            </w:pPr>
            <w:r>
              <w:rPr>
                <w:rFonts w:ascii="仿宋_GB2312" w:hAnsi="仿宋_GB2312" w:cs="仿宋_GB2312" w:eastAsia="仿宋_GB2312"/>
                <w:sz w:val="24"/>
                <w:b/>
              </w:rPr>
              <w:t>1.计算机、送达平台等软硬件保障。</w:t>
            </w:r>
            <w:r>
              <w:rPr>
                <w:rFonts w:ascii="仿宋_GB2312" w:hAnsi="仿宋_GB2312" w:cs="仿宋_GB2312" w:eastAsia="仿宋_GB2312"/>
                <w:sz w:val="24"/>
              </w:rPr>
              <w:t>服务提供商需按照送达业务量配置包括但不限于计算机终端、票据打印机、高拍仪、扫描仪、条码枪、程控电话录音平台、送达平台软件等软硬件设备，完全满足最高法院和</w:t>
            </w:r>
            <w:r>
              <w:rPr>
                <w:rFonts w:ascii="仿宋_GB2312" w:hAnsi="仿宋_GB2312" w:cs="仿宋_GB2312" w:eastAsia="仿宋_GB2312"/>
                <w:sz w:val="24"/>
              </w:rPr>
              <w:t>中级法院</w:t>
            </w:r>
            <w:r>
              <w:rPr>
                <w:rFonts w:ascii="仿宋_GB2312" w:hAnsi="仿宋_GB2312" w:cs="仿宋_GB2312" w:eastAsia="仿宋_GB2312"/>
                <w:sz w:val="24"/>
              </w:rPr>
              <w:t>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482"/>
              <w:jc w:val="both"/>
            </w:pPr>
            <w:r>
              <w:rPr>
                <w:rFonts w:ascii="仿宋_GB2312" w:hAnsi="仿宋_GB2312" w:cs="仿宋_GB2312" w:eastAsia="仿宋_GB2312"/>
                <w:sz w:val="24"/>
                <w:b/>
              </w:rPr>
              <w:t>3.集中送达配套保障。</w:t>
            </w:r>
            <w:r>
              <w:rPr>
                <w:rFonts w:ascii="仿宋_GB2312" w:hAnsi="仿宋_GB2312" w:cs="仿宋_GB2312" w:eastAsia="仿宋_GB2312"/>
                <w:sz w:val="24"/>
              </w:rPr>
              <w:t>因开展送达业务产生的计算机、打印一体机、专用设备、打印纸张和耗材、电话（含来电显示）等费用由服务提供商承担。</w:t>
            </w:r>
          </w:p>
          <w:p>
            <w:pPr>
              <w:pStyle w:val="null3"/>
              <w:ind w:firstLine="482"/>
              <w:jc w:val="both"/>
            </w:pPr>
            <w:r>
              <w:rPr>
                <w:rFonts w:ascii="仿宋_GB2312" w:hAnsi="仿宋_GB2312" w:cs="仿宋_GB2312" w:eastAsia="仿宋_GB2312"/>
                <w:sz w:val="24"/>
                <w:b/>
              </w:rPr>
              <w:t>4.信息安全保障。</w:t>
            </w:r>
            <w:r>
              <w:rPr>
                <w:rFonts w:ascii="仿宋_GB2312" w:hAnsi="仿宋_GB2312" w:cs="仿宋_GB2312" w:eastAsia="仿宋_GB2312"/>
                <w:sz w:val="24"/>
              </w:rPr>
              <w:t>集中送达中心工作场地接入</w:t>
            </w:r>
            <w:r>
              <w:rPr>
                <w:rFonts w:ascii="仿宋_GB2312" w:hAnsi="仿宋_GB2312" w:cs="仿宋_GB2312" w:eastAsia="仿宋_GB2312"/>
                <w:sz w:val="24"/>
              </w:rPr>
              <w:t>法院</w:t>
            </w:r>
            <w:r>
              <w:rPr>
                <w:rFonts w:ascii="仿宋_GB2312" w:hAnsi="仿宋_GB2312" w:cs="仿宋_GB2312" w:eastAsia="仿宋_GB2312"/>
                <w:sz w:val="24"/>
              </w:rPr>
              <w:t>内网，需落实严格的网络信息安全防护措施，禁止使用</w:t>
            </w:r>
            <w:r>
              <w:rPr>
                <w:rFonts w:ascii="仿宋_GB2312" w:hAnsi="仿宋_GB2312" w:cs="仿宋_GB2312" w:eastAsia="仿宋_GB2312"/>
                <w:sz w:val="24"/>
              </w:rPr>
              <w:t>U盘、光盘等存储媒介在不同网系之间拷贝数据，禁止使用照相器材拍摄办公计算机屏幕信息，服务提供商落实定期巡检制度。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满足本项目人员配备需求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具有履行本项目合同所必需的设备和专业技术能力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进度款，合同期过半后，达到付款条件起15个工作日内，支付合同总金额的40.0%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进度款，合同结束后，达到付款条件起15个工作日内，支付合同总金额的10.0%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（一）乙方完成并交付的工作成果需经甲方验收合格，则视为接受。如果在验收时甲方表明不接受乙方提交的工作成果并明示不接受的原因，乙方应当采取合理之措施进行修改，以达到合同规定的要求。 （二）验收依据 1、本合同及附件文本所约定的验收标准； 2、单一来源谈判文件、单一来源谈判响应文件、澄清表（函）；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1.供应商最后报价时同步上传“最终分项报价表”至附件。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3.线下递交响应文件地点：西安市雁塔区高新路枫叶大厦C座1301室。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提供2025年度经审计的财务报告（成立时间至提交响应文件截止时间不足一年的可提供成立后任意时段的资产负债表），或响应文件递交截止日前 6 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法定代表人（负责人）直接参加投标的须出具法定代表人（负责人） 身份证（须与营业执照上信息一致），法定代表人（负责人）授权代表参加投标的须出具法定代表人（负责人）授权书及授权代表身份证。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 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谈判响应文件中项目名称、项目编号与本项目一致，按照谈判响应文件要求签字盖章，无遗漏。 “谈判响应文件格式”中凡注明“签字和盖章”处，供应商必须既手写签字又盖章；“谈判响应文件格式”中凡注明“签字或盖章”处，供应商实施一项内容即可；竞争性磋商响应文件中所附的相关材料的复印件，也须加盖供应商单位公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首次分项报价表..docx 残疾人福利性单位声明函 服务方案 标的清单 最终分项报价表.docx 供应商应提交的相关资格证明材料..docx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详见附件：最终分项报价表.docx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