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Autospacing="0" w:after="0" w:afterAutospacing="0"/>
        <w:ind w:left="0" w:firstLine="0"/>
        <w:jc w:val="center"/>
        <w:rPr>
          <w:rFonts w:hint="eastAsia" w:ascii="宋体" w:hAnsi="Calibri" w:eastAsia="宋体" w:cs="Times New Roman"/>
          <w:b/>
          <w:bCs/>
          <w:vanish w:val="0"/>
          <w:spacing w:val="0"/>
          <w:kern w:val="2"/>
          <w:sz w:val="48"/>
          <w:szCs w:val="48"/>
          <w:u w:val="single"/>
        </w:rPr>
      </w:pPr>
      <w:r>
        <w:rPr>
          <w:rFonts w:hint="eastAsia" w:ascii="宋体" w:hAnsi="Calibri" w:eastAsia="宋体" w:cs="Times New Roman"/>
          <w:b/>
          <w:bCs/>
          <w:vanish w:val="0"/>
          <w:spacing w:val="0"/>
          <w:kern w:val="0"/>
          <w:sz w:val="48"/>
          <w:szCs w:val="48"/>
        </w:rPr>
        <w:t>服务合同</w:t>
      </w: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p>
    <w:p>
      <w:pPr>
        <w:pStyle w:val="6"/>
        <w:spacing w:before="100" w:beforeAutospacing="1" w:after="0" w:afterAutospacing="0"/>
        <w:ind w:left="0" w:firstLine="0"/>
        <w:jc w:val="both"/>
        <w:rPr>
          <w:rFonts w:ascii="Calibri" w:hAnsi="Calibri" w:eastAsia="宋体" w:cs="Times New Roman"/>
          <w:vanish w:val="0"/>
          <w:spacing w:val="0"/>
          <w:kern w:val="2"/>
          <w:sz w:val="21"/>
          <w:szCs w:val="21"/>
        </w:rPr>
      </w:pPr>
    </w:p>
    <w:p>
      <w:pPr>
        <w:pStyle w:val="6"/>
        <w:spacing w:before="100" w:beforeAutospacing="1" w:after="0" w:afterAutospacing="0"/>
        <w:ind w:left="0" w:firstLine="0"/>
        <w:jc w:val="both"/>
        <w:rPr>
          <w:rFonts w:ascii="Calibri" w:hAnsi="Calibri" w:eastAsia="宋体" w:cs="Times New Roman"/>
          <w:vanish w:val="0"/>
          <w:spacing w:val="0"/>
          <w:kern w:val="2"/>
          <w:sz w:val="21"/>
          <w:szCs w:val="21"/>
        </w:rPr>
      </w:pPr>
    </w:p>
    <w:p>
      <w:pPr>
        <w:shd w:val="clear" w:fill="auto"/>
        <w:spacing w:before="0" w:beforeAutospacing="0" w:after="0" w:afterAutospacing="0"/>
        <w:ind w:left="0" w:firstLine="0"/>
        <w:jc w:val="both"/>
        <w:rPr>
          <w:rFonts w:hint="eastAsia" w:ascii="宋体" w:hAnsi="Calibri" w:eastAsia="宋体" w:cs="Times New Roman"/>
          <w:vanish w:val="0"/>
          <w:spacing w:val="0"/>
          <w:kern w:val="2"/>
          <w:sz w:val="24"/>
          <w:szCs w:val="24"/>
        </w:rPr>
      </w:pP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p>
    <w:p>
      <w:pPr>
        <w:spacing w:before="120" w:beforeLines="50" w:beforeAutospacing="0" w:after="0" w:afterAutospacing="0" w:line="360" w:lineRule="auto"/>
        <w:ind w:firstLine="883" w:firstLineChars="200"/>
        <w:jc w:val="both"/>
        <w:rPr>
          <w:rFonts w:hint="eastAsia" w:ascii="宋体" w:hAnsi="Calibri" w:eastAsia="宋体" w:cs="Times New Roman"/>
          <w:b/>
          <w:bCs/>
          <w:vanish w:val="0"/>
          <w:spacing w:val="0"/>
          <w:kern w:val="2"/>
          <w:sz w:val="44"/>
          <w:szCs w:val="44"/>
          <w:lang w:eastAsia="zh-CN"/>
        </w:rPr>
      </w:pPr>
      <w:r>
        <w:rPr>
          <w:rFonts w:hint="eastAsia" w:ascii="宋体" w:hAnsi="Calibri" w:eastAsia="宋体" w:cs="Times New Roman"/>
          <w:b/>
          <w:bCs/>
          <w:vanish w:val="0"/>
          <w:spacing w:val="0"/>
          <w:kern w:val="0"/>
          <w:sz w:val="44"/>
          <w:szCs w:val="44"/>
        </w:rPr>
        <w:t>采购人：</w:t>
      </w:r>
      <w:r>
        <w:rPr>
          <w:rFonts w:hint="eastAsia" w:ascii="宋体" w:cs="Times New Roman"/>
          <w:b/>
          <w:bCs/>
          <w:vanish w:val="0"/>
          <w:spacing w:val="0"/>
          <w:kern w:val="0"/>
          <w:sz w:val="44"/>
          <w:szCs w:val="44"/>
          <w:lang w:eastAsia="zh-CN"/>
        </w:rPr>
        <w:t>西安市临潼区人民法院</w:t>
      </w:r>
    </w:p>
    <w:p>
      <w:pPr>
        <w:spacing w:before="120" w:beforeLines="50" w:beforeAutospacing="0" w:after="0" w:afterAutospacing="0" w:line="360" w:lineRule="auto"/>
        <w:ind w:firstLine="2650" w:firstLineChars="600"/>
        <w:jc w:val="left"/>
        <w:rPr>
          <w:rFonts w:hint="eastAsia" w:ascii="宋体" w:hAnsi="Calibri" w:eastAsia="宋体" w:cs="Times New Roman"/>
          <w:b/>
          <w:bCs/>
          <w:vanish w:val="0"/>
          <w:spacing w:val="0"/>
          <w:kern w:val="0"/>
          <w:sz w:val="44"/>
          <w:szCs w:val="44"/>
        </w:rPr>
      </w:pPr>
    </w:p>
    <w:p>
      <w:pPr>
        <w:spacing w:before="120" w:beforeLines="50" w:beforeAutospacing="0" w:after="0" w:afterAutospacing="0" w:line="360" w:lineRule="auto"/>
        <w:ind w:firstLine="883" w:firstLineChars="200"/>
        <w:jc w:val="left"/>
        <w:rPr>
          <w:rFonts w:hint="eastAsia" w:ascii="宋体" w:hAnsi="Calibri" w:eastAsia="宋体" w:cs="Times New Roman"/>
          <w:b/>
          <w:bCs/>
          <w:vanish w:val="0"/>
          <w:spacing w:val="0"/>
          <w:kern w:val="2"/>
          <w:sz w:val="44"/>
          <w:szCs w:val="44"/>
        </w:rPr>
      </w:pPr>
      <w:r>
        <w:rPr>
          <w:rFonts w:hint="eastAsia" w:ascii="宋体" w:hAnsi="Calibri" w:eastAsia="宋体" w:cs="Times New Roman"/>
          <w:b/>
          <w:bCs/>
          <w:vanish w:val="0"/>
          <w:spacing w:val="0"/>
          <w:kern w:val="0"/>
          <w:sz w:val="44"/>
          <w:szCs w:val="44"/>
        </w:rPr>
        <w:t>供应商：</w:t>
      </w:r>
    </w:p>
    <w:p>
      <w:pPr>
        <w:pStyle w:val="6"/>
        <w:spacing w:before="100" w:beforeAutospacing="1" w:after="0" w:afterAutospacing="0"/>
        <w:ind w:left="0" w:firstLine="0"/>
        <w:jc w:val="both"/>
        <w:rPr>
          <w:rFonts w:ascii="Calibri" w:hAnsi="Calibri" w:eastAsia="宋体" w:cs="Times New Roman"/>
          <w:b/>
          <w:bCs/>
          <w:vanish w:val="0"/>
          <w:spacing w:val="0"/>
          <w:kern w:val="2"/>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pPr>
        <w:spacing w:before="120" w:beforeLines="50" w:beforeAutospacing="0" w:after="0" w:afterAutospacing="0" w:line="360" w:lineRule="auto"/>
        <w:ind w:left="0" w:firstLine="0"/>
        <w:jc w:val="center"/>
        <w:rPr>
          <w:rFonts w:hint="eastAsia" w:ascii="方正小标宋简体" w:hAnsi="Calibri" w:eastAsia="方正小标宋简体" w:cs="宋体"/>
          <w:bCs/>
          <w:vanish w:val="0"/>
          <w:spacing w:val="0"/>
          <w:kern w:val="0"/>
          <w:sz w:val="36"/>
          <w:szCs w:val="36"/>
        </w:rPr>
      </w:pPr>
      <w:r>
        <w:rPr>
          <w:rFonts w:hint="eastAsia" w:ascii="宋体" w:hAnsi="Calibri" w:eastAsia="宋体" w:cs="Times New Roman"/>
          <w:b/>
          <w:bCs/>
          <w:vanish w:val="0"/>
          <w:spacing w:val="0"/>
          <w:kern w:val="0"/>
          <w:sz w:val="36"/>
          <w:szCs w:val="36"/>
        </w:rPr>
        <w:t>二〇二</w:t>
      </w:r>
      <w:r>
        <w:rPr>
          <w:rFonts w:hint="eastAsia" w:ascii="宋体" w:cs="Times New Roman"/>
          <w:b/>
          <w:bCs/>
          <w:vanish w:val="0"/>
          <w:spacing w:val="0"/>
          <w:kern w:val="0"/>
          <w:sz w:val="36"/>
          <w:szCs w:val="36"/>
          <w:lang w:eastAsia="zh-CN"/>
        </w:rPr>
        <w:t>六</w:t>
      </w:r>
      <w:r>
        <w:rPr>
          <w:rFonts w:hint="eastAsia" w:ascii="宋体" w:hAnsi="Calibri" w:eastAsia="宋体" w:cs="Times New Roman"/>
          <w:b/>
          <w:bCs/>
          <w:vanish w:val="0"/>
          <w:spacing w:val="0"/>
          <w:kern w:val="0"/>
          <w:sz w:val="36"/>
          <w:szCs w:val="36"/>
        </w:rPr>
        <w:t>年</w:t>
      </w:r>
      <w:r>
        <w:rPr>
          <w:rFonts w:hint="eastAsia" w:ascii="宋体" w:hAnsi="宋体" w:eastAsia="宋体" w:cs="宋体"/>
          <w:b/>
          <w:bCs/>
          <w:vanish w:val="0"/>
          <w:spacing w:val="0"/>
          <w:kern w:val="0"/>
          <w:sz w:val="36"/>
          <w:szCs w:val="36"/>
          <w:u w:val="single"/>
        </w:rPr>
        <w:t xml:space="preserve">  月</w:t>
      </w:r>
      <w:r>
        <w:rPr>
          <w:rFonts w:hint="eastAsia" w:ascii="仿宋_GB2312" w:hAnsi="Calibri" w:eastAsia="仿宋_GB2312" w:cs="宋体"/>
          <w:vanish w:val="0"/>
          <w:spacing w:val="0"/>
          <w:kern w:val="0"/>
          <w:sz w:val="32"/>
          <w:szCs w:val="32"/>
          <w:u w:val="single"/>
        </w:rPr>
        <w:t xml:space="preserve">      </w:t>
      </w:r>
    </w:p>
    <w:p>
      <w:pPr>
        <w:spacing w:before="120" w:beforeLines="50" w:beforeAutospacing="0" w:after="0" w:afterAutospacing="0" w:line="360" w:lineRule="auto"/>
        <w:ind w:left="0" w:firstLine="3520" w:firstLineChars="800"/>
        <w:rPr>
          <w:rFonts w:ascii="方正小标宋简体" w:hAnsi="Calibri" w:eastAsia="方正小标宋简体" w:cs="宋体"/>
          <w:bCs/>
          <w:vanish w:val="0"/>
          <w:spacing w:val="0"/>
          <w:kern w:val="0"/>
          <w:sz w:val="44"/>
          <w:szCs w:val="44"/>
        </w:rPr>
      </w:pPr>
    </w:p>
    <w:p>
      <w:pPr>
        <w:pStyle w:val="2"/>
        <w:ind w:left="0"/>
        <w:rPr>
          <w:rFonts w:hint="eastAsia"/>
        </w:rPr>
      </w:pPr>
    </w:p>
    <w:p>
      <w:pPr>
        <w:spacing w:before="120" w:beforeLines="50" w:beforeAutospacing="0" w:after="0" w:afterAutospacing="0" w:line="360" w:lineRule="auto"/>
        <w:ind w:left="0" w:firstLine="3520" w:firstLineChars="800"/>
        <w:rPr>
          <w:rFonts w:hint="eastAsia" w:ascii="方正小标宋简体" w:hAnsi="Calibri" w:eastAsia="方正小标宋简体" w:cs="宋体"/>
          <w:bCs/>
          <w:vanish w:val="0"/>
          <w:spacing w:val="0"/>
          <w:kern w:val="0"/>
          <w:sz w:val="44"/>
          <w:szCs w:val="44"/>
        </w:rPr>
      </w:pPr>
    </w:p>
    <w:p>
      <w:pPr>
        <w:spacing w:before="120" w:beforeLines="50" w:beforeAutospacing="0" w:after="0" w:afterAutospacing="0" w:line="360" w:lineRule="auto"/>
        <w:ind w:firstLine="3520" w:firstLineChars="800"/>
        <w:rPr>
          <w:rFonts w:hint="eastAsia" w:ascii="方正小标宋简体" w:hAnsi="Calibri" w:eastAsia="方正小标宋简体" w:cs="宋体"/>
          <w:bCs/>
          <w:vanish w:val="0"/>
          <w:spacing w:val="0"/>
          <w:kern w:val="0"/>
          <w:sz w:val="44"/>
          <w:szCs w:val="44"/>
        </w:rPr>
      </w:pPr>
    </w:p>
    <w:p>
      <w:pPr>
        <w:spacing w:before="120" w:beforeLines="50" w:beforeAutospacing="0" w:after="0" w:afterAutospacing="0" w:line="360" w:lineRule="auto"/>
        <w:ind w:firstLine="3520" w:firstLineChars="800"/>
        <w:rPr>
          <w:rFonts w:hint="eastAsia" w:ascii="宋体" w:hAnsi="Calibri" w:eastAsia="宋体" w:cs="Times New Roman"/>
          <w:b/>
          <w:bCs/>
          <w:vanish w:val="0"/>
          <w:spacing w:val="0"/>
          <w:kern w:val="2"/>
          <w:sz w:val="44"/>
          <w:szCs w:val="44"/>
        </w:rPr>
      </w:pPr>
      <w:r>
        <w:rPr>
          <w:rFonts w:hint="eastAsia" w:ascii="方正小标宋简体" w:hAnsi="Calibri" w:eastAsia="方正小标宋简体" w:cs="宋体"/>
          <w:bCs/>
          <w:vanish w:val="0"/>
          <w:spacing w:val="0"/>
          <w:kern w:val="0"/>
          <w:sz w:val="44"/>
          <w:szCs w:val="44"/>
        </w:rPr>
        <w:t>协议书</w:t>
      </w:r>
    </w:p>
    <w:p>
      <w:pPr>
        <w:adjustRightInd w:val="0"/>
        <w:snapToGrid w:val="0"/>
        <w:spacing w:before="0" w:beforeAutospacing="0" w:after="0" w:afterAutospacing="0" w:line="600" w:lineRule="exact"/>
        <w:ind w:left="0" w:firstLine="562" w:firstLineChars="200"/>
        <w:contextualSpacing w:val="0"/>
        <w:jc w:val="both"/>
        <w:rPr>
          <w:rFonts w:hint="eastAsia" w:ascii="黑体" w:hAnsi="Calibri" w:eastAsia="黑体" w:cs="宋体"/>
          <w:b/>
          <w:bCs/>
          <w:vanish w:val="0"/>
          <w:spacing w:val="0"/>
          <w:kern w:val="2"/>
          <w:sz w:val="28"/>
          <w:szCs w:val="28"/>
        </w:rPr>
      </w:pPr>
      <w:r>
        <w:rPr>
          <w:rFonts w:hint="eastAsia" w:ascii="黑体" w:hAnsi="Calibri" w:eastAsia="黑体" w:cs="宋体"/>
          <w:b/>
          <w:bCs/>
          <w:vanish w:val="0"/>
          <w:spacing w:val="0"/>
          <w:kern w:val="0"/>
          <w:sz w:val="28"/>
          <w:szCs w:val="28"/>
        </w:rPr>
        <w:t>采购人（甲方）：</w:t>
      </w:r>
      <w:r>
        <w:rPr>
          <w:rFonts w:hint="eastAsia" w:ascii="宋体" w:cs="Times New Roman"/>
          <w:b/>
          <w:bCs/>
          <w:vanish w:val="0"/>
          <w:spacing w:val="0"/>
          <w:kern w:val="0"/>
          <w:sz w:val="32"/>
          <w:szCs w:val="32"/>
          <w:lang w:eastAsia="zh-CN"/>
        </w:rPr>
        <w:t>西安市临潼区人民法院</w:t>
      </w:r>
    </w:p>
    <w:p>
      <w:pPr>
        <w:adjustRightInd w:val="0"/>
        <w:snapToGrid w:val="0"/>
        <w:spacing w:before="0" w:beforeAutospacing="0" w:after="0" w:afterAutospacing="0" w:line="600" w:lineRule="exact"/>
        <w:ind w:left="0" w:firstLine="562" w:firstLineChars="200"/>
        <w:contextualSpacing w:val="0"/>
        <w:jc w:val="both"/>
        <w:rPr>
          <w:rFonts w:hint="eastAsia" w:ascii="黑体" w:hAnsi="Calibri" w:eastAsia="黑体" w:cs="宋体"/>
          <w:vanish w:val="0"/>
          <w:spacing w:val="0"/>
          <w:kern w:val="2"/>
          <w:sz w:val="28"/>
          <w:szCs w:val="28"/>
        </w:rPr>
      </w:pPr>
      <w:r>
        <w:rPr>
          <w:rFonts w:hint="eastAsia" w:ascii="黑体" w:hAnsi="Calibri" w:eastAsia="黑体" w:cs="宋体"/>
          <w:b/>
          <w:bCs/>
          <w:vanish w:val="0"/>
          <w:spacing w:val="0"/>
          <w:kern w:val="0"/>
          <w:sz w:val="28"/>
          <w:szCs w:val="28"/>
        </w:rPr>
        <w:t>供应商（乙方）：</w:t>
      </w:r>
    </w:p>
    <w:p>
      <w:pPr>
        <w:adjustRightInd w:val="0"/>
        <w:snapToGrid w:val="0"/>
        <w:spacing w:before="0" w:beforeAutospacing="0" w:after="0" w:afterAutospacing="0" w:line="600" w:lineRule="exact"/>
        <w:ind w:left="0" w:firstLine="640" w:firstLineChars="200"/>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根据《中华人民共和国民法典》《中华人民共和国招投标法》《中华人民共和国政府采购法》及其他有关法律、法规，遵循平等、自愿、公平和诚信的原则，双方就下述项目范围与相关服务事项协商一致，订立本合同。</w:t>
      </w:r>
    </w:p>
    <w:p>
      <w:pPr>
        <w:adjustRightInd w:val="0"/>
        <w:snapToGrid w:val="0"/>
        <w:spacing w:before="0" w:beforeAutospacing="0" w:after="0" w:afterAutospacing="0" w:line="600" w:lineRule="exact"/>
        <w:ind w:left="0" w:firstLine="0"/>
        <w:contextualSpacing w:val="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一、项目概况</w:t>
      </w:r>
    </w:p>
    <w:p>
      <w:pPr>
        <w:adjustRightInd w:val="0"/>
        <w:snapToGrid w:val="0"/>
        <w:spacing w:before="0" w:beforeAutospacing="0" w:after="0" w:afterAutospacing="0" w:line="600" w:lineRule="exact"/>
        <w:ind w:left="0" w:firstLine="640" w:firstLineChars="200"/>
        <w:contextualSpacing w:val="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 项目名称：</w:t>
      </w:r>
      <w:r>
        <w:rPr>
          <w:rFonts w:hint="eastAsia" w:ascii="仿宋_GB2312" w:hAnsi="Calibri" w:eastAsia="仿宋_GB2312" w:cs="宋体"/>
          <w:vanish w:val="0"/>
          <w:spacing w:val="0"/>
          <w:kern w:val="0"/>
          <w:sz w:val="32"/>
          <w:szCs w:val="32"/>
          <w:u w:val="single"/>
        </w:rPr>
        <w:t>2026年临潼法院集约化送达服务项目</w:t>
      </w:r>
      <w:r>
        <w:rPr>
          <w:rFonts w:hint="eastAsia" w:ascii="仿宋_GB2312" w:hAnsi="Calibri" w:eastAsia="仿宋_GB2312" w:cs="宋体"/>
          <w:vanish w:val="0"/>
          <w:spacing w:val="0"/>
          <w:kern w:val="0"/>
          <w:sz w:val="32"/>
          <w:szCs w:val="32"/>
        </w:rPr>
        <w:t>；</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 项目</w:t>
      </w:r>
      <w:r>
        <w:rPr>
          <w:rFonts w:hint="eastAsia" w:ascii="仿宋_GB2312" w:eastAsia="仿宋_GB2312" w:cs="宋体"/>
          <w:vanish w:val="0"/>
          <w:spacing w:val="0"/>
          <w:kern w:val="0"/>
          <w:sz w:val="32"/>
          <w:szCs w:val="32"/>
          <w:lang w:eastAsia="zh-CN"/>
        </w:rPr>
        <w:t>编号</w:t>
      </w:r>
      <w:r>
        <w:rPr>
          <w:rFonts w:hint="eastAsia" w:ascii="仿宋_GB2312" w:hAnsi="Calibri" w:eastAsia="仿宋_GB2312" w:cs="宋体"/>
          <w:vanish w:val="0"/>
          <w:spacing w:val="0"/>
          <w:kern w:val="0"/>
          <w:sz w:val="32"/>
          <w:szCs w:val="32"/>
        </w:rPr>
        <w:t xml:space="preserve">: </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eastAsia="仿宋_GB2312" w:cs="宋体"/>
          <w:vanish w:val="0"/>
          <w:spacing w:val="0"/>
          <w:kern w:val="0"/>
          <w:sz w:val="32"/>
          <w:szCs w:val="32"/>
          <w:lang w:val="en-US" w:eastAsia="zh-CN"/>
        </w:rPr>
        <w:t>3</w:t>
      </w:r>
      <w:r>
        <w:rPr>
          <w:rFonts w:hint="eastAsia" w:ascii="仿宋_GB2312" w:hAnsi="Calibri" w:eastAsia="仿宋_GB2312" w:cs="宋体"/>
          <w:vanish w:val="0"/>
          <w:spacing w:val="0"/>
          <w:kern w:val="0"/>
          <w:sz w:val="32"/>
          <w:szCs w:val="32"/>
        </w:rPr>
        <w:t xml:space="preserve">. 项目地点: </w:t>
      </w:r>
      <w:r>
        <w:rPr>
          <w:rFonts w:hint="eastAsia" w:ascii="仿宋_GB2312" w:eastAsia="仿宋_GB2312" w:cs="宋体"/>
          <w:vanish w:val="0"/>
          <w:spacing w:val="0"/>
          <w:kern w:val="0"/>
          <w:sz w:val="32"/>
          <w:szCs w:val="32"/>
          <w:u w:val="single"/>
          <w:lang w:eastAsia="zh-CN"/>
        </w:rPr>
        <w:t>西安市临潼区人民法院</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二、合同金额</w:t>
      </w:r>
    </w:p>
    <w:p>
      <w:pPr>
        <w:adjustRightInd w:val="0"/>
        <w:snapToGrid w:val="0"/>
        <w:spacing w:before="0" w:beforeAutospacing="0" w:after="0" w:afterAutospacing="0" w:line="600" w:lineRule="exact"/>
        <w:ind w:left="958" w:leftChars="304" w:hanging="320" w:hangingChars="100"/>
        <w:contextualSpacing w:val="0"/>
        <w:jc w:val="both"/>
        <w:rPr>
          <w:rFonts w:hint="eastAsia" w:ascii="仿宋_GB2312" w:eastAsia="仿宋_GB2312" w:cs="宋体"/>
          <w:vanish w:val="0"/>
          <w:spacing w:val="0"/>
          <w:kern w:val="0"/>
          <w:sz w:val="32"/>
          <w:szCs w:val="32"/>
          <w:lang w:val="en-US" w:eastAsia="zh-CN"/>
        </w:rPr>
      </w:pPr>
      <w:r>
        <w:rPr>
          <w:rFonts w:hint="eastAsia" w:ascii="仿宋_GB2312" w:hAnsi="Calibri" w:eastAsia="仿宋_GB2312" w:cs="宋体"/>
          <w:vanish w:val="0"/>
          <w:spacing w:val="0"/>
          <w:kern w:val="0"/>
          <w:sz w:val="32"/>
          <w:szCs w:val="32"/>
        </w:rPr>
        <w:t>合同</w:t>
      </w:r>
      <w:r>
        <w:rPr>
          <w:rFonts w:hint="eastAsia" w:ascii="仿宋_GB2312" w:eastAsia="仿宋_GB2312" w:cs="宋体"/>
          <w:vanish w:val="0"/>
          <w:spacing w:val="0"/>
          <w:kern w:val="0"/>
          <w:sz w:val="32"/>
          <w:szCs w:val="32"/>
          <w:lang w:val="en-US" w:eastAsia="zh-CN"/>
        </w:rPr>
        <w:t>总</w:t>
      </w:r>
      <w:r>
        <w:rPr>
          <w:rFonts w:hint="eastAsia" w:ascii="仿宋_GB2312" w:hAnsi="Calibri" w:eastAsia="仿宋_GB2312" w:cs="宋体"/>
          <w:vanish w:val="0"/>
          <w:spacing w:val="0"/>
          <w:kern w:val="0"/>
          <w:sz w:val="32"/>
          <w:szCs w:val="32"/>
        </w:rPr>
        <w:t>金额：</w:t>
      </w:r>
      <w:r>
        <w:rPr>
          <w:rFonts w:hint="eastAsia" w:hAnsi="宋体" w:cs="宋体"/>
          <w:sz w:val="28"/>
          <w:szCs w:val="28"/>
        </w:rPr>
        <w:t>¥</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lang w:val="en-US" w:eastAsia="zh-CN"/>
        </w:rPr>
        <w:t>元（大写：</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lang w:val="en-US" w:eastAsia="zh-CN"/>
        </w:rPr>
        <w:t>），</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三、内容、标准及要求</w:t>
      </w:r>
    </w:p>
    <w:p>
      <w:pPr>
        <w:pStyle w:val="6"/>
        <w:spacing w:before="100" w:beforeAutospacing="1" w:after="0" w:afterAutospacing="0" w:line="600" w:lineRule="exact"/>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主要工作内容、标准及要求：</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送达审核。集约送达中心在接收到送达任务后要认真审核，重点关注送达环节及备注情况，合理分配线上、线下送达，不符合要求及时退回并说明理由。</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电子送达。按照《陕西省高级人民法院关于电子送达与集中送达的若干规定（试行）》进行电子送达。使用送达平台送达文书和诉讼活动总量应符合人民法院诉讼服务质效评估体系指标要求，确保相应指标得满分。</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来院领取。根据电话联系情况，如受送达人同意来院领取，集约送达中心以派发工单的形式，将需送达诉讼文书打印后，由送达窗口或相关案件办理法官及书记员当面送达。</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邮寄送达和邮政集约送达。集约送达中心根据法官、书记员指示选择送达方式，优先选用电子送达，邮寄送达需采用邮政法院专递，以</w:t>
      </w:r>
      <w:r>
        <w:rPr>
          <w:rFonts w:ascii="Calibri" w:hAnsi="Calibri" w:eastAsia="仿宋_GB2312" w:cs="宋体"/>
          <w:vanish w:val="0"/>
          <w:spacing w:val="0"/>
          <w:kern w:val="0"/>
          <w:sz w:val="32"/>
          <w:szCs w:val="32"/>
        </w:rPr>
        <w:t>“</w:t>
      </w:r>
      <w:r>
        <w:rPr>
          <w:rFonts w:hint="eastAsia" w:ascii="仿宋_GB2312" w:hAnsi="Calibri" w:eastAsia="仿宋_GB2312" w:cs="宋体"/>
          <w:vanish w:val="0"/>
          <w:spacing w:val="0"/>
          <w:kern w:val="0"/>
          <w:sz w:val="32"/>
          <w:szCs w:val="32"/>
        </w:rPr>
        <w:t>五日三投</w:t>
      </w:r>
      <w:r>
        <w:rPr>
          <w:rFonts w:ascii="Calibri" w:hAnsi="Calibri" w:eastAsia="仿宋_GB2312" w:cs="宋体"/>
          <w:vanish w:val="0"/>
          <w:spacing w:val="0"/>
          <w:kern w:val="0"/>
          <w:sz w:val="32"/>
          <w:szCs w:val="32"/>
        </w:rPr>
        <w:t>”</w:t>
      </w:r>
      <w:r>
        <w:rPr>
          <w:rFonts w:hint="eastAsia" w:ascii="仿宋_GB2312" w:hAnsi="Calibri" w:eastAsia="仿宋_GB2312" w:cs="宋体"/>
          <w:vanish w:val="0"/>
          <w:spacing w:val="0"/>
          <w:kern w:val="0"/>
          <w:sz w:val="32"/>
          <w:szCs w:val="32"/>
        </w:rPr>
        <w:t>（五日内投放三次，至少有一次为晚上18时之后或周六、日）方式送达。邮寄送达首选邮政跨域送达，即异地打印、同城送达。</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数据整理。做好集约送达中心各项数据汇总、统计、分析，按月通报集约送达平台运行情况。</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其他事项。服从采购方管理，积极主动承办采购方交办的其他工作。</w:t>
      </w:r>
    </w:p>
    <w:p>
      <w:pPr>
        <w:pStyle w:val="6"/>
        <w:numPr>
          <w:ilvl w:val="0"/>
          <w:numId w:val="1"/>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项目指标</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7.</w:t>
      </w:r>
      <w:r>
        <w:rPr>
          <w:rFonts w:hint="eastAsia" w:ascii="仿宋_GB2312" w:eastAsia="仿宋_GB2312" w:cs="宋体"/>
          <w:vanish w:val="0"/>
          <w:spacing w:val="0"/>
          <w:kern w:val="0"/>
          <w:sz w:val="32"/>
          <w:szCs w:val="32"/>
          <w:lang w:val="en-US" w:eastAsia="zh-CN"/>
        </w:rPr>
        <w:t>1</w:t>
      </w:r>
      <w:r>
        <w:rPr>
          <w:rFonts w:hint="eastAsia" w:ascii="仿宋_GB2312" w:hAnsi="Calibri" w:eastAsia="仿宋_GB2312" w:cs="宋体"/>
          <w:vanish w:val="0"/>
          <w:spacing w:val="0"/>
          <w:kern w:val="0"/>
          <w:sz w:val="32"/>
          <w:szCs w:val="32"/>
        </w:rPr>
        <w:t>案件审核指派响应时间不超过 120 分钟，当日 16时 30 分前提交的集约送达任务，当日完成指派，当日 16 时 30 分后提交的集约送达任务，下一个工作日 10 时前完成指派。</w:t>
      </w:r>
    </w:p>
    <w:p>
      <w:pPr>
        <w:pStyle w:val="6"/>
        <w:spacing w:before="0" w:beforeAutospacing="0" w:after="0" w:afterAutospacing="0"/>
        <w:ind w:left="0" w:firstLine="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 xml:space="preserve">    7.</w:t>
      </w:r>
      <w:r>
        <w:rPr>
          <w:rFonts w:hint="eastAsia" w:ascii="仿宋_GB2312" w:eastAsia="仿宋_GB2312" w:cs="宋体"/>
          <w:vanish w:val="0"/>
          <w:spacing w:val="0"/>
          <w:kern w:val="0"/>
          <w:sz w:val="32"/>
          <w:szCs w:val="32"/>
          <w:lang w:val="en-US" w:eastAsia="zh-CN"/>
        </w:rPr>
        <w:t>2</w:t>
      </w:r>
      <w:r>
        <w:rPr>
          <w:rFonts w:hint="eastAsia" w:ascii="仿宋_GB2312" w:hAnsi="Calibri" w:eastAsia="仿宋_GB2312" w:cs="宋体"/>
          <w:vanish w:val="0"/>
          <w:spacing w:val="0"/>
          <w:kern w:val="0"/>
          <w:sz w:val="32"/>
          <w:szCs w:val="32"/>
        </w:rPr>
        <w:t>邮寄送达、邮政集约送达数据，并于次日8时30分前汇报立案庭。</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8.甲乙双方的权利与义务</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8.1甲方的权利及义务</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(1)甲方有权根据本合同约定向乙方提起服务需求，指定负责人在乙方提供专业服务时与乙方进行合作、协调及交流。</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(2)甲方须为乙方提供专门的送达服务点或集约送达中心的办公室，以保证乙方必要的工作环境与工作条件。</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(3)未经乙方书面许可，甲方不得使用乙方服务送达非本院案件或将乙方送达渠道提供给第三方使用。</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(4)甲方有义务审查送达的相关内容, 保证前述内容的应用符合中华人民共和国相关法律及互联网相关管理条例规定。</w:t>
      </w:r>
    </w:p>
    <w:p>
      <w:pPr>
        <w:pStyle w:val="6"/>
        <w:spacing w:before="0" w:beforeAutospacing="0" w:after="0" w:afterAutospacing="0"/>
        <w:ind w:left="0" w:firstLine="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(5)甲方向乙方提交的服务需求及相关数据的真实性、合法性、完整性，均已经过甲方充分有效的确认，甲方同意乙方依照前述信息进行送达并进行储存、分析、处理及使用（仅限于本合同业务范围内）等合法行为，甲方对此充分理解并认可。</w:t>
      </w:r>
    </w:p>
    <w:p>
      <w:pPr>
        <w:pStyle w:val="6"/>
        <w:spacing w:before="10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8.2乙方权利及义务</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(1)乙方驻场人员应满足以下要求：大专以上学历，计算机及法律等相关专业毕业；要求熟练掌握Office办公系统及其相关应用软件；政治合格、作风优良，并与乙方签订保密协议。</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(2)乙方驻场辅助人员应按照送达服务标准规范为甲方提供相关服务：</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采用电子送达方式的，对负责发送的文书进行跟踪短信催收，并检查短信发送情况。</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针对当事人每天不同时段进行多次电话通知服务。</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需要邮寄送达的，针对送达地址和材料文书进行核查，并进行严谨的打印和封装投递工作，及时回填记录邮政回执。</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严格控制公告送达率，针对前置环节是否穷尽了一切送达方式进行程序性审查，与法官进行沟通，并获确认后再进行公告送达。</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针对送达的结果进行程序性审查，使其符合法律流程规范。</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为法官团队提供包括沟通咨询、材料收转、配合法院需求生成送达结果数据统计等服务。</w:t>
      </w:r>
    </w:p>
    <w:p>
      <w:pPr>
        <w:pStyle w:val="6"/>
        <w:numPr>
          <w:ilvl w:val="0"/>
          <w:numId w:val="2"/>
        </w:numPr>
        <w:spacing w:before="100" w:beforeAutospacing="1"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针对集约化送达中心日常运转需要的系统、软件和办公设备等进行维护工作。</w:t>
      </w:r>
    </w:p>
    <w:p>
      <w:pPr>
        <w:pStyle w:val="6"/>
        <w:spacing w:before="0" w:beforeAutospacing="0" w:after="0" w:afterAutospacing="0"/>
        <w:ind w:left="0" w:firstLine="640" w:firstLineChars="200"/>
        <w:jc w:val="both"/>
        <w:rPr>
          <w:rFonts w:hint="eastAsia" w:ascii="仿宋_GB2312" w:hAnsi="Calibri" w:eastAsia="仿宋_GB2312" w:cs="宋体"/>
          <w:b/>
          <w:bCs/>
          <w:vanish w:val="0"/>
          <w:color w:val="C00000"/>
          <w:spacing w:val="0"/>
          <w:kern w:val="0"/>
          <w:sz w:val="32"/>
          <w:szCs w:val="32"/>
        </w:rPr>
      </w:pPr>
      <w:r>
        <w:rPr>
          <w:rFonts w:hint="eastAsia" w:ascii="仿宋_GB2312" w:hAnsi="Calibri" w:eastAsia="仿宋_GB2312" w:cs="宋体"/>
          <w:vanish w:val="0"/>
          <w:spacing w:val="0"/>
          <w:kern w:val="0"/>
          <w:sz w:val="32"/>
          <w:szCs w:val="32"/>
        </w:rPr>
        <w:t>(3)乙方保证法院服务平台的稳定性和安全性，将甲方用户信息及送达相关数据存储在乙方在联通私有云部署的系统之中，并设置多层级安全保护机制保证数据不被泄露。本协议终止后6个月内，甲方有权书面通知乙方进行数据的移交，乙方应在接到甲方通知后20个工作日内完成移交工作，移交数据形式可用mysql数据库sql语句或者按照甲方要求的文书文件等方式。</w:t>
      </w:r>
    </w:p>
    <w:p>
      <w:pPr>
        <w:pStyle w:val="6"/>
        <w:spacing w:before="0" w:beforeAutospacing="0" w:after="0" w:afterAutospacing="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(4)乙方有义务根据技术服务的需要，配套提供相应的设备及管理软件，并负责管理维护。</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(5)甲方未按照合同约定向乙方付款的，经乙方催促后一个月后仍不付款的，乙方有权暂停相关服务并撤回设备。</w:t>
      </w:r>
    </w:p>
    <w:p>
      <w:pPr>
        <w:pStyle w:val="6"/>
        <w:spacing w:before="0" w:beforeAutospacing="0" w:after="0" w:afterAutospacing="0"/>
        <w:ind w:left="0" w:firstLine="640" w:firstLineChars="20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(6)乙方定期将为甲方提供一份数据统计分析报告，为甲方评估辅助送达服务给予全方位数据参考。</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四、合同履行期限</w:t>
      </w:r>
    </w:p>
    <w:p>
      <w:pPr>
        <w:spacing w:line="600" w:lineRule="exact"/>
        <w:ind w:left="0" w:firstLine="640" w:firstLineChars="200"/>
        <w:jc w:val="both"/>
        <w:rPr>
          <w:rFonts w:hint="eastAsia" w:ascii="仿宋_GB2312" w:hAnsi="Calibri" w:eastAsia="仿宋_GB2312" w:cs="Times New Roman"/>
          <w:vanish w:val="0"/>
          <w:spacing w:val="0"/>
          <w:kern w:val="2"/>
          <w:sz w:val="32"/>
          <w:szCs w:val="32"/>
        </w:rPr>
      </w:pPr>
      <w:r>
        <w:rPr>
          <w:rFonts w:hint="eastAsia" w:ascii="仿宋_GB2312" w:hAnsi="Calibri" w:eastAsia="仿宋_GB2312" w:cs="宋体"/>
          <w:vanish w:val="0"/>
          <w:spacing w:val="0"/>
          <w:kern w:val="0"/>
          <w:sz w:val="32"/>
          <w:szCs w:val="32"/>
        </w:rPr>
        <w:t>本合同从</w:t>
      </w:r>
      <w:r>
        <w:rPr>
          <w:rFonts w:hint="eastAsia" w:ascii="仿宋_GB2312" w:hAnsi="Calibri" w:eastAsia="仿宋_GB2312" w:cs="宋体"/>
          <w:vanish w:val="0"/>
          <w:spacing w:val="0"/>
          <w:kern w:val="0"/>
          <w:sz w:val="32"/>
          <w:szCs w:val="32"/>
          <w:u w:val="single"/>
        </w:rPr>
        <w:t xml:space="preserve">    年  月  日 </w:t>
      </w:r>
      <w:r>
        <w:rPr>
          <w:rFonts w:hint="eastAsia" w:ascii="仿宋_GB2312" w:hAnsi="Calibri" w:eastAsia="仿宋_GB2312" w:cs="宋体"/>
          <w:vanish w:val="0"/>
          <w:spacing w:val="0"/>
          <w:kern w:val="0"/>
          <w:sz w:val="32"/>
          <w:szCs w:val="32"/>
        </w:rPr>
        <w:t>起到</w:t>
      </w:r>
      <w:r>
        <w:rPr>
          <w:rFonts w:hint="eastAsia" w:ascii="仿宋_GB2312" w:hAnsi="Calibri" w:eastAsia="仿宋_GB2312" w:cs="宋体"/>
          <w:vanish w:val="0"/>
          <w:spacing w:val="0"/>
          <w:kern w:val="0"/>
          <w:sz w:val="32"/>
          <w:szCs w:val="32"/>
          <w:u w:val="single"/>
        </w:rPr>
        <w:t xml:space="preserve">   年 月  日</w:t>
      </w:r>
      <w:r>
        <w:rPr>
          <w:rFonts w:hint="eastAsia" w:ascii="仿宋_GB2312" w:hAnsi="Calibri" w:eastAsia="仿宋_GB2312" w:cs="宋体"/>
          <w:vanish w:val="0"/>
          <w:spacing w:val="0"/>
          <w:kern w:val="0"/>
          <w:sz w:val="32"/>
          <w:szCs w:val="32"/>
        </w:rPr>
        <w:t>止，有效期</w:t>
      </w:r>
      <w:r>
        <w:rPr>
          <w:rFonts w:hint="eastAsia" w:ascii="仿宋_GB2312" w:hAnsi="Calibri" w:eastAsia="仿宋_GB2312" w:cs="宋体"/>
          <w:vanish w:val="0"/>
          <w:spacing w:val="0"/>
          <w:kern w:val="0"/>
          <w:sz w:val="32"/>
          <w:szCs w:val="32"/>
          <w:u w:val="single"/>
        </w:rPr>
        <w:t xml:space="preserve"> 壹 </w:t>
      </w:r>
      <w:r>
        <w:rPr>
          <w:rFonts w:hint="eastAsia" w:ascii="仿宋_GB2312" w:hAnsi="Calibri" w:eastAsia="仿宋_GB2312" w:cs="宋体"/>
          <w:vanish w:val="0"/>
          <w:spacing w:val="0"/>
          <w:kern w:val="0"/>
          <w:sz w:val="32"/>
          <w:szCs w:val="32"/>
        </w:rPr>
        <w:t>年，合同一年一签，每次合同到期后协商续签。</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五、结算方式</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1.结算方式：银行转账，由采购人负责结算。在付款前，供应商必须开具与合同金额相应的发票给采购人。</w:t>
      </w:r>
    </w:p>
    <w:p>
      <w:pPr>
        <w:spacing w:line="600" w:lineRule="exact"/>
        <w:ind w:left="0"/>
        <w:jc w:val="left"/>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 xml:space="preserve">   2.付款方式：</w:t>
      </w:r>
    </w:p>
    <w:p>
      <w:pPr>
        <w:pStyle w:val="2"/>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合同签订后预付合同总金额的</w:t>
      </w:r>
      <w:r>
        <w:rPr>
          <w:rFonts w:hint="eastAsia" w:ascii="方正仿宋_GB2312" w:hAnsi="方正仿宋_GB2312" w:eastAsia="方正仿宋_GB2312" w:cs="方正仿宋_GB2312"/>
          <w:sz w:val="32"/>
          <w:szCs w:val="32"/>
          <w:highlight w:val="none"/>
          <w:lang w:val="en-US" w:eastAsia="zh-CN"/>
        </w:rPr>
        <w:t>5</w:t>
      </w:r>
      <w:r>
        <w:rPr>
          <w:rFonts w:hint="eastAsia" w:ascii="方正仿宋_GB2312" w:hAnsi="方正仿宋_GB2312" w:eastAsia="方正仿宋_GB2312" w:cs="方正仿宋_GB2312"/>
          <w:sz w:val="32"/>
          <w:szCs w:val="32"/>
          <w:highlight w:val="none"/>
        </w:rPr>
        <w:t>0%，</w:t>
      </w:r>
      <w:r>
        <w:rPr>
          <w:rFonts w:hint="eastAsia" w:ascii="方正仿宋_GB2312" w:hAnsi="方正仿宋_GB2312" w:eastAsia="方正仿宋_GB2312" w:cs="方正仿宋_GB2312"/>
          <w:sz w:val="32"/>
          <w:szCs w:val="32"/>
          <w:highlight w:val="none"/>
          <w:lang w:val="en-US" w:eastAsia="zh-CN"/>
        </w:rPr>
        <w:t>合同期过半后支付总金额的40%，合同结束后支付总</w:t>
      </w:r>
      <w:r>
        <w:rPr>
          <w:rFonts w:hint="eastAsia" w:ascii="方正仿宋_GB2312" w:hAnsi="方正仿宋_GB2312" w:eastAsia="方正仿宋_GB2312" w:cs="方正仿宋_GB2312"/>
          <w:sz w:val="32"/>
          <w:szCs w:val="32"/>
          <w:highlight w:val="none"/>
        </w:rPr>
        <w:t>金额</w:t>
      </w:r>
      <w:r>
        <w:rPr>
          <w:rFonts w:hint="eastAsia" w:ascii="方正仿宋_GB2312" w:hAnsi="方正仿宋_GB2312" w:eastAsia="方正仿宋_GB2312" w:cs="方正仿宋_GB2312"/>
          <w:sz w:val="32"/>
          <w:szCs w:val="32"/>
          <w:highlight w:val="none"/>
          <w:lang w:val="en-US" w:eastAsia="zh-CN"/>
        </w:rPr>
        <w:t>10%</w:t>
      </w:r>
      <w:r>
        <w:rPr>
          <w:rFonts w:hint="eastAsia" w:ascii="方正仿宋_GB2312" w:hAnsi="方正仿宋_GB2312" w:eastAsia="方正仿宋_GB2312" w:cs="方正仿宋_GB2312"/>
          <w:sz w:val="32"/>
          <w:szCs w:val="32"/>
          <w:highlight w:val="none"/>
          <w:lang w:eastAsia="zh-CN"/>
        </w:rPr>
        <w:t>。</w:t>
      </w:r>
      <w:bookmarkStart w:id="0" w:name="_GoBack"/>
      <w:bookmarkEnd w:id="0"/>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六、技术支撑服务</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技术支持和售后服务由供应商严格按投标文件及有关承诺执行，确保采购人正确安全使用。</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乙方提供专业的服务人员进行现场导入服务，内容包括集约化送达流程梳理、电子送达规则确认、系统安装配置、法官\书记员操作培训、硬件部署等工作。协同前端工作人员完成集约化送达流程试运行，有序开展集约化送达工作。</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制定集约送达管理制度系列文件，如《集约送达暂行管理办法》、《电话送达话术规范及话务技巧》、《送达辅助系统操作指南》、《数据报表模板》、《硬件设备操作与维护指南》、《驻场工作信息保密制度》等等，确保送达服务合规性，不断完善驻场人员管理，保障集约化送达工作实现持续有效的规范运作。</w:t>
      </w:r>
    </w:p>
    <w:p>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服务联系人：</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 xml:space="preserve">  电话：</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 xml:space="preserve">  </w:t>
      </w:r>
    </w:p>
    <w:p>
      <w:pPr>
        <w:spacing w:before="0" w:beforeAutospacing="0" w:after="0" w:afterAutospacing="0" w:line="600" w:lineRule="exact"/>
        <w:ind w:left="0" w:firstLine="640" w:firstLineChars="200"/>
        <w:jc w:val="both"/>
        <w:rPr>
          <w:rFonts w:hint="eastAsia" w:ascii="仿宋_GB2312" w:hAnsi="Calibri" w:eastAsia="仿宋_GB2312" w:cs="宋体"/>
          <w:b/>
          <w:bCs/>
          <w:vanish w:val="0"/>
          <w:spacing w:val="0"/>
          <w:kern w:val="2"/>
          <w:sz w:val="32"/>
          <w:szCs w:val="32"/>
          <w:highlight w:val="green"/>
        </w:rPr>
      </w:pPr>
      <w:r>
        <w:rPr>
          <w:rFonts w:hint="eastAsia" w:ascii="仿宋_GB2312" w:hAnsi="Calibri" w:eastAsia="仿宋_GB2312" w:cs="宋体"/>
          <w:vanish w:val="0"/>
          <w:spacing w:val="0"/>
          <w:kern w:val="0"/>
          <w:sz w:val="32"/>
          <w:szCs w:val="32"/>
        </w:rPr>
        <w:t>如供应商怠于或不能履行维护保养义务，采购人有权委托第三方处理，由此产生的费用和风险由供应商承担。</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七、保密</w:t>
      </w:r>
    </w:p>
    <w:p>
      <w:pPr>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对工作中了解到的采购人的技术、机密等进行严格保密，不得向他人泄漏。本合同的解除或终止不免除供应商应承担的保密义务。</w:t>
      </w:r>
    </w:p>
    <w:p>
      <w:pPr>
        <w:spacing w:before="0" w:beforeAutospacing="0" w:after="0" w:afterAutospacing="0" w:line="600" w:lineRule="exact"/>
        <w:ind w:left="0" w:firstLine="0"/>
        <w:jc w:val="both"/>
        <w:rPr>
          <w:rFonts w:hint="eastAsia" w:ascii="黑体" w:hAnsi="Calibri" w:eastAsia="黑体" w:cs="宋体"/>
          <w:b/>
          <w:bCs/>
          <w:vanish w:val="0"/>
          <w:spacing w:val="0"/>
          <w:kern w:val="0"/>
          <w:sz w:val="32"/>
          <w:szCs w:val="32"/>
        </w:rPr>
      </w:pP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八、知识产权</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spacing w:before="0" w:beforeAutospacing="0" w:after="0" w:afterAutospacing="0" w:line="600" w:lineRule="exact"/>
        <w:ind w:left="0" w:firstLine="0"/>
        <w:jc w:val="both"/>
        <w:rPr>
          <w:rFonts w:hint="eastAsia" w:ascii="黑体" w:hAnsi="Calibri" w:eastAsia="黑体" w:cs="宋体"/>
          <w:b/>
          <w:bCs/>
          <w:vanish w:val="0"/>
          <w:spacing w:val="0"/>
          <w:kern w:val="0"/>
          <w:sz w:val="32"/>
          <w:szCs w:val="32"/>
        </w:rPr>
      </w:pP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九、合同争议的解决</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合同执行中发生争议的，当事人双方应协商解决。协商达不成一致时，可向当地人民法院提请诉讼。</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十、不可抗力情况下的免责约定</w:t>
      </w:r>
    </w:p>
    <w:p>
      <w:pPr>
        <w:spacing w:before="0" w:beforeAutospacing="0" w:after="0" w:afterAutospacing="0" w:line="600" w:lineRule="exact"/>
        <w:ind w:left="0" w:firstLine="0"/>
        <w:jc w:val="left"/>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双方约定不可抗力情况指：双方不可预见、不可避免、不可克服的客观情况，但不包括双方的违约或疏忽。这些事件包括但不限于：战争、严重火灾、洪水、台风、地震等。</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十一、违约责任</w:t>
      </w:r>
    </w:p>
    <w:p>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依据《中华人民共和国民法典》、《中华人民共和国政府采购法》、《中华人民共和国政府采购法实施条例》的相关条款和本合同约定，供应商未全面履行合同义务或者发生违约，采购单位有权终止合同，依法向供应商进行经济索赔，并报请政府采购监督管理机关进行相应的行政处罚。采购单位违约的，应当赔偿供应商相应的经济损失。</w:t>
      </w:r>
    </w:p>
    <w:p>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十二、合同订立</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1. 订立时间：</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u w:val="single"/>
          <w:lang w:val="en-US" w:eastAsia="zh-CN"/>
        </w:rPr>
        <w:t xml:space="preserve">  </w:t>
      </w:r>
      <w:r>
        <w:rPr>
          <w:rFonts w:hint="eastAsia" w:ascii="仿宋_GB2312" w:hAnsi="Calibri" w:eastAsia="仿宋_GB2312" w:cs="宋体"/>
          <w:vanish w:val="0"/>
          <w:spacing w:val="0"/>
          <w:kern w:val="0"/>
          <w:sz w:val="32"/>
          <w:szCs w:val="32"/>
        </w:rPr>
        <w:t>年</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月</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日。</w:t>
      </w:r>
    </w:p>
    <w:p>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2. 订立地点：</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u w:val="single"/>
          <w:lang w:eastAsia="zh-CN"/>
        </w:rPr>
        <w:t>西安市临潼区人民法院</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pPr>
        <w:kinsoku w:val="0"/>
        <w:wordWrap/>
        <w:overflowPunct/>
        <w:topLinePunct w:val="0"/>
        <w:autoSpaceDE/>
        <w:autoSpaceDN/>
        <w:spacing w:before="0" w:beforeAutospacing="0" w:after="0" w:afterAutospacing="0" w:line="600" w:lineRule="exact"/>
        <w:ind w:left="0" w:firstLine="640" w:firstLineChars="200"/>
        <w:jc w:val="both"/>
        <w:rPr>
          <w:rFonts w:hint="eastAsia" w:ascii="宋体" w:hAnsi="Calibri" w:eastAsia="宋体" w:cs="Times New Roman"/>
          <w:vanish w:val="0"/>
          <w:spacing w:val="0"/>
          <w:kern w:val="2"/>
          <w:sz w:val="24"/>
          <w:szCs w:val="24"/>
        </w:rPr>
      </w:pPr>
      <w:r>
        <w:rPr>
          <w:rFonts w:hint="eastAsia" w:ascii="仿宋_GB2312" w:hAnsi="Calibri" w:eastAsia="仿宋_GB2312" w:cs="宋体"/>
          <w:vanish w:val="0"/>
          <w:spacing w:val="0"/>
          <w:kern w:val="0"/>
          <w:sz w:val="32"/>
          <w:szCs w:val="32"/>
        </w:rPr>
        <w:t>3. 本合同一式</w:t>
      </w:r>
      <w:r>
        <w:rPr>
          <w:rFonts w:hint="eastAsia" w:ascii="仿宋_GB2312" w:hAnsi="Calibri" w:eastAsia="仿宋_GB2312" w:cs="宋体"/>
          <w:vanish w:val="0"/>
          <w:spacing w:val="0"/>
          <w:kern w:val="0"/>
          <w:sz w:val="32"/>
          <w:szCs w:val="32"/>
          <w:u w:val="single"/>
        </w:rPr>
        <w:t xml:space="preserve"> 肆 </w:t>
      </w:r>
      <w:r>
        <w:rPr>
          <w:rFonts w:hint="eastAsia" w:ascii="仿宋_GB2312" w:hAnsi="Calibri" w:eastAsia="仿宋_GB2312" w:cs="宋体"/>
          <w:vanish w:val="0"/>
          <w:spacing w:val="0"/>
          <w:kern w:val="0"/>
          <w:sz w:val="32"/>
          <w:szCs w:val="32"/>
        </w:rPr>
        <w:t>份，具有同等法律效力，双方各执</w:t>
      </w:r>
      <w:r>
        <w:rPr>
          <w:rFonts w:hint="eastAsia" w:ascii="仿宋_GB2312" w:hAnsi="Calibri" w:eastAsia="仿宋_GB2312" w:cs="宋体"/>
          <w:vanish w:val="0"/>
          <w:spacing w:val="0"/>
          <w:kern w:val="0"/>
          <w:sz w:val="32"/>
          <w:szCs w:val="32"/>
          <w:u w:val="single"/>
        </w:rPr>
        <w:t>贰</w:t>
      </w:r>
      <w:r>
        <w:rPr>
          <w:rFonts w:hint="eastAsia" w:ascii="仿宋_GB2312" w:hAnsi="Calibri" w:eastAsia="仿宋_GB2312" w:cs="宋体"/>
          <w:vanish w:val="0"/>
          <w:spacing w:val="0"/>
          <w:kern w:val="0"/>
          <w:sz w:val="32"/>
          <w:szCs w:val="32"/>
        </w:rPr>
        <w:t>份。各方签字盖章后生效，合同执行完毕自动失效。（合同的服务承诺则长期有效）。</w:t>
      </w:r>
      <w:r>
        <w:rPr>
          <w:rFonts w:hint="eastAsia" w:ascii="宋体" w:hAnsi="Calibri" w:eastAsia="宋体" w:cs="Times New Roman"/>
          <w:vanish w:val="0"/>
          <w:spacing w:val="0"/>
          <w:kern w:val="0"/>
          <w:sz w:val="24"/>
          <w:szCs w:val="24"/>
        </w:rPr>
        <w:t xml:space="preserve"> </w:t>
      </w:r>
    </w:p>
    <w:p>
      <w:pPr>
        <w:spacing w:before="0" w:beforeAutospacing="0" w:after="0" w:afterAutospacing="0"/>
        <w:ind w:left="0" w:firstLine="0"/>
        <w:jc w:val="both"/>
        <w:rPr>
          <w:rFonts w:hint="eastAsia" w:ascii="宋体" w:hAnsi="Calibri" w:eastAsia="宋体" w:cs="Times New Roman"/>
          <w:vanish w:val="0"/>
          <w:spacing w:val="0"/>
          <w:kern w:val="2"/>
          <w:sz w:val="24"/>
          <w:szCs w:val="24"/>
        </w:rPr>
      </w:pPr>
      <w:r>
        <w:rPr>
          <w:rFonts w:hint="eastAsia" w:ascii="仿宋_GB2312" w:eastAsia="仿宋_GB2312" w:cs="宋体"/>
          <w:vanish w:val="0"/>
          <w:spacing w:val="0"/>
          <w:kern w:val="0"/>
          <w:sz w:val="32"/>
          <w:szCs w:val="32"/>
          <w:u w:val="none"/>
          <w:lang w:val="en-US" w:eastAsia="zh-CN"/>
        </w:rPr>
        <w:t xml:space="preserve">               </w:t>
      </w: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4517" w:leftChars="-177" w:hanging="4889" w:hangingChars="1528"/>
        <w:contextualSpacing w:val="0"/>
        <w:jc w:val="both"/>
        <w:rPr>
          <w:rFonts w:hint="default" w:ascii="仿宋_GB2312" w:hAnsi="Calibri" w:eastAsia="仿宋_GB2312" w:cs="宋体"/>
          <w:vanish w:val="0"/>
          <w:spacing w:val="0"/>
          <w:kern w:val="2"/>
          <w:sz w:val="32"/>
          <w:szCs w:val="32"/>
          <w:u w:val="none"/>
          <w:lang w:val="en-US" w:eastAsia="zh-CN"/>
        </w:rPr>
      </w:pPr>
      <w:r>
        <w:rPr>
          <w:rFonts w:hint="eastAsia" w:ascii="仿宋_GB2312" w:hAnsi="Calibri" w:eastAsia="仿宋_GB2312" w:cs="宋体"/>
          <w:vanish w:val="0"/>
          <w:spacing w:val="0"/>
          <w:kern w:val="0"/>
          <w:sz w:val="32"/>
          <w:szCs w:val="32"/>
        </w:rPr>
        <w:t>采购人：</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供应商</w:t>
      </w:r>
      <w:r>
        <w:rPr>
          <w:rFonts w:hint="eastAsia" w:ascii="仿宋_GB2312" w:eastAsia="仿宋_GB2312" w:cs="宋体"/>
          <w:vanish w:val="0"/>
          <w:spacing w:val="0"/>
          <w:kern w:val="0"/>
          <w:sz w:val="32"/>
          <w:szCs w:val="32"/>
          <w:lang w:eastAsia="zh-CN"/>
        </w:rPr>
        <w:t>：</w:t>
      </w:r>
      <w:r>
        <w:rPr>
          <w:rFonts w:hint="eastAsia" w:ascii="仿宋_GB2312" w:eastAsia="仿宋_GB2312" w:cs="宋体"/>
          <w:vanish w:val="0"/>
          <w:spacing w:val="0"/>
          <w:kern w:val="0"/>
          <w:sz w:val="32"/>
          <w:szCs w:val="32"/>
          <w:u w:val="single"/>
          <w:lang w:val="en-US" w:eastAsia="zh-CN"/>
        </w:rPr>
        <w:t xml:space="preserve">             </w:t>
      </w:r>
      <w:r>
        <w:rPr>
          <w:rFonts w:hint="eastAsia" w:ascii="仿宋_GB2312" w:eastAsia="仿宋_GB2312" w:cs="宋体"/>
          <w:vanish w:val="0"/>
          <w:spacing w:val="0"/>
          <w:kern w:val="0"/>
          <w:sz w:val="32"/>
          <w:szCs w:val="32"/>
          <w:u w:val="none"/>
          <w:lang w:val="en-US" w:eastAsia="zh-CN"/>
        </w:rPr>
        <w:t xml:space="preserve">  </w:t>
      </w:r>
    </w:p>
    <w:p>
      <w:pPr>
        <w:adjustRightInd w:val="0"/>
        <w:snapToGrid w:val="0"/>
        <w:spacing w:before="0" w:beforeAutospacing="0" w:after="0" w:afterAutospacing="0" w:line="560" w:lineRule="exact"/>
        <w:ind w:left="5861" w:leftChars="-177" w:hanging="6233" w:hangingChars="1948"/>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5861" w:leftChars="-177" w:hanging="6233" w:hangingChars="1948"/>
        <w:contextualSpacing w:val="0"/>
        <w:jc w:val="both"/>
        <w:rPr>
          <w:rFonts w:hint="eastAsia" w:ascii="仿宋_GB2312" w:hAnsi="Calibri" w:eastAsia="仿宋_GB2312" w:cs="宋体"/>
          <w:vanish w:val="0"/>
          <w:spacing w:val="0"/>
          <w:kern w:val="2"/>
          <w:sz w:val="32"/>
          <w:szCs w:val="32"/>
          <w:u w:val="single"/>
          <w:lang w:eastAsia="zh-CN"/>
        </w:rPr>
      </w:pPr>
      <w:r>
        <w:rPr>
          <w:rFonts w:hint="eastAsia" w:ascii="仿宋_GB2312" w:hAnsi="Calibri" w:eastAsia="仿宋_GB2312" w:cs="宋体"/>
          <w:vanish w:val="0"/>
          <w:spacing w:val="0"/>
          <w:kern w:val="0"/>
          <w:sz w:val="32"/>
          <w:szCs w:val="32"/>
        </w:rPr>
        <w:t>地  址：</w:t>
      </w:r>
      <w:r>
        <w:rPr>
          <w:rFonts w:hint="eastAsia" w:ascii="仿宋_GB2312" w:eastAsia="仿宋_GB2312" w:cs="宋体"/>
          <w:vanish w:val="0"/>
          <w:spacing w:val="0"/>
          <w:kern w:val="0"/>
          <w:sz w:val="32"/>
          <w:szCs w:val="32"/>
          <w:u w:val="none"/>
          <w:lang w:val="en-US" w:eastAsia="zh-CN"/>
        </w:rPr>
        <w:t xml:space="preserve">                      </w:t>
      </w:r>
      <w:r>
        <w:rPr>
          <w:rFonts w:hint="eastAsia" w:ascii="仿宋_GB2312" w:hAnsi="Calibri" w:eastAsia="仿宋_GB2312" w:cs="宋体"/>
          <w:vanish w:val="0"/>
          <w:spacing w:val="0"/>
          <w:kern w:val="0"/>
          <w:sz w:val="32"/>
          <w:szCs w:val="32"/>
        </w:rPr>
        <w:t>地  址：</w:t>
      </w:r>
      <w:r>
        <w:rPr>
          <w:rFonts w:hint="eastAsia" w:ascii="仿宋_GB2312" w:eastAsia="仿宋_GB2312" w:cs="宋体"/>
          <w:vanish w:val="0"/>
          <w:spacing w:val="0"/>
          <w:kern w:val="0"/>
          <w:sz w:val="32"/>
          <w:szCs w:val="32"/>
          <w:u w:val="single"/>
          <w:lang w:val="en-US" w:eastAsia="zh-CN"/>
        </w:rPr>
        <w:t xml:space="preserve">        </w:t>
      </w:r>
      <w:r>
        <w:rPr>
          <w:rFonts w:hint="eastAsia" w:ascii="仿宋_GB2312" w:hAnsi="Calibri" w:eastAsia="仿宋_GB2312" w:cs="宋体"/>
          <w:vanish w:val="0"/>
          <w:spacing w:val="0"/>
          <w:kern w:val="0"/>
          <w:sz w:val="32"/>
          <w:szCs w:val="32"/>
          <w:u w:val="single"/>
        </w:rPr>
        <w:t xml:space="preserve"> </w:t>
      </w:r>
    </w:p>
    <w:p>
      <w:pPr>
        <w:adjustRightInd w:val="0"/>
        <w:snapToGrid w:val="0"/>
        <w:spacing w:before="0" w:beforeAutospacing="0" w:after="0" w:afterAutospacing="0" w:line="560" w:lineRule="exact"/>
        <w:ind w:left="-372" w:leftChars="-177" w:firstLine="1"/>
        <w:contextualSpacing w:val="0"/>
        <w:jc w:val="both"/>
        <w:rPr>
          <w:rFonts w:hint="eastAsia" w:ascii="仿宋_GB2312" w:hAnsi="Calibri" w:eastAsia="仿宋_GB2312" w:cs="宋体"/>
          <w:vanish w:val="0"/>
          <w:spacing w:val="0"/>
          <w:kern w:val="0"/>
          <w:sz w:val="32"/>
          <w:szCs w:val="32"/>
        </w:rPr>
      </w:pPr>
    </w:p>
    <w:p>
      <w:pPr>
        <w:adjustRightInd w:val="0"/>
        <w:snapToGrid w:val="0"/>
        <w:spacing w:before="0" w:beforeAutospacing="0" w:after="0" w:afterAutospacing="0" w:line="560" w:lineRule="exact"/>
        <w:ind w:left="-372" w:leftChars="-177" w:firstLine="1"/>
        <w:contextualSpacing w:val="0"/>
        <w:jc w:val="both"/>
        <w:rPr>
          <w:rFonts w:hint="eastAsia" w:ascii="宋体" w:hAnsi="Calibri" w:eastAsia="宋体" w:cs="Times New Roman"/>
          <w:vanish w:val="0"/>
          <w:spacing w:val="0"/>
          <w:kern w:val="2"/>
          <w:sz w:val="24"/>
          <w:szCs w:val="24"/>
        </w:rPr>
      </w:pPr>
      <w:r>
        <w:rPr>
          <w:rFonts w:hint="eastAsia" w:ascii="仿宋_GB2312" w:hAnsi="Calibri" w:eastAsia="仿宋_GB2312" w:cs="宋体"/>
          <w:vanish w:val="0"/>
          <w:spacing w:val="0"/>
          <w:kern w:val="0"/>
          <w:sz w:val="32"/>
          <w:szCs w:val="32"/>
        </w:rPr>
        <w:t xml:space="preserve">法定代表人或其授权的代理人 </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法定代表人或其授权的代理人：</w:t>
      </w:r>
      <w:r>
        <w:rPr>
          <w:rFonts w:hint="eastAsia" w:ascii="仿宋_GB2312" w:eastAsia="仿宋_GB2312" w:cs="宋体"/>
          <w:vanish w:val="0"/>
          <w:spacing w:val="0"/>
          <w:kern w:val="0"/>
          <w:sz w:val="32"/>
          <w:szCs w:val="32"/>
          <w:u w:val="single"/>
          <w:lang w:eastAsia="zh-CN"/>
        </w:rPr>
        <w:t>（签字或签章）</w:t>
      </w:r>
      <w:r>
        <w:rPr>
          <w:rFonts w:hint="eastAsia" w:ascii="仿宋_GB2312" w:hAnsi="Calibri" w:eastAsia="仿宋_GB2312" w:cs="宋体"/>
          <w:vanish w:val="0"/>
          <w:spacing w:val="0"/>
          <w:kern w:val="0"/>
          <w:sz w:val="32"/>
          <w:szCs w:val="32"/>
        </w:rPr>
        <w:t xml:space="preserve">        </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人：</w:t>
      </w:r>
      <w:r>
        <w:rPr>
          <w:rFonts w:hint="eastAsia" w:ascii="仿宋_GB2312" w:eastAsia="仿宋_GB2312" w:cs="宋体"/>
          <w:vanish w:val="0"/>
          <w:spacing w:val="0"/>
          <w:kern w:val="0"/>
          <w:sz w:val="32"/>
          <w:szCs w:val="32"/>
          <w:u w:val="single"/>
          <w:lang w:eastAsia="zh-CN"/>
        </w:rPr>
        <w:t>（签字或签章）</w:t>
      </w:r>
      <w:r>
        <w:rPr>
          <w:rFonts w:hint="eastAsia" w:ascii="仿宋_GB2312" w:hAnsi="Calibri" w:eastAsia="仿宋_GB2312" w:cs="宋体"/>
          <w:vanish w:val="0"/>
          <w:spacing w:val="0"/>
          <w:kern w:val="0"/>
          <w:sz w:val="32"/>
          <w:szCs w:val="32"/>
        </w:rPr>
        <w:t xml:space="preserve"> </w:t>
      </w:r>
      <w:r>
        <w:rPr>
          <w:rFonts w:hint="eastAsia" w:ascii="仿宋_GB2312" w:hAnsi="Calibri" w:eastAsia="仿宋_GB2312" w:cs="宋体"/>
          <w:vanish w:val="0"/>
          <w:spacing w:val="0"/>
          <w:kern w:val="0"/>
          <w:sz w:val="32"/>
          <w:szCs w:val="32"/>
          <w:u w:val="single"/>
        </w:rPr>
        <w:t xml:space="preserve">         </w:t>
      </w:r>
    </w:p>
    <w:p>
      <w:pPr>
        <w:rPr>
          <w:rFonts w:ascii="Calibri" w:hAnsi="Calibri" w:eastAsia="宋体" w:cs="Times New Roman"/>
          <w:spacing w:val="0"/>
          <w:kern w:val="2"/>
          <w:sz w:val="21"/>
          <w:szCs w:val="21"/>
        </w:rPr>
      </w:pPr>
    </w:p>
    <w:p>
      <w:pPr>
        <w:rPr>
          <w:rFonts w:hint="eastAsia" w:ascii="仿宋" w:hAnsi="仿宋" w:eastAsia="仿宋"/>
          <w:spacing w:val="0"/>
          <w:kern w:val="2"/>
          <w:sz w:val="32"/>
          <w:szCs w:val="32"/>
        </w:rPr>
      </w:pPr>
    </w:p>
    <w:p/>
    <w:sectPr>
      <w:headerReference r:id="rId5" w:type="first"/>
      <w:headerReference r:id="rId3" w:type="default"/>
      <w:headerReference r:id="rId4" w:type="even"/>
      <w:pgSz w:w="11907" w:h="16839"/>
      <w:pgMar w:top="1440" w:right="1800" w:bottom="1440" w:left="1800" w:header="851" w:footer="992" w:gutter="0"/>
      <w:pgBorders>
        <w:top w:val="none" w:sz="0" w:space="0"/>
        <w:left w:val="none" w:sz="0" w:space="0"/>
        <w:bottom w:val="none" w:sz="0" w:space="0"/>
        <w:right w:val="none" w:sz="0" w:space="0"/>
      </w:pgBorders>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5"/>
      <w:tblW w:w="8523"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2"/>
      <w:gridCol w:w="76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jc w:val="right"/>
      </w:trPr>
      <w:tc>
        <w:tcPr>
          <w:tcW w:w="852" w:type="dxa"/>
          <w:shd w:val="clear" w:color="auto" w:fill="auto"/>
        </w:tcPr>
        <w:p/>
      </w:tc>
      <w:tc>
        <w:tcPr>
          <w:tcW w:w="7671" w:type="dxa"/>
          <w:tcBorders>
            <w:top w:val="nil"/>
            <w:left w:val="nil"/>
            <w:bottom w:val="nil"/>
            <w:right w:val="nil"/>
          </w:tcBorders>
          <w:shd w:val="clear" w:color="auto" w:fill="auto"/>
        </w:tcPr>
        <w:p>
          <w:pPr>
            <w:jc w:val="right"/>
          </w:pPr>
        </w:p>
      </w:tc>
    </w:tr>
  </w:tb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2" o:spid="_x0000_s4099" o:spt="136" type="#_x0000_t136" style="position:absolute;left:0pt;height:54.3pt;width:246.45pt;mso-position-horizontal:center;mso-position-horizontal-relative:margin;mso-position-vertical:center;mso-position-vertical-relative:margin;rotation:20643840f;z-index:-251657216;mso-width-relative:page;mso-height-relative:page;" fillcolor="#515753" filled="t" stroked="f" coordsize="21600,21600" o:allowincell="f" adj="10800">
          <v:path/>
          <v:fill on="t" opacity="32768f" focussize="0,0"/>
          <v:stroke on="f" color="#000000"/>
          <v:imagedata o:title=""/>
          <o:lock v:ext="edit"/>
          <v:textpath on="t" fitshape="t" fitpath="t" trim="t" xscale="f" string="China Post" style="font-family:Lucida Sans;font-size:5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lvlText w:val="%1."/>
      <w:lvlJc w:val="left"/>
      <w:pPr>
        <w:tabs>
          <w:tab w:val="left" w:pos="312"/>
        </w:tabs>
        <w:ind w:left="0" w:firstLine="0"/>
      </w:pPr>
      <w:rPr>
        <w:rFonts w:hint="default" w:ascii="Times New Roman" w:hAnsi="Times New Roman"/>
      </w:rPr>
    </w:lvl>
    <w:lvl w:ilvl="1" w:tentative="0">
      <w:start w:val="1"/>
      <w:numFmt w:val="decimal"/>
      <w:lvlText w:val="%2."/>
      <w:lvlJc w:val="left"/>
      <w:pPr>
        <w:tabs>
          <w:tab w:val="left" w:pos="1440"/>
        </w:tabs>
        <w:ind w:left="1440" w:hanging="360"/>
      </w:pPr>
      <w:rPr>
        <w:rFonts w:hint="default" w:ascii="Times New Roman" w:hAnsi="Times New Roman"/>
      </w:rPr>
    </w:lvl>
    <w:lvl w:ilvl="2" w:tentative="0">
      <w:start w:val="1"/>
      <w:numFmt w:val="decimal"/>
      <w:lvlText w:val="%3."/>
      <w:lvlJc w:val="left"/>
      <w:pPr>
        <w:tabs>
          <w:tab w:val="left" w:pos="2160"/>
        </w:tabs>
        <w:ind w:left="2160" w:hanging="360"/>
      </w:pPr>
      <w:rPr>
        <w:rFonts w:hint="default" w:ascii="Times New Roman" w:hAnsi="Times New Roman"/>
      </w:rPr>
    </w:lvl>
    <w:lvl w:ilvl="3" w:tentative="0">
      <w:start w:val="1"/>
      <w:numFmt w:val="decimal"/>
      <w:lvlText w:val="%4."/>
      <w:lvlJc w:val="left"/>
      <w:pPr>
        <w:tabs>
          <w:tab w:val="left" w:pos="2880"/>
        </w:tabs>
        <w:ind w:left="2880" w:hanging="360"/>
      </w:pPr>
      <w:rPr>
        <w:rFonts w:hint="default" w:ascii="Times New Roman" w:hAnsi="Times New Roman"/>
      </w:rPr>
    </w:lvl>
    <w:lvl w:ilvl="4" w:tentative="0">
      <w:start w:val="1"/>
      <w:numFmt w:val="decimal"/>
      <w:lvlText w:val="%5."/>
      <w:lvlJc w:val="left"/>
      <w:pPr>
        <w:tabs>
          <w:tab w:val="left" w:pos="3600"/>
        </w:tabs>
        <w:ind w:left="3600" w:hanging="360"/>
      </w:pPr>
      <w:rPr>
        <w:rFonts w:hint="default" w:ascii="Times New Roman" w:hAnsi="Times New Roman"/>
      </w:rPr>
    </w:lvl>
    <w:lvl w:ilvl="5" w:tentative="0">
      <w:start w:val="1"/>
      <w:numFmt w:val="decimal"/>
      <w:lvlText w:val="%6."/>
      <w:lvlJc w:val="left"/>
      <w:pPr>
        <w:tabs>
          <w:tab w:val="left" w:pos="4320"/>
        </w:tabs>
        <w:ind w:left="4320" w:hanging="360"/>
      </w:pPr>
      <w:rPr>
        <w:rFonts w:hint="default" w:ascii="Times New Roman" w:hAnsi="Times New Roman"/>
      </w:rPr>
    </w:lvl>
    <w:lvl w:ilvl="6" w:tentative="0">
      <w:start w:val="1"/>
      <w:numFmt w:val="decimal"/>
      <w:lvlText w:val="%7."/>
      <w:lvlJc w:val="left"/>
      <w:pPr>
        <w:tabs>
          <w:tab w:val="left" w:pos="5040"/>
        </w:tabs>
        <w:ind w:left="5040" w:hanging="360"/>
      </w:pPr>
      <w:rPr>
        <w:rFonts w:hint="default" w:ascii="Times New Roman" w:hAnsi="Times New Roman"/>
      </w:rPr>
    </w:lvl>
    <w:lvl w:ilvl="7" w:tentative="0">
      <w:start w:val="1"/>
      <w:numFmt w:val="decimal"/>
      <w:lvlText w:val="%8."/>
      <w:lvlJc w:val="left"/>
      <w:pPr>
        <w:tabs>
          <w:tab w:val="left" w:pos="5760"/>
        </w:tabs>
        <w:ind w:left="5760" w:hanging="360"/>
      </w:pPr>
      <w:rPr>
        <w:rFonts w:hint="default" w:ascii="Times New Roman" w:hAnsi="Times New Roman"/>
      </w:rPr>
    </w:lvl>
    <w:lvl w:ilvl="8" w:tentative="0">
      <w:start w:val="1"/>
      <w:numFmt w:val="decimal"/>
      <w:lvlText w:val="%9."/>
      <w:lvlJc w:val="left"/>
      <w:pPr>
        <w:tabs>
          <w:tab w:val="left" w:pos="6480"/>
        </w:tabs>
        <w:ind w:left="6480" w:hanging="360"/>
      </w:pPr>
      <w:rPr>
        <w:rFonts w:hint="default" w:ascii="Times New Roman" w:hAnsi="Times New Roman"/>
      </w:rPr>
    </w:lvl>
  </w:abstractNum>
  <w:abstractNum w:abstractNumId="1">
    <w:nsid w:val="00000003"/>
    <w:multiLevelType w:val="multilevel"/>
    <w:tmpl w:val="00000003"/>
    <w:lvl w:ilvl="0"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1"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2"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3"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4"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5"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6"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7"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8"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1"/>
  <w:hdrShapeDefaults>
    <o:shapelayout v:ext="edit">
      <o:idmap v:ext="edit" data="3,4"/>
    </o:shapelayout>
  </w:hdrShapeDefaults>
  <w:compat>
    <w:doNotExpandShiftReturn/>
    <w:adjustLineHeightInTable/>
    <w:useFELayout/>
    <w:compatSetting w:name="compatibilityMode" w:uri="http://schemas.microsoft.com/office/word" w:val="14"/>
  </w:compat>
  <w:rsids>
    <w:rsidRoot w:val="00000000"/>
    <w:rsid w:val="02C61745"/>
    <w:rsid w:val="042B4422"/>
    <w:rsid w:val="05D333B0"/>
    <w:rsid w:val="0B4A5AF5"/>
    <w:rsid w:val="0F4A239B"/>
    <w:rsid w:val="175A6027"/>
    <w:rsid w:val="1B936370"/>
    <w:rsid w:val="1C835C4D"/>
    <w:rsid w:val="1EC95D6E"/>
    <w:rsid w:val="202A18A8"/>
    <w:rsid w:val="20B94F93"/>
    <w:rsid w:val="22834963"/>
    <w:rsid w:val="229677A2"/>
    <w:rsid w:val="257D0CA8"/>
    <w:rsid w:val="2B4C7761"/>
    <w:rsid w:val="2D2F0696"/>
    <w:rsid w:val="339C1C1C"/>
    <w:rsid w:val="3D794737"/>
    <w:rsid w:val="3D821A12"/>
    <w:rsid w:val="3DCD0546"/>
    <w:rsid w:val="415E2009"/>
    <w:rsid w:val="440463A4"/>
    <w:rsid w:val="4E1652B1"/>
    <w:rsid w:val="5E280D2B"/>
    <w:rsid w:val="646455CF"/>
    <w:rsid w:val="6D797D11"/>
    <w:rsid w:val="740E2C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5" w:lineRule="auto"/>
      <w:outlineLvl w:val="1"/>
    </w:pPr>
    <w:rPr>
      <w:rFonts w:ascii="Times New Roman" w:hAnsi="Times New Roman" w:eastAsia="黑体"/>
      <w:b/>
      <w:bCs/>
      <w:sz w:val="32"/>
      <w:szCs w:val="32"/>
    </w:rPr>
  </w:style>
  <w:style w:type="paragraph" w:styleId="5">
    <w:name w:val="heading 3"/>
    <w:basedOn w:val="1"/>
    <w:next w:val="1"/>
    <w:link w:val="19"/>
    <w:qFormat/>
    <w:uiPriority w:val="0"/>
    <w:pPr>
      <w:keepNext/>
      <w:keepLines/>
      <w:spacing w:before="260" w:after="260" w:line="415" w:lineRule="auto"/>
      <w:outlineLvl w:val="2"/>
    </w:pPr>
    <w:rPr>
      <w:b/>
      <w:bCs/>
      <w:sz w:val="32"/>
      <w:szCs w:val="32"/>
    </w:rPr>
  </w:style>
  <w:style w:type="character" w:default="1" w:styleId="16">
    <w:name w:val="Default Paragraph Font"/>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customStyle="1" w:styleId="2">
    <w:name w:val="TOC 1"/>
    <w:basedOn w:val="1"/>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rPr>
  </w:style>
  <w:style w:type="paragraph" w:styleId="6">
    <w:name w:val="Body Tex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rPr>
  </w:style>
  <w:style w:type="paragraph" w:customStyle="1" w:styleId="7">
    <w:name w:val="Header"/>
    <w:basedOn w:val="1"/>
    <w:qFormat/>
    <w:uiPriority w:val="0"/>
    <w:pPr>
      <w:pBdr>
        <w:bottom w:val="single" w:color="auto" w:sz="6" w:space="1"/>
      </w:pBdr>
      <w:tabs>
        <w:tab w:val="center" w:pos="4153"/>
        <w:tab w:val="right" w:pos="8307"/>
      </w:tabs>
      <w:adjustRightInd/>
      <w:snapToGrid w:val="0"/>
      <w:contextualSpacing w:val="0"/>
      <w:jc w:val="center"/>
    </w:pPr>
    <w:rPr>
      <w:sz w:val="18"/>
      <w:szCs w:val="18"/>
    </w:rPr>
  </w:style>
  <w:style w:type="paragraph" w:styleId="8">
    <w:name w:val="toc 5"/>
    <w:basedOn w:val="1"/>
    <w:next w:val="1"/>
    <w:qFormat/>
    <w:uiPriority w:val="0"/>
    <w:pPr>
      <w:ind w:left="1680"/>
    </w:pPr>
  </w:style>
  <w:style w:type="paragraph" w:styleId="9">
    <w:name w:val="toc 3"/>
    <w:basedOn w:val="1"/>
    <w:next w:val="1"/>
    <w:qFormat/>
    <w:uiPriority w:val="0"/>
    <w:pPr>
      <w:ind w:left="840"/>
    </w:pPr>
  </w:style>
  <w:style w:type="paragraph" w:styleId="10">
    <w:name w:val="footer"/>
    <w:basedOn w:val="1"/>
    <w:qFormat/>
    <w:uiPriority w:val="0"/>
    <w:pPr>
      <w:tabs>
        <w:tab w:val="center" w:pos="4153"/>
        <w:tab w:val="right" w:pos="8307"/>
      </w:tabs>
      <w:adjustRightInd/>
      <w:snapToGrid w:val="0"/>
      <w:contextualSpacing w:val="0"/>
      <w:jc w:val="left"/>
    </w:pPr>
    <w:rPr>
      <w:sz w:val="18"/>
      <w:szCs w:val="18"/>
    </w:rPr>
  </w:style>
  <w:style w:type="paragraph" w:styleId="11">
    <w:name w:val="header"/>
    <w:basedOn w:val="1"/>
    <w:qFormat/>
    <w:uiPriority w:val="0"/>
    <w:pPr>
      <w:pBdr>
        <w:bottom w:val="single" w:color="auto" w:sz="6" w:space="0"/>
      </w:pBdr>
      <w:tabs>
        <w:tab w:val="center" w:pos="4153"/>
        <w:tab w:val="right" w:pos="8307"/>
      </w:tabs>
      <w:adjustRightInd/>
      <w:snapToGrid w:val="0"/>
      <w:contextualSpacing w:val="0"/>
      <w:jc w:val="center"/>
    </w:pPr>
    <w:rPr>
      <w:sz w:val="18"/>
      <w:szCs w:val="18"/>
    </w:rPr>
  </w:style>
  <w:style w:type="paragraph" w:styleId="12">
    <w:name w:val="toc 1"/>
    <w:basedOn w:val="1"/>
    <w:next w:val="1"/>
    <w:qFormat/>
    <w:uiPriority w:val="0"/>
  </w:style>
  <w:style w:type="paragraph" w:styleId="13">
    <w:name w:val="toc 4"/>
    <w:basedOn w:val="1"/>
    <w:next w:val="1"/>
    <w:qFormat/>
    <w:uiPriority w:val="0"/>
    <w:pPr>
      <w:ind w:left="1260"/>
    </w:pPr>
  </w:style>
  <w:style w:type="paragraph" w:styleId="14">
    <w:name w:val="toc 2"/>
    <w:basedOn w:val="1"/>
    <w:next w:val="1"/>
    <w:qFormat/>
    <w:uiPriority w:val="0"/>
    <w:pPr>
      <w:ind w:left="420"/>
    </w:pPr>
  </w:style>
  <w:style w:type="character" w:customStyle="1" w:styleId="17">
    <w:name w:val="heading 1 Char"/>
    <w:basedOn w:val="16"/>
    <w:link w:val="3"/>
    <w:qFormat/>
    <w:uiPriority w:val="0"/>
    <w:rPr>
      <w:rFonts w:ascii="Calibri" w:hAnsi="Calibri" w:eastAsia="宋体" w:cs="Times New Roman"/>
      <w:b/>
      <w:bCs/>
      <w:snapToGrid/>
      <w:color w:val="auto"/>
      <w:spacing w:val="0"/>
      <w:kern w:val="44"/>
      <w:position w:val="0"/>
      <w:sz w:val="44"/>
      <w:szCs w:val="44"/>
      <w:u w:val="none" w:color="auto"/>
      <w:shd w:val="clear" w:color="auto" w:fill="auto"/>
      <w:vertAlign w:val="baseline"/>
      <w:lang w:val="en-US" w:eastAsia="zh-CN" w:bidi="ar-SA"/>
    </w:rPr>
  </w:style>
  <w:style w:type="character" w:customStyle="1" w:styleId="18">
    <w:name w:val="heading 2 Char"/>
    <w:basedOn w:val="16"/>
    <w:link w:val="4"/>
    <w:qFormat/>
    <w:uiPriority w:val="0"/>
    <w:rPr>
      <w:rFonts w:ascii="Times New Roman" w:hAnsi="Times New Roman" w:eastAsia="黑体" w:cs="Times New Roman"/>
      <w:b/>
      <w:bCs/>
      <w:snapToGrid/>
      <w:color w:val="auto"/>
      <w:spacing w:val="0"/>
      <w:kern w:val="2"/>
      <w:position w:val="0"/>
      <w:sz w:val="32"/>
      <w:szCs w:val="32"/>
      <w:u w:val="none" w:color="auto"/>
      <w:shd w:val="clear" w:color="auto" w:fill="auto"/>
      <w:vertAlign w:val="baseline"/>
      <w:lang w:val="en-US" w:eastAsia="zh-CN" w:bidi="ar-SA"/>
    </w:rPr>
  </w:style>
  <w:style w:type="character" w:customStyle="1" w:styleId="19">
    <w:name w:val="heading 3 Char"/>
    <w:basedOn w:val="16"/>
    <w:link w:val="5"/>
    <w:qFormat/>
    <w:uiPriority w:val="0"/>
    <w:rPr>
      <w:rFonts w:ascii="Calibri" w:hAnsi="Calibri" w:eastAsia="宋体" w:cs="Times New Roman"/>
      <w:b/>
      <w:bCs/>
      <w:snapToGrid/>
      <w:color w:val="auto"/>
      <w:spacing w:val="0"/>
      <w:kern w:val="2"/>
      <w:position w:val="0"/>
      <w:sz w:val="32"/>
      <w:szCs w:val="32"/>
      <w:u w:val="none" w:color="auto"/>
      <w:shd w:val="clear" w:color="auto" w:fill="auto"/>
      <w:vertAlign w:val="baseline"/>
      <w:lang w:val="en-US" w:eastAsia="zh-CN" w:bidi="ar-SA"/>
    </w:rPr>
  </w:style>
  <w:style w:type="paragraph" w:customStyle="1" w:styleId="20">
    <w:name w:val="Heading 1"/>
    <w:basedOn w:val="1"/>
    <w:next w:val="1"/>
    <w:qFormat/>
    <w:uiPriority w:val="0"/>
    <w:pPr>
      <w:keepNext/>
      <w:keepLines/>
      <w:spacing w:before="340" w:after="330" w:line="578" w:lineRule="auto"/>
      <w:outlineLvl w:val="0"/>
    </w:pPr>
    <w:rPr>
      <w:b/>
      <w:bCs/>
      <w:kern w:val="44"/>
      <w:sz w:val="44"/>
      <w:szCs w:val="44"/>
    </w:rPr>
  </w:style>
  <w:style w:type="paragraph" w:customStyle="1" w:styleId="21">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customStyle="1" w:styleId="22">
    <w:name w:val="Heading 3"/>
    <w:basedOn w:val="1"/>
    <w:next w:val="1"/>
    <w:qFormat/>
    <w:uiPriority w:val="0"/>
    <w:pPr>
      <w:keepNext/>
      <w:keepLines/>
      <w:spacing w:before="260" w:after="260" w:line="415" w:lineRule="auto"/>
      <w:outlineLvl w:val="2"/>
    </w:pPr>
    <w:rPr>
      <w:b/>
      <w:bCs/>
      <w:sz w:val="32"/>
      <w:szCs w:val="32"/>
    </w:rPr>
  </w:style>
  <w:style w:type="character" w:customStyle="1" w:styleId="23">
    <w:name w:val="DefaultParagraphFont"/>
    <w:qFormat/>
    <w:uiPriority w:val="0"/>
  </w:style>
  <w:style w:type="paragraph" w:customStyle="1" w:styleId="24">
    <w:name w:val="TOC 2"/>
    <w:basedOn w:val="1"/>
    <w:next w:val="1"/>
    <w:qFormat/>
    <w:uiPriority w:val="0"/>
    <w:pPr>
      <w:ind w:left="420"/>
    </w:pPr>
  </w:style>
  <w:style w:type="paragraph" w:customStyle="1" w:styleId="25">
    <w:name w:val="TOC 3"/>
    <w:basedOn w:val="1"/>
    <w:next w:val="1"/>
    <w:qFormat/>
    <w:uiPriority w:val="0"/>
    <w:pPr>
      <w:ind w:left="840"/>
    </w:pPr>
  </w:style>
  <w:style w:type="paragraph" w:customStyle="1" w:styleId="26">
    <w:name w:val="TOC 4"/>
    <w:basedOn w:val="1"/>
    <w:next w:val="1"/>
    <w:qFormat/>
    <w:uiPriority w:val="0"/>
    <w:pPr>
      <w:ind w:left="1260"/>
    </w:pPr>
  </w:style>
  <w:style w:type="paragraph" w:customStyle="1" w:styleId="27">
    <w:name w:val="TOC 5"/>
    <w:basedOn w:val="1"/>
    <w:next w:val="1"/>
    <w:qFormat/>
    <w:uiPriority w:val="0"/>
    <w:pPr>
      <w:ind w:left="1680"/>
    </w:pPr>
  </w:style>
  <w:style w:type="paragraph" w:customStyle="1" w:styleId="28">
    <w:name w:val="Footer"/>
    <w:basedOn w:val="1"/>
    <w:qFormat/>
    <w:uiPriority w:val="0"/>
    <w:pPr>
      <w:tabs>
        <w:tab w:val="center" w:pos="4153"/>
        <w:tab w:val="right" w:pos="8307"/>
      </w:tabs>
      <w:adjustRightInd/>
      <w:snapToGrid w:val="0"/>
      <w:contextualSpacing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71127-168A-4D29-BD01-83CD0A7CAACD}">
  <ds:schemaRefs/>
</ds:datastoreItem>
</file>

<file path=docProps/app.xml><?xml version="1.0" encoding="utf-8"?>
<Properties xmlns="http://schemas.openxmlformats.org/officeDocument/2006/extended-properties" xmlns:vt="http://schemas.openxmlformats.org/officeDocument/2006/docPropsVTypes">
  <Template>Normal.eit</Template>
  <Pages>8</Pages>
  <Words>2941</Words>
  <Characters>3010</Characters>
  <Lines>0</Lines>
  <Paragraphs>98</Paragraphs>
  <TotalTime>1</TotalTime>
  <ScaleCrop>false</ScaleCrop>
  <LinksUpToDate>false</LinksUpToDate>
  <CharactersWithSpaces>3266</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2025-01-13T10:53:00Z</dcterms:created>
  <dc:creator>91342</dc:creator>
  <cp:lastModifiedBy>Administrator</cp:lastModifiedBy>
  <dcterms:modified xsi:type="dcterms:W3CDTF">2026-05-18T01:38:52Z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eyJoZGlkIjoiNTJiMjcxNDYwMGQxY2U5ZTIxYjIxOTUzYjIyMWI5MjMiLCJ1c2VySWQiOiIyNTg2OTMxMzAifQ==</vt:lpwstr>
  </property>
  <property fmtid="{D5CDD505-2E9C-101B-9397-08002B2CF9AE}" pid="3" name="KSOProductBuildVer">
    <vt:lpwstr>2052-11.8.2.8411</vt:lpwstr>
  </property>
  <property fmtid="{D5CDD505-2E9C-101B-9397-08002B2CF9AE}" pid="4" name="ICV">
    <vt:lpwstr>BBFABE0A957E41EEA4027C772DA2DEBF_12</vt:lpwstr>
  </property>
</Properties>
</file>