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版本号：SXJTZB-ZC-GK2026070720260714001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全区中小学生体检服务项目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SXJTZB-ZC-GK20260707</w:t>
      </w:r>
      <w:r>
        <w:br/>
      </w:r>
      <w:r>
        <w:br/>
      </w:r>
      <w:r>
        <w:br/>
      </w:r>
    </w:p>
    <w:p>
      <w:pPr>
        <w:pStyle w:val="null3"/>
        <w:jc w:val="center"/>
        <w:outlineLvl w:val="2"/>
      </w:pPr>
      <w:r>
        <w:rPr>
          <w:rFonts w:ascii="仿宋_GB2312" w:hAnsi="仿宋_GB2312" w:cs="仿宋_GB2312" w:eastAsia="仿宋_GB2312"/>
          <w:sz w:val="28"/>
          <w:b/>
        </w:rPr>
        <w:t>西安市碑林区中小学卫生保健所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西安市碑林区中小学卫生保健所</w:t>
      </w:r>
      <w:r>
        <w:rPr>
          <w:rFonts w:ascii="仿宋_GB2312" w:hAnsi="仿宋_GB2312" w:cs="仿宋_GB2312" w:eastAsia="仿宋_GB2312"/>
        </w:rPr>
        <w:t>委托，拟对</w:t>
      </w:r>
      <w:r>
        <w:rPr>
          <w:rFonts w:ascii="仿宋_GB2312" w:hAnsi="仿宋_GB2312" w:cs="仿宋_GB2312" w:eastAsia="仿宋_GB2312"/>
        </w:rPr>
        <w:t>全区中小学生体检服务项目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SXJTZB-ZC-GK20260707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全区中小学生体检服务项目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碑林区66所中小学校，约十二万中小学生的基础体检和特殊体检。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3、税收缴纳证明：提供已缴纳的2025年7月至今任意一个月的纳税证明或完税证明，纳税证明或完税证明上应有代收机构或税务机关的公章或业务专用章。依法免税的供应商应提供相关文件证明；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5、履约能力：供应商须提供具有履行合同所必需的设备和专业技术能力的承诺；</w:t>
      </w:r>
    </w:p>
    <w:p>
      <w:pPr>
        <w:pStyle w:val="null3"/>
      </w:pPr>
      <w:r>
        <w:rPr>
          <w:rFonts w:ascii="仿宋_GB2312" w:hAnsi="仿宋_GB2312" w:cs="仿宋_GB2312" w:eastAsia="仿宋_GB2312"/>
        </w:rPr>
        <w:t>6、无重大违法记录书面声明：出具参加本次政府采购活动前三年内在经营活动中没有重大违法记录的书面声明；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提供法定代表人身份证明及身份证，委托代理人参加投标的提供授权委托书及委托代理人身份证，备注：分支机构由分支机构负责人授权即可；并提供被授权人在本单位缴纳的社保记录（近3个月内）；</w:t>
      </w:r>
    </w:p>
    <w:p>
      <w:pPr>
        <w:pStyle w:val="null3"/>
      </w:pPr>
      <w:r>
        <w:rPr>
          <w:rFonts w:ascii="仿宋_GB2312" w:hAnsi="仿宋_GB2312" w:cs="仿宋_GB2312" w:eastAsia="仿宋_GB2312"/>
        </w:rPr>
        <w:t>8、供应商资质：投标人需具备卫生行政部门颁发的《医疗机构执业许可证》；</w:t>
      </w:r>
    </w:p>
    <w:p>
      <w:pPr>
        <w:pStyle w:val="null3"/>
      </w:pPr>
      <w:r>
        <w:rPr>
          <w:rFonts w:ascii="仿宋_GB2312" w:hAnsi="仿宋_GB2312" w:cs="仿宋_GB2312" w:eastAsia="仿宋_GB2312"/>
        </w:rPr>
        <w:t>9、本项目不接受联合体投标：本项目不接受联合体投标（提供书面声明材料）。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西安市碑林区中小学卫生保健所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西安市碑林区东关南街古迹岭1号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029-82489650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张荷、廖丽、贾婵、曾小旦、段冬梅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预算金额为基数，参照国家计委印发的《招标代理服务收费管理暂行办法》（计价格[2002]1980号）和国家发展和改革委员会办公厅印发的《关于招标代理服务收费有关问题的通知》（发改办价格[2003]857号）的有关规定执行。 中标单位在领取中标通知书前，须向采购代理机构一次性支付招标代理服务费。 银行账户： 公司名称：陕西嘉唐建设项目管理有限公司 账 号：112011580000141313 开 户 行：西安银行股份有限公司含光门支行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西安市碑林区中小学卫生保健所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西安市碑林区中小学卫生保健所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西安市碑林区中小学卫生保健所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碑林区66所中小学校，约十二万中小学生的基础体检和特殊体检。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西安市碑林区中小学卫生保健所全区中小学生体检服务项目</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jc w:val="right"/>
            </w:pPr>
            <w:r>
              <w:rPr>
                <w:rFonts w:ascii="仿宋_GB2312" w:hAnsi="仿宋_GB2312" w:cs="仿宋_GB2312" w:eastAsia="仿宋_GB2312"/>
              </w:rPr>
              <w:t>2,400,000.00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标的名称：西安市碑林区中小学卫生保健所全区中小学生体检服务项目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碑林区</w:t>
            </w:r>
            <w:r>
              <w:rPr>
                <w:rFonts w:ascii="仿宋_GB2312" w:hAnsi="仿宋_GB2312" w:cs="仿宋_GB2312" w:eastAsia="仿宋_GB2312"/>
                <w:sz w:val="24"/>
              </w:rPr>
              <w:t>66所中小学校，约十二万中小学生的基础体检和特殊体检。</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1、项目名称：</w:t>
            </w:r>
            <w:r>
              <w:rPr>
                <w:rFonts w:ascii="仿宋_GB2312" w:hAnsi="仿宋_GB2312" w:cs="仿宋_GB2312" w:eastAsia="仿宋_GB2312"/>
                <w:sz w:val="24"/>
              </w:rPr>
              <w:t>西安市碑林区中小学卫生保健所全区中小学生体检服务项目</w:t>
            </w:r>
          </w:p>
          <w:p>
            <w:pPr>
              <w:pStyle w:val="null3"/>
              <w:ind w:firstLine="480"/>
              <w:jc w:val="both"/>
            </w:pPr>
            <w:r>
              <w:rPr>
                <w:rFonts w:ascii="仿宋_GB2312" w:hAnsi="仿宋_GB2312" w:cs="仿宋_GB2312" w:eastAsia="仿宋_GB2312"/>
                <w:sz w:val="24"/>
              </w:rPr>
              <w:t>2、项目针对人群：碑林区6</w:t>
            </w:r>
            <w:r>
              <w:rPr>
                <w:rFonts w:ascii="仿宋_GB2312" w:hAnsi="仿宋_GB2312" w:cs="仿宋_GB2312" w:eastAsia="仿宋_GB2312"/>
                <w:sz w:val="24"/>
              </w:rPr>
              <w:t>6</w:t>
            </w:r>
            <w:r>
              <w:rPr>
                <w:rFonts w:ascii="仿宋_GB2312" w:hAnsi="仿宋_GB2312" w:cs="仿宋_GB2312" w:eastAsia="仿宋_GB2312"/>
                <w:sz w:val="24"/>
              </w:rPr>
              <w:t>所学校（初高中</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所；小学</w:t>
            </w:r>
            <w:r>
              <w:rPr>
                <w:rFonts w:ascii="仿宋_GB2312" w:hAnsi="仿宋_GB2312" w:cs="仿宋_GB2312" w:eastAsia="仿宋_GB2312"/>
                <w:sz w:val="24"/>
              </w:rPr>
              <w:t>36所）</w:t>
            </w:r>
          </w:p>
          <w:p>
            <w:pPr>
              <w:pStyle w:val="null3"/>
              <w:ind w:firstLine="480"/>
              <w:jc w:val="both"/>
            </w:pPr>
            <w:r>
              <w:rPr>
                <w:rFonts w:ascii="仿宋_GB2312" w:hAnsi="仿宋_GB2312" w:cs="仿宋_GB2312" w:eastAsia="仿宋_GB2312"/>
                <w:sz w:val="24"/>
              </w:rPr>
              <w:t>3、项目人数：检查人数约十</w:t>
            </w:r>
            <w:r>
              <w:rPr>
                <w:rFonts w:ascii="仿宋_GB2312" w:hAnsi="仿宋_GB2312" w:cs="仿宋_GB2312" w:eastAsia="仿宋_GB2312"/>
                <w:sz w:val="24"/>
              </w:rPr>
              <w:t>二</w:t>
            </w:r>
            <w:r>
              <w:rPr>
                <w:rFonts w:ascii="仿宋_GB2312" w:hAnsi="仿宋_GB2312" w:cs="仿宋_GB2312" w:eastAsia="仿宋_GB2312"/>
                <w:sz w:val="24"/>
              </w:rPr>
              <w:t>万人（具体以实际检查人数为准）。</w:t>
            </w:r>
          </w:p>
          <w:p>
            <w:pPr>
              <w:pStyle w:val="null3"/>
              <w:ind w:firstLine="480"/>
              <w:jc w:val="both"/>
            </w:pPr>
            <w:r>
              <w:rPr>
                <w:rFonts w:ascii="仿宋_GB2312" w:hAnsi="仿宋_GB2312" w:cs="仿宋_GB2312" w:eastAsia="仿宋_GB2312"/>
                <w:sz w:val="24"/>
              </w:rPr>
              <w:t>4、体检项目：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1）内科常规检查：心、肺、肝、脾；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2）眼科检查：视力、色觉、沙眼、结膜炎；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3）口腔科检查：牙齿、牙周；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4）耳鼻咽喉检查：听力、耳、鼻、咽、喉、扁桃体；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5）外科检查：头部、颈部、胸部、脊柱、四肢、皮肤、淋巴结；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6）形体指标检查：身高、体重、胸围、营养评价；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7）机能指标检查：肺活量、脉搏、血压；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8）实验室检查：</w:t>
            </w:r>
          </w:p>
          <w:p>
            <w:pPr>
              <w:pStyle w:val="null3"/>
              <w:ind w:firstLine="480"/>
              <w:jc w:val="both"/>
            </w:pPr>
            <w:r>
              <w:rPr>
                <w:rFonts w:ascii="仿宋_GB2312" w:hAnsi="仿宋_GB2312" w:cs="仿宋_GB2312" w:eastAsia="仿宋_GB2312"/>
                <w:sz w:val="24"/>
              </w:rPr>
              <w:t>①血红蛋白；</w:t>
            </w:r>
          </w:p>
          <w:p>
            <w:pPr>
              <w:pStyle w:val="null3"/>
              <w:ind w:firstLine="480"/>
              <w:jc w:val="both"/>
            </w:pPr>
            <w:r>
              <w:rPr>
                <w:rFonts w:ascii="仿宋_GB2312" w:hAnsi="仿宋_GB2312" w:cs="仿宋_GB2312" w:eastAsia="仿宋_GB2312"/>
                <w:sz w:val="24"/>
              </w:rPr>
              <w:t>②结核菌素试验；</w:t>
            </w:r>
          </w:p>
          <w:p>
            <w:pPr>
              <w:pStyle w:val="null3"/>
              <w:ind w:firstLine="480"/>
              <w:jc w:val="both"/>
            </w:pPr>
            <w:r>
              <w:rPr>
                <w:rFonts w:ascii="仿宋_GB2312" w:hAnsi="仿宋_GB2312" w:cs="仿宋_GB2312" w:eastAsia="仿宋_GB2312"/>
                <w:sz w:val="24"/>
              </w:rPr>
              <w:t>③肝功能：谷丙转氨酶、胆红素。</w:t>
            </w:r>
          </w:p>
          <w:p>
            <w:pPr>
              <w:pStyle w:val="null3"/>
              <w:jc w:val="left"/>
            </w:pPr>
            <w:r>
              <w:rPr>
                <w:rFonts w:ascii="仿宋_GB2312" w:hAnsi="仿宋_GB2312" w:cs="仿宋_GB2312" w:eastAsia="仿宋_GB2312"/>
                <w:sz w:val="24"/>
                <w:b/>
              </w:rPr>
              <w:t>三、项目实施时间</w:t>
            </w:r>
          </w:p>
          <w:p>
            <w:pPr>
              <w:pStyle w:val="null3"/>
              <w:ind w:firstLine="480"/>
              <w:jc w:val="both"/>
            </w:pPr>
            <w:r>
              <w:rPr>
                <w:rFonts w:ascii="仿宋_GB2312" w:hAnsi="仿宋_GB2312" w:cs="仿宋_GB2312" w:eastAsia="仿宋_GB2312"/>
                <w:sz w:val="24"/>
              </w:rPr>
              <w:t>9月上旬开始入校进行学生体检，12月底全区学生结束体检，次年4月底以前完成全部体检数据统计及分析工作。</w:t>
            </w:r>
          </w:p>
          <w:p>
            <w:pPr>
              <w:pStyle w:val="null3"/>
              <w:jc w:val="both"/>
            </w:pPr>
            <w:r>
              <w:rPr>
                <w:rFonts w:ascii="仿宋_GB2312" w:hAnsi="仿宋_GB2312" w:cs="仿宋_GB2312" w:eastAsia="仿宋_GB2312"/>
                <w:sz w:val="24"/>
                <w:b/>
              </w:rPr>
              <w:t>四、检查地点</w:t>
            </w:r>
          </w:p>
          <w:p>
            <w:pPr>
              <w:pStyle w:val="null3"/>
              <w:ind w:firstLine="480"/>
              <w:jc w:val="both"/>
            </w:pPr>
            <w:r>
              <w:rPr>
                <w:rFonts w:ascii="仿宋_GB2312" w:hAnsi="仿宋_GB2312" w:cs="仿宋_GB2312" w:eastAsia="仿宋_GB2312"/>
                <w:sz w:val="24"/>
              </w:rPr>
              <w:t>碑林区</w:t>
            </w:r>
            <w:r>
              <w:rPr>
                <w:rFonts w:ascii="仿宋_GB2312" w:hAnsi="仿宋_GB2312" w:cs="仿宋_GB2312" w:eastAsia="仿宋_GB2312"/>
                <w:sz w:val="24"/>
              </w:rPr>
              <w:t>6</w:t>
            </w:r>
            <w:r>
              <w:rPr>
                <w:rFonts w:ascii="仿宋_GB2312" w:hAnsi="仿宋_GB2312" w:cs="仿宋_GB2312" w:eastAsia="仿宋_GB2312"/>
                <w:sz w:val="24"/>
              </w:rPr>
              <w:t>6</w:t>
            </w:r>
            <w:r>
              <w:rPr>
                <w:rFonts w:ascii="仿宋_GB2312" w:hAnsi="仿宋_GB2312" w:cs="仿宋_GB2312" w:eastAsia="仿宋_GB2312"/>
                <w:sz w:val="24"/>
              </w:rPr>
              <w:t>所学校（初高中</w:t>
            </w:r>
            <w:r>
              <w:rPr>
                <w:rFonts w:ascii="仿宋_GB2312" w:hAnsi="仿宋_GB2312" w:cs="仿宋_GB2312" w:eastAsia="仿宋_GB2312"/>
                <w:sz w:val="24"/>
              </w:rPr>
              <w:t>3</w:t>
            </w:r>
            <w:r>
              <w:rPr>
                <w:rFonts w:ascii="仿宋_GB2312" w:hAnsi="仿宋_GB2312" w:cs="仿宋_GB2312" w:eastAsia="仿宋_GB2312"/>
                <w:sz w:val="24"/>
              </w:rPr>
              <w:t>0</w:t>
            </w:r>
            <w:r>
              <w:rPr>
                <w:rFonts w:ascii="仿宋_GB2312" w:hAnsi="仿宋_GB2312" w:cs="仿宋_GB2312" w:eastAsia="仿宋_GB2312"/>
                <w:sz w:val="24"/>
              </w:rPr>
              <w:t>所；小学</w:t>
            </w:r>
            <w:r>
              <w:rPr>
                <w:rFonts w:ascii="仿宋_GB2312" w:hAnsi="仿宋_GB2312" w:cs="仿宋_GB2312" w:eastAsia="仿宋_GB2312"/>
                <w:sz w:val="24"/>
              </w:rPr>
              <w:t>36所）</w:t>
            </w:r>
          </w:p>
          <w:p>
            <w:pPr>
              <w:pStyle w:val="null3"/>
              <w:jc w:val="both"/>
            </w:pPr>
            <w:r>
              <w:rPr>
                <w:rFonts w:ascii="仿宋_GB2312" w:hAnsi="仿宋_GB2312" w:cs="仿宋_GB2312" w:eastAsia="仿宋_GB2312"/>
                <w:sz w:val="24"/>
                <w:b/>
              </w:rPr>
              <w:t>五、项目实施方式</w:t>
            </w:r>
          </w:p>
          <w:p>
            <w:pPr>
              <w:pStyle w:val="null3"/>
              <w:ind w:firstLine="480"/>
              <w:jc w:val="both"/>
            </w:pPr>
            <w:r>
              <w:rPr>
                <w:rFonts w:ascii="仿宋_GB2312" w:hAnsi="仿宋_GB2312" w:cs="仿宋_GB2312" w:eastAsia="仿宋_GB2312"/>
                <w:sz w:val="24"/>
              </w:rPr>
              <w:t>1.医疗机构组织相关专业医务人员到甲方指定的学校去给学生做体检，并对检查环境进行消毒，保障检查工作的安全。</w:t>
            </w:r>
          </w:p>
          <w:p>
            <w:pPr>
              <w:pStyle w:val="null3"/>
              <w:ind w:firstLine="480"/>
              <w:jc w:val="both"/>
            </w:pPr>
            <w:r>
              <w:rPr>
                <w:rFonts w:ascii="仿宋_GB2312" w:hAnsi="仿宋_GB2312" w:cs="仿宋_GB2312" w:eastAsia="仿宋_GB2312"/>
                <w:sz w:val="24"/>
              </w:rPr>
              <w:t>2.其它需要说明问题：（1）检查过程中所需要的设备和耗材，除非招标文件说明，全部由乙方提供，如需使用校医院现有设备请按双方约定</w:t>
            </w:r>
            <w:r>
              <w:rPr>
                <w:rFonts w:ascii="仿宋_GB2312" w:hAnsi="仿宋_GB2312" w:cs="仿宋_GB2312" w:eastAsia="仿宋_GB2312"/>
                <w:sz w:val="24"/>
              </w:rPr>
              <w:t>缴纳</w:t>
            </w:r>
            <w:r>
              <w:rPr>
                <w:rFonts w:ascii="仿宋_GB2312" w:hAnsi="仿宋_GB2312" w:cs="仿宋_GB2312" w:eastAsia="仿宋_GB2312"/>
                <w:sz w:val="24"/>
              </w:rPr>
              <w:t>一定的设备折旧费；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2）乙方要按照检查人数安排导医维持检查秩序，并投入足够量的人员和设备，尽量减少排队等候时间；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3）乙方要在检查前根据校医院提供的名单打印检查指引单，并提前一天到校医院合理安排检查布局，尽量保证检查场所的私密性；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4）检查中所需采血针等耗材保证为合格的一次性材料，严格杜绝交叉感染；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5）检查后乙方需处置检查产生的医疗垃圾；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6）乙方要保证参检人员与投标时提交人员资质情况完全相符；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7）乙方要提供参检携带设备相关许可证复印件；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8）乙方充分做好结核菌素皮肤试验操作前的准备工作，于左前臂掌侧中下1/3 交界处，缓慢准确地注射0.1ml（含2IU PPD），呈直径约为6mm～8mm大小圆形桔皮样皮丘为宜。72小时（48h～96h）后仔细检查反应，以局部皮下硬结为准。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9）乙方要规范、严谨地为每一位参检者提供独立的检查报告，保证结果科学、可靠。</w:t>
            </w:r>
          </w:p>
          <w:p>
            <w:pPr>
              <w:pStyle w:val="null3"/>
              <w:jc w:val="both"/>
            </w:pPr>
            <w:r>
              <w:rPr>
                <w:rFonts w:ascii="仿宋_GB2312" w:hAnsi="仿宋_GB2312" w:cs="仿宋_GB2312" w:eastAsia="仿宋_GB2312"/>
                <w:sz w:val="24"/>
                <w:b/>
              </w:rPr>
              <w:t>六、商务要求</w:t>
            </w:r>
          </w:p>
          <w:p>
            <w:pPr>
              <w:pStyle w:val="null3"/>
              <w:ind w:firstLine="480"/>
              <w:jc w:val="both"/>
            </w:pPr>
            <w:r>
              <w:rPr>
                <w:rFonts w:ascii="仿宋_GB2312" w:hAnsi="仿宋_GB2312" w:cs="仿宋_GB2312" w:eastAsia="仿宋_GB2312"/>
                <w:sz w:val="24"/>
              </w:rPr>
              <w:t>1.服务期限</w:t>
            </w:r>
          </w:p>
          <w:p>
            <w:pPr>
              <w:pStyle w:val="null3"/>
              <w:ind w:firstLine="480"/>
              <w:jc w:val="both"/>
            </w:pPr>
            <w:r>
              <w:rPr>
                <w:rFonts w:ascii="仿宋_GB2312" w:hAnsi="仿宋_GB2312" w:cs="仿宋_GB2312" w:eastAsia="仿宋_GB2312"/>
                <w:sz w:val="24"/>
              </w:rPr>
              <w:t>9月上旬开始入校进行学生体检，12月底全区学生结束体检，次年4月底以前完成全部体检数据统计及分析工作。</w:t>
            </w:r>
          </w:p>
          <w:p>
            <w:pPr>
              <w:pStyle w:val="null3"/>
              <w:ind w:firstLine="480"/>
              <w:jc w:val="both"/>
            </w:pPr>
            <w:r>
              <w:rPr>
                <w:rFonts w:ascii="仿宋_GB2312" w:hAnsi="仿宋_GB2312" w:cs="仿宋_GB2312" w:eastAsia="仿宋_GB2312"/>
                <w:sz w:val="24"/>
              </w:rPr>
              <w:t>2.合同有效期</w:t>
            </w:r>
          </w:p>
          <w:p>
            <w:pPr>
              <w:pStyle w:val="null3"/>
              <w:ind w:firstLine="480"/>
              <w:jc w:val="both"/>
            </w:pPr>
            <w:r>
              <w:rPr>
                <w:rFonts w:ascii="仿宋_GB2312" w:hAnsi="仿宋_GB2312" w:cs="仿宋_GB2312" w:eastAsia="仿宋_GB2312"/>
                <w:sz w:val="24"/>
              </w:rPr>
              <w:t>自合同签订之日起</w:t>
            </w:r>
            <w:r>
              <w:rPr>
                <w:rFonts w:ascii="仿宋_GB2312" w:hAnsi="仿宋_GB2312" w:cs="仿宋_GB2312" w:eastAsia="仿宋_GB2312"/>
                <w:sz w:val="24"/>
              </w:rPr>
              <w:t>9月上旬开始入校进行学生体检，12月底全区学生结束体检，次年4月底以前完</w:t>
            </w:r>
            <w:r>
              <w:rPr>
                <w:rFonts w:ascii="仿宋_GB2312" w:hAnsi="仿宋_GB2312" w:cs="仿宋_GB2312" w:eastAsia="仿宋_GB2312"/>
                <w:sz w:val="24"/>
              </w:rPr>
              <w:t>成全部体检数据统计及分析工作。</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.款项结算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）费用支付：完成全部体检工作后</w:t>
            </w:r>
            <w:r>
              <w:rPr>
                <w:rFonts w:ascii="仿宋_GB2312" w:hAnsi="仿宋_GB2312" w:cs="仿宋_GB2312" w:eastAsia="仿宋_GB2312"/>
                <w:sz w:val="24"/>
              </w:rPr>
              <w:t>，</w:t>
            </w:r>
            <w:r>
              <w:rPr>
                <w:rFonts w:ascii="仿宋_GB2312" w:hAnsi="仿宋_GB2312" w:cs="仿宋_GB2312" w:eastAsia="仿宋_GB2312"/>
                <w:sz w:val="24"/>
              </w:rPr>
              <w:t>15个工作日内</w:t>
            </w:r>
            <w:r>
              <w:rPr>
                <w:rFonts w:ascii="仿宋_GB2312" w:hAnsi="仿宋_GB2312" w:cs="仿宋_GB2312" w:eastAsia="仿宋_GB2312"/>
                <w:sz w:val="24"/>
              </w:rPr>
              <w:t>一次性付清。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）费用结算方法：按照实际参加体检的人数，以乙方投标时提供的个人投标报价为单价，计算总价。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）结算方式：银行转账。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4）结算单位：由碑林区各中小学自行结算，乙方根据各中小学实际体检人数开具相应金额的全额发票并交于各中小学。</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9月上旬开始入校进行学生体检，12月底全区学生结束体检，次年4月底以前完成全部体检数据统计及分析工作。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进度款，完成全部体检工作后，达到付款条件起15个工作日内，支付合同总金额的100.0%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①本项目报价方式为单价；②本项目单价最高限价：20元/人；投标人报价超出最高限价的，作为不实质性响应招标文件，按无效投标处理。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提供已缴纳的2025年7月至今任意一个月的纳税证明或完税证明，纳税证明或完税证明上应有代收机构或税务机关的公章或业务专用章。依法免税的供应商应提供相关文件证明；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7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备注：分支机构由分支机构负责人授权即可；并提供被授权人在本单位缴纳的社保记录（近3个月内）；</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投标人需具备卫生行政部门颁发的《医疗机构执业许可证》；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分项明细报价表.docx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投标文件的计量单位、语言、报价货币、投标有效期</w:t>
            </w:r>
          </w:p>
        </w:tc>
        <w:tc>
          <w:tcPr>
            <w:tcW w:type="dxa" w:w="3322"/>
          </w:tcPr>
          <w:p>
            <w:pPr>
              <w:pStyle w:val="null3"/>
            </w:pPr>
            <w:r>
              <w:rPr>
                <w:rFonts w:ascii="仿宋_GB2312" w:hAnsi="仿宋_GB2312" w:cs="仿宋_GB2312" w:eastAsia="仿宋_GB2312"/>
              </w:rPr>
              <w:t>计量单位、语言、报价货币、投标有效期均符合招标文件的要求。</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分项明细报价表.docx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按照招标文件格式编写，无缺漏项。</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分项明细报价表.docx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投标内容的完整性</w:t>
            </w:r>
          </w:p>
        </w:tc>
        <w:tc>
          <w:tcPr>
            <w:tcW w:type="dxa" w:w="3322"/>
          </w:tcPr>
          <w:p>
            <w:pPr>
              <w:pStyle w:val="null3"/>
            </w:pPr>
            <w:r>
              <w:rPr>
                <w:rFonts w:ascii="仿宋_GB2312" w:hAnsi="仿宋_GB2312" w:cs="仿宋_GB2312" w:eastAsia="仿宋_GB2312"/>
              </w:rPr>
              <w:t>投标文件内容未出现漏项或数量与要求不符。</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分项明细报价表.docx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符合招标文件要求 1.投标报价符合唯一性要求； 2.未超出采购预算或招标文件规定的最高限价；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完整响应招标文件商务条款</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一、评审内容：制定科学完善的服务方案，①体检前的服务内容及安排；②体检中的服务内容及安排（包含集中体检周期、后期补检周期、报告质保周期）；③体检后的服务内容及安排；④体检场地安排等内容 二、评审标准：1、完整性：方案（内容）须全面，对评审内容中的各项要求有详细描述；2、可实施性：切合本项目实际情况，提出步骤清晰、合理的方案（内容）；3、针对性：方案（内容）能够紧扣项目实际情况，内容科学合理。 三、赋分依据（满分12分）：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一、评审内容：①质量保障措施；②质量管理制度。 二、评审标准:1、完整性:方案(内容)须全面，对评审内容中的各项要求有详细描述;2、可实施性及针对性:切合本项目实际情况，提出步骤清晰、合理的方案(内容)。 三、赋分标准(满分4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一、提供针对本项目的应急处理措施及解决方案①体检者因身体原因感觉不适的应对处理②投标人仪器故障，导致未能按时出具检测报告的补救措施 二、评审标准：1、完整性：方案（内容）须全面，对评审内容中的各项要求有详细描述；2、可实施性：切合本项目实际情况，提出步骤清晰、合理的方案（内容）；3、针对性：方案（内容）能够紧扣项目实际情况，内容科学合理。 三、赋分依据（满分6分）：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一、评审内容：针对本项目提供体检报告及保密措施，①参检人员所有信息数据保密方案；②体检结果保密措施。 二、评审标准：1、完整性：方案（内容）须全面，对评审内容中的各项要求有详细描述；2、可实施性：切合本项目实际情况，提出步骤清晰、合理的方案（内容）；3、针对性：方案（内容）能够紧扣项目实际情况，内容科学合理。 三、赋分依据（满分6分）：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一、评审内容：①为体检人员提供早餐服务②提供健康管理建议，必要时可开设健康讲座。 二、评审标准：1、完整性：方案（内容）须全面，对评审内容中的各项要求有详细描述；2、可实施性：切合本项目实际情况，提出步骤清晰、合理的方案（内容）；3、针对性：方案（内容）能够紧扣项目实际情况，内容科学合理。 三、赋分依据（满分6分）：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专业意见及治疗方案</w:t>
            </w:r>
          </w:p>
        </w:tc>
        <w:tc>
          <w:tcPr>
            <w:tcW w:type="dxa" w:w="2492"/>
          </w:tcPr>
          <w:p>
            <w:pPr>
              <w:pStyle w:val="null3"/>
            </w:pPr>
            <w:r>
              <w:rPr>
                <w:rFonts w:ascii="仿宋_GB2312" w:hAnsi="仿宋_GB2312" w:cs="仿宋_GB2312" w:eastAsia="仿宋_GB2312"/>
              </w:rPr>
              <w:t>一、评审内容：根据体检报告中出现的异常指标出具详细的①专业意见②治疗方案。 二、评审标准：1、完整性：方案（内容）须全面，对评审内容中的各项要求有详细描述；2、可实施性：切合本项目实际情况，提出步骤清晰、合理的方案（内容）；3、针对性：方案（内容）能够紧扣项目实际情况，内容科学合理。 三、赋分依据（满分6分）：每项评审内容满分3分，每项评审内容满足一条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1.项目团队中内、外、眼、耳鼻喉、口腔、检验岗位人员（基础要求6人）均要有对应专业中级及以上职称，在此基础上每增加1名中级及以上职称人员的得2分，最高得10分; 备注：提供相应人员的身份证、执业证（检验岗位可不提供）、职称证书及2026年至今任意一个月社保证明或劳动合同。同一人员具备多项职称的，不重复计分。 。资料提供不全或未提供不得分。 2.所提供的团队中，具备副高级及以上技术职称人数≤6人的得5分，在此基础上（基础要求6人）每有一人具备副高级及以上技术职称的加2.5分，最多加5分。本项满分10分。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1、提供每项检测内容所需的检测设备，体现设备性能、用途、来源渠道、使用年限及检/审标识或报告，每提供一个得1分，最高得5分。提供不全不得分。 2、投标单位有独立的学生体检软件分析系统，提供购买合同或发票并附带产品说明，提供完整得10分。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投标单位提供同类项目业绩合同、发票及客户评价单（以签订日期自2023年7月1日至今的合同为准，复印件加盖公章），每提供一份计1分，最高15分。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1、经初审合格的响应文件，其投标报价为有效报价。2、满足招标文件实质性要求且报价最低的供应商的价格为评标基准价，其价格分为满分10分。3、投标报价得分=（评标基准价/投标报价）×10。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详见附件：分项明细报价表.docx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