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6F981">
      <w:pPr>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lang w:eastAsia="zh-CN"/>
          <w14:textFill>
            <w14:solidFill>
              <w14:schemeClr w14:val="tx1"/>
            </w14:solidFill>
          </w14:textFill>
        </w:rPr>
        <w:t>西安市碑林区中小学卫生保健所全区中小学生体检服务项目</w:t>
      </w:r>
    </w:p>
    <w:p w14:paraId="1B3B1A3E">
      <w:pPr>
        <w:pStyle w:val="4"/>
        <w:rPr>
          <w:rFonts w:hint="eastAsia" w:ascii="仿宋" w:hAnsi="仿宋" w:eastAsia="仿宋" w:cs="仿宋"/>
          <w:b/>
          <w:color w:val="000000" w:themeColor="text1"/>
          <w:sz w:val="52"/>
          <w:szCs w:val="52"/>
          <w:highlight w:val="none"/>
          <w14:textFill>
            <w14:solidFill>
              <w14:schemeClr w14:val="tx1"/>
            </w14:solidFill>
          </w14:textFill>
        </w:rPr>
      </w:pPr>
    </w:p>
    <w:p w14:paraId="558B9250">
      <w:pPr>
        <w:rPr>
          <w:rFonts w:hint="eastAsia" w:ascii="仿宋" w:hAnsi="仿宋" w:eastAsia="仿宋" w:cs="仿宋"/>
          <w:color w:val="000000" w:themeColor="text1"/>
          <w:sz w:val="20"/>
          <w:szCs w:val="22"/>
          <w:highlight w:val="none"/>
          <w14:textFill>
            <w14:solidFill>
              <w14:schemeClr w14:val="tx1"/>
            </w14:solidFill>
          </w14:textFill>
        </w:rPr>
      </w:pPr>
    </w:p>
    <w:p w14:paraId="39872E7E">
      <w:pPr>
        <w:jc w:val="center"/>
        <w:rPr>
          <w:rFonts w:hint="eastAsia" w:ascii="仿宋" w:hAnsi="仿宋" w:eastAsia="仿宋" w:cs="仿宋"/>
          <w:b/>
          <w:color w:val="000000" w:themeColor="text1"/>
          <w:sz w:val="44"/>
          <w:szCs w:val="44"/>
          <w:highlight w:val="none"/>
          <w14:textFill>
            <w14:solidFill>
              <w14:schemeClr w14:val="tx1"/>
            </w14:solidFill>
          </w14:textFill>
        </w:rPr>
      </w:pPr>
      <w:r>
        <w:rPr>
          <w:rFonts w:hint="eastAsia" w:ascii="仿宋" w:hAnsi="仿宋" w:eastAsia="仿宋" w:cs="仿宋"/>
          <w:b/>
          <w:color w:val="000000" w:themeColor="text1"/>
          <w:sz w:val="44"/>
          <w:szCs w:val="44"/>
          <w:highlight w:val="none"/>
          <w14:textFill>
            <w14:solidFill>
              <w14:schemeClr w14:val="tx1"/>
            </w14:solidFill>
          </w14:textFill>
        </w:rPr>
        <w:t>合 同 书</w:t>
      </w:r>
    </w:p>
    <w:p w14:paraId="4026E42A">
      <w:pPr>
        <w:jc w:val="center"/>
        <w:rPr>
          <w:rFonts w:hint="eastAsia" w:ascii="仿宋" w:hAnsi="仿宋" w:eastAsia="仿宋" w:cs="仿宋"/>
          <w:b/>
          <w:color w:val="000000" w:themeColor="text1"/>
          <w:sz w:val="44"/>
          <w:szCs w:val="44"/>
          <w:highlight w:val="none"/>
          <w14:textFill>
            <w14:solidFill>
              <w14:schemeClr w14:val="tx1"/>
            </w14:solidFill>
          </w14:textFill>
        </w:rPr>
      </w:pPr>
    </w:p>
    <w:p w14:paraId="58052CC5">
      <w:pPr>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合同编号：</w:t>
      </w:r>
      <w:r>
        <w:rPr>
          <w:rFonts w:hint="eastAsia" w:ascii="仿宋" w:hAnsi="仿宋" w:eastAsia="仿宋" w:cs="仿宋"/>
          <w:b/>
          <w:bCs/>
          <w:color w:val="000000" w:themeColor="text1"/>
          <w:sz w:val="28"/>
          <w:szCs w:val="28"/>
          <w:highlight w:val="none"/>
          <w14:textFill>
            <w14:solidFill>
              <w14:schemeClr w14:val="tx1"/>
            </w14:solidFill>
          </w14:textFill>
        </w:rPr>
        <w:t>XXXX</w:t>
      </w:r>
    </w:p>
    <w:p w14:paraId="69D7BC7A">
      <w:pPr>
        <w:rPr>
          <w:rFonts w:hint="eastAsia" w:ascii="仿宋" w:hAnsi="仿宋" w:eastAsia="仿宋" w:cs="仿宋"/>
          <w:b/>
          <w:color w:val="000000" w:themeColor="text1"/>
          <w:sz w:val="20"/>
          <w:szCs w:val="22"/>
          <w:highlight w:val="none"/>
          <w14:textFill>
            <w14:solidFill>
              <w14:schemeClr w14:val="tx1"/>
            </w14:solidFill>
          </w14:textFill>
        </w:rPr>
      </w:pPr>
    </w:p>
    <w:p w14:paraId="32B45FD6">
      <w:pPr>
        <w:rPr>
          <w:rFonts w:hint="eastAsia" w:ascii="仿宋" w:hAnsi="仿宋" w:eastAsia="仿宋" w:cs="仿宋"/>
          <w:b/>
          <w:color w:val="000000" w:themeColor="text1"/>
          <w:sz w:val="20"/>
          <w:szCs w:val="22"/>
          <w:highlight w:val="none"/>
          <w14:textFill>
            <w14:solidFill>
              <w14:schemeClr w14:val="tx1"/>
            </w14:solidFill>
          </w14:textFill>
        </w:rPr>
      </w:pPr>
    </w:p>
    <w:p w14:paraId="58E1AEC9">
      <w:pPr>
        <w:rPr>
          <w:rFonts w:hint="eastAsia" w:ascii="仿宋" w:hAnsi="仿宋" w:eastAsia="仿宋" w:cs="仿宋"/>
          <w:b/>
          <w:color w:val="000000" w:themeColor="text1"/>
          <w:sz w:val="20"/>
          <w:szCs w:val="22"/>
          <w:highlight w:val="none"/>
          <w14:textFill>
            <w14:solidFill>
              <w14:schemeClr w14:val="tx1"/>
            </w14:solidFill>
          </w14:textFill>
        </w:rPr>
      </w:pPr>
    </w:p>
    <w:p w14:paraId="517263CB">
      <w:pPr>
        <w:rPr>
          <w:rFonts w:hint="eastAsia" w:ascii="仿宋" w:hAnsi="仿宋" w:eastAsia="仿宋" w:cs="仿宋"/>
          <w:b/>
          <w:color w:val="000000" w:themeColor="text1"/>
          <w:sz w:val="20"/>
          <w:szCs w:val="22"/>
          <w:highlight w:val="none"/>
          <w14:textFill>
            <w14:solidFill>
              <w14:schemeClr w14:val="tx1"/>
            </w14:solidFill>
          </w14:textFill>
        </w:rPr>
      </w:pPr>
    </w:p>
    <w:p w14:paraId="04C9A84D">
      <w:pPr>
        <w:pStyle w:val="4"/>
        <w:rPr>
          <w:rFonts w:hint="eastAsia" w:ascii="仿宋" w:hAnsi="仿宋" w:eastAsia="仿宋" w:cs="仿宋"/>
          <w:color w:val="000000" w:themeColor="text1"/>
          <w:sz w:val="20"/>
          <w:szCs w:val="22"/>
          <w:highlight w:val="none"/>
          <w14:textFill>
            <w14:solidFill>
              <w14:schemeClr w14:val="tx1"/>
            </w14:solidFill>
          </w14:textFill>
        </w:rPr>
      </w:pPr>
    </w:p>
    <w:p w14:paraId="66A69FA4">
      <w:pPr>
        <w:pStyle w:val="4"/>
        <w:rPr>
          <w:rFonts w:hint="eastAsia" w:ascii="仿宋" w:hAnsi="仿宋" w:eastAsia="仿宋" w:cs="仿宋"/>
          <w:color w:val="000000" w:themeColor="text1"/>
          <w:sz w:val="20"/>
          <w:szCs w:val="22"/>
          <w:highlight w:val="none"/>
          <w14:textFill>
            <w14:solidFill>
              <w14:schemeClr w14:val="tx1"/>
            </w14:solidFill>
          </w14:textFill>
        </w:rPr>
      </w:pPr>
    </w:p>
    <w:p w14:paraId="14F36019">
      <w:pPr>
        <w:spacing w:line="360" w:lineRule="auto"/>
        <w:ind w:left="1469" w:hanging="1148" w:hangingChars="400"/>
        <w:jc w:val="center"/>
        <w:rPr>
          <w:rFonts w:hint="eastAsia" w:ascii="仿宋" w:hAnsi="仿宋" w:eastAsia="仿宋" w:cs="仿宋"/>
          <w:b/>
          <w:color w:val="000000" w:themeColor="text1"/>
          <w:spacing w:val="23"/>
          <w:sz w:val="24"/>
          <w:szCs w:val="24"/>
          <w:highlight w:val="none"/>
          <w14:textFill>
            <w14:solidFill>
              <w14:schemeClr w14:val="tx1"/>
            </w14:solidFill>
          </w14:textFill>
        </w:rPr>
      </w:pPr>
      <w:r>
        <w:rPr>
          <w:rFonts w:hint="eastAsia" w:ascii="仿宋" w:hAnsi="仿宋" w:eastAsia="仿宋" w:cs="仿宋"/>
          <w:b/>
          <w:color w:val="000000" w:themeColor="text1"/>
          <w:spacing w:val="23"/>
          <w:sz w:val="24"/>
          <w:szCs w:val="24"/>
          <w:highlight w:val="none"/>
          <w14:textFill>
            <w14:solidFill>
              <w14:schemeClr w14:val="tx1"/>
            </w14:solidFill>
          </w14:textFill>
        </w:rPr>
        <w:t>甲方(采购人)：</w:t>
      </w:r>
      <w:r>
        <w:rPr>
          <w:rFonts w:hint="eastAsia" w:ascii="仿宋" w:hAnsi="仿宋" w:eastAsia="仿宋" w:cs="仿宋"/>
          <w:color w:val="000000" w:themeColor="text1"/>
          <w:spacing w:val="23"/>
          <w:sz w:val="24"/>
          <w:szCs w:val="24"/>
          <w:highlight w:val="none"/>
          <w:u w:val="single"/>
          <w14:textFill>
            <w14:solidFill>
              <w14:schemeClr w14:val="tx1"/>
            </w14:solidFill>
          </w14:textFill>
        </w:rPr>
        <w:t></w:t>
      </w:r>
    </w:p>
    <w:p w14:paraId="6F779420">
      <w:pPr>
        <w:spacing w:line="360" w:lineRule="auto"/>
        <w:ind w:left="840" w:hanging="720" w:hangingChars="400"/>
        <w:jc w:val="center"/>
        <w:rPr>
          <w:rFonts w:hint="eastAsia" w:ascii="仿宋" w:hAnsi="仿宋" w:eastAsia="仿宋" w:cs="仿宋"/>
          <w:color w:val="000000" w:themeColor="text1"/>
          <w:spacing w:val="23"/>
          <w:sz w:val="24"/>
          <w:szCs w:val="24"/>
          <w:highlight w:val="none"/>
          <w:u w:val="single"/>
          <w14:textFill>
            <w14:solidFill>
              <w14:schemeClr w14:val="tx1"/>
            </w14:solidFill>
          </w14:textFill>
        </w:rPr>
      </w:pPr>
      <w:r>
        <w:rPr>
          <w:rFonts w:hint="eastAsia" w:ascii="仿宋" w:hAnsi="仿宋" w:eastAsia="仿宋" w:cs="仿宋"/>
          <w:sz w:val="18"/>
          <w:szCs w:val="21"/>
          <w:highlight w:val="none"/>
        </w:rPr>
        <w:fldChar w:fldCharType="begin"/>
      </w:r>
      <w:r>
        <w:rPr>
          <w:rFonts w:hint="eastAsia" w:ascii="仿宋" w:hAnsi="仿宋" w:eastAsia="仿宋" w:cs="仿宋"/>
          <w:sz w:val="18"/>
          <w:szCs w:val="21"/>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sz w:val="18"/>
          <w:szCs w:val="21"/>
          <w:highlight w:val="none"/>
        </w:rPr>
        <w:fldChar w:fldCharType="separate"/>
      </w:r>
      <w:r>
        <w:rPr>
          <w:rFonts w:hint="eastAsia" w:ascii="仿宋" w:hAnsi="仿宋" w:eastAsia="仿宋" w:cs="仿宋"/>
          <w:b/>
          <w:color w:val="000000" w:themeColor="text1"/>
          <w:spacing w:val="23"/>
          <w:sz w:val="24"/>
          <w:szCs w:val="24"/>
          <w:highlight w:val="none"/>
          <w14:textFill>
            <w14:solidFill>
              <w14:schemeClr w14:val="tx1"/>
            </w14:solidFill>
          </w14:textFill>
        </w:rPr>
        <w:t>乙方</w:t>
      </w:r>
      <w:r>
        <w:rPr>
          <w:rFonts w:hint="eastAsia" w:ascii="仿宋" w:hAnsi="仿宋" w:eastAsia="仿宋" w:cs="仿宋"/>
          <w:b/>
          <w:color w:val="000000" w:themeColor="text1"/>
          <w:spacing w:val="23"/>
          <w:sz w:val="24"/>
          <w:szCs w:val="24"/>
          <w:highlight w:val="none"/>
          <w14:textFill>
            <w14:solidFill>
              <w14:schemeClr w14:val="tx1"/>
            </w14:solidFill>
          </w14:textFill>
        </w:rPr>
        <w:fldChar w:fldCharType="end"/>
      </w:r>
      <w:r>
        <w:rPr>
          <w:rFonts w:hint="eastAsia" w:ascii="仿宋" w:hAnsi="仿宋" w:eastAsia="仿宋" w:cs="仿宋"/>
          <w:b/>
          <w:color w:val="000000" w:themeColor="text1"/>
          <w:spacing w:val="23"/>
          <w:sz w:val="24"/>
          <w:szCs w:val="24"/>
          <w:highlight w:val="none"/>
          <w14:textFill>
            <w14:solidFill>
              <w14:schemeClr w14:val="tx1"/>
            </w14:solidFill>
          </w14:textFill>
        </w:rPr>
        <w:t>(供应商)：</w:t>
      </w:r>
      <w:r>
        <w:rPr>
          <w:rFonts w:hint="eastAsia" w:ascii="仿宋" w:hAnsi="仿宋" w:eastAsia="仿宋" w:cs="仿宋"/>
          <w:color w:val="000000" w:themeColor="text1"/>
          <w:spacing w:val="23"/>
          <w:sz w:val="24"/>
          <w:szCs w:val="24"/>
          <w:highlight w:val="none"/>
          <w:u w:val="single"/>
          <w14:textFill>
            <w14:solidFill>
              <w14:schemeClr w14:val="tx1"/>
            </w14:solidFill>
          </w14:textFill>
        </w:rPr>
        <w:t></w:t>
      </w:r>
    </w:p>
    <w:p w14:paraId="64199575">
      <w:pPr>
        <w:pStyle w:val="4"/>
        <w:ind w:firstLine="2296" w:firstLineChars="800"/>
        <w:rPr>
          <w:rFonts w:hint="eastAsia" w:ascii="仿宋" w:hAnsi="仿宋" w:eastAsia="仿宋" w:cs="仿宋"/>
          <w:sz w:val="20"/>
          <w:szCs w:val="22"/>
        </w:rPr>
        <w:sectPr>
          <w:footerReference r:id="rId3" w:type="default"/>
          <w:pgSz w:w="11906" w:h="16838"/>
          <w:pgMar w:top="1417" w:right="1417" w:bottom="1417" w:left="1417" w:header="851" w:footer="850" w:gutter="0"/>
          <w:cols w:space="720" w:num="1"/>
          <w:docGrid w:type="lines" w:linePitch="312" w:charSpace="0"/>
        </w:sectPr>
      </w:pPr>
      <w:r>
        <w:rPr>
          <w:rFonts w:hint="eastAsia" w:ascii="仿宋" w:hAnsi="仿宋" w:eastAsia="仿宋" w:cs="仿宋"/>
          <w:b/>
          <w:color w:val="000000" w:themeColor="text1"/>
          <w:spacing w:val="23"/>
          <w:sz w:val="24"/>
          <w:szCs w:val="24"/>
          <w:highlight w:val="none"/>
          <w14:textFill>
            <w14:solidFill>
              <w14:schemeClr w14:val="tx1"/>
            </w14:solidFill>
          </w14:textFill>
        </w:rPr>
        <w:t>签订时间：</w:t>
      </w:r>
      <w:r>
        <w:rPr>
          <w:rFonts w:hint="eastAsia" w:ascii="仿宋" w:hAnsi="仿宋" w:eastAsia="仿宋" w:cs="仿宋"/>
          <w:color w:val="000000" w:themeColor="text1"/>
          <w:spacing w:val="23"/>
          <w:sz w:val="24"/>
          <w:szCs w:val="24"/>
          <w:highlight w:val="none"/>
          <w:u w:val="single"/>
          <w14:textFill>
            <w14:solidFill>
              <w14:schemeClr w14:val="tx1"/>
            </w14:solidFill>
          </w14:textFill>
        </w:rPr>
        <w:t></w:t>
      </w:r>
      <w:r>
        <w:rPr>
          <w:rFonts w:hint="eastAsia" w:ascii="仿宋" w:hAnsi="仿宋" w:eastAsia="仿宋" w:cs="仿宋"/>
          <w:b/>
          <w:color w:val="000000" w:themeColor="text1"/>
          <w:spacing w:val="23"/>
          <w:sz w:val="24"/>
          <w:szCs w:val="24"/>
          <w:highlight w:val="none"/>
          <w14:textFill>
            <w14:solidFill>
              <w14:schemeClr w14:val="tx1"/>
            </w14:solidFill>
          </w14:textFill>
        </w:rPr>
        <w:t>年</w:t>
      </w:r>
      <w:r>
        <w:rPr>
          <w:rFonts w:hint="eastAsia" w:ascii="仿宋" w:hAnsi="仿宋" w:eastAsia="仿宋" w:cs="仿宋"/>
          <w:color w:val="000000" w:themeColor="text1"/>
          <w:spacing w:val="23"/>
          <w:sz w:val="24"/>
          <w:szCs w:val="24"/>
          <w:highlight w:val="none"/>
          <w:u w:val="single"/>
          <w14:textFill>
            <w14:solidFill>
              <w14:schemeClr w14:val="tx1"/>
            </w14:solidFill>
          </w14:textFill>
        </w:rPr>
        <w:t></w:t>
      </w:r>
      <w:r>
        <w:rPr>
          <w:rFonts w:hint="eastAsia" w:ascii="仿宋" w:hAnsi="仿宋" w:eastAsia="仿宋" w:cs="仿宋"/>
          <w:b/>
          <w:color w:val="000000" w:themeColor="text1"/>
          <w:spacing w:val="23"/>
          <w:sz w:val="24"/>
          <w:szCs w:val="24"/>
          <w:highlight w:val="none"/>
          <w14:textFill>
            <w14:solidFill>
              <w14:schemeClr w14:val="tx1"/>
            </w14:solidFill>
          </w14:textFill>
        </w:rPr>
        <w:t>月</w:t>
      </w:r>
      <w:r>
        <w:rPr>
          <w:rFonts w:hint="eastAsia" w:ascii="仿宋" w:hAnsi="仿宋" w:eastAsia="仿宋" w:cs="仿宋"/>
          <w:color w:val="000000" w:themeColor="text1"/>
          <w:spacing w:val="23"/>
          <w:sz w:val="24"/>
          <w:szCs w:val="24"/>
          <w:highlight w:val="none"/>
          <w:u w:val="single"/>
          <w14:textFill>
            <w14:solidFill>
              <w14:schemeClr w14:val="tx1"/>
            </w14:solidFill>
          </w14:textFill>
        </w:rPr>
        <w:t></w:t>
      </w:r>
      <w:r>
        <w:rPr>
          <w:rFonts w:hint="eastAsia" w:ascii="仿宋" w:hAnsi="仿宋" w:eastAsia="仿宋" w:cs="仿宋"/>
          <w:b/>
          <w:color w:val="000000" w:themeColor="text1"/>
          <w:spacing w:val="23"/>
          <w:sz w:val="24"/>
          <w:szCs w:val="24"/>
          <w:highlight w:val="none"/>
          <w14:textFill>
            <w14:solidFill>
              <w14:schemeClr w14:val="tx1"/>
            </w14:solidFill>
          </w14:textFill>
        </w:rPr>
        <w:t>日</w:t>
      </w:r>
    </w:p>
    <w:p w14:paraId="561A38CF">
      <w:pPr>
        <w:pStyle w:val="9"/>
        <w:spacing w:before="240" w:beforeLines="100"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合同编号： </w:t>
      </w:r>
    </w:p>
    <w:p w14:paraId="532A3875">
      <w:pPr>
        <w:pStyle w:val="9"/>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签订地点： </w:t>
      </w:r>
    </w:p>
    <w:p w14:paraId="3FC08642">
      <w:pPr>
        <w:pStyle w:val="9"/>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签订时间：</w:t>
      </w:r>
    </w:p>
    <w:p w14:paraId="094E4196">
      <w:pPr>
        <w:pStyle w:val="9"/>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本合同是否为中小企业预留份额合同       □是      □否</w:t>
      </w:r>
    </w:p>
    <w:p w14:paraId="279B9595">
      <w:pPr>
        <w:pStyle w:val="9"/>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招标人（甲方）：</w:t>
      </w:r>
    </w:p>
    <w:p w14:paraId="36803A30">
      <w:pPr>
        <w:pStyle w:val="9"/>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投标人（乙方）：</w:t>
      </w:r>
    </w:p>
    <w:p w14:paraId="74C4FBB2">
      <w:pPr>
        <w:pStyle w:val="9"/>
        <w:spacing w:line="360" w:lineRule="auto"/>
        <w:ind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根据《中华人民共和国政府采购法》及实施条例、《中华人民共和国民法典》第三篇和甲方采购项目（采购项目编号：</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）的招标文件、投标文件等有关规定，为确保甲方采购项目的顺利实施，甲、乙双方在平等自愿原则下签订本合同，并共同遵守如下条款：</w:t>
      </w:r>
    </w:p>
    <w:p w14:paraId="411EFAED">
      <w:pPr>
        <w:pStyle w:val="9"/>
        <w:spacing w:before="120" w:beforeLines="50" w:line="360" w:lineRule="auto"/>
        <w:ind w:firstLine="361" w:firstLineChars="15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第一条 项目基本情况</w:t>
      </w:r>
    </w:p>
    <w:p w14:paraId="7FA0B480">
      <w:pPr>
        <w:pStyle w:val="9"/>
        <w:spacing w:before="120" w:beforeLines="50" w:line="360" w:lineRule="auto"/>
        <w:ind w:firstLine="330" w:firstLineChars="15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西安市碑林区中小学卫生保健所全区中小学生体检服务项目</w:t>
      </w:r>
    </w:p>
    <w:p w14:paraId="5510FB64">
      <w:pPr>
        <w:pStyle w:val="9"/>
        <w:spacing w:before="120" w:beforeLines="50" w:line="360" w:lineRule="auto"/>
        <w:ind w:firstLine="361" w:firstLineChars="1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第二条 服务期限</w:t>
      </w:r>
    </w:p>
    <w:p w14:paraId="701DD561">
      <w:pPr>
        <w:pStyle w:val="9"/>
        <w:spacing w:before="120" w:beforeLines="50" w:line="360" w:lineRule="auto"/>
        <w:ind w:firstLine="550" w:firstLineChars="25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9月上旬开始入校进行学生体检，12月底全区学生结束体检，次年4月底以前完成全部体检数据统计及分析工作。</w:t>
      </w:r>
    </w:p>
    <w:p w14:paraId="5AA5E017">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服务内容与质量标准</w:t>
      </w:r>
    </w:p>
    <w:p w14:paraId="7752900A">
      <w:pPr>
        <w:pStyle w:val="9"/>
        <w:spacing w:before="120" w:beforeLines="50" w:line="360" w:lineRule="auto"/>
        <w:ind w:firstLine="330" w:firstLineChars="15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整个项目应符合国家有关规范和标准</w:t>
      </w:r>
    </w:p>
    <w:p w14:paraId="4B7D7D74">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  服务费用及支付方式</w:t>
      </w:r>
    </w:p>
    <w:p w14:paraId="21637241">
      <w:pPr>
        <w:tabs>
          <w:tab w:val="left" w:pos="1440"/>
        </w:tabs>
        <w:spacing w:line="360" w:lineRule="auto"/>
        <w:ind w:firstLine="440" w:firstLineChars="20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1、签约合同价：人民币</w:t>
      </w:r>
      <w:r>
        <w:rPr>
          <w:rFonts w:hint="eastAsia" w:ascii="仿宋" w:hAnsi="仿宋" w:eastAsia="仿宋" w:cs="仿宋"/>
          <w:color w:val="auto"/>
          <w:sz w:val="22"/>
          <w:szCs w:val="20"/>
          <w:highlight w:val="none"/>
          <w:u w:val="single"/>
        </w:rPr>
        <w:t xml:space="preserve">        </w:t>
      </w:r>
      <w:r>
        <w:rPr>
          <w:rFonts w:hint="eastAsia" w:ascii="仿宋" w:hAnsi="仿宋" w:eastAsia="仿宋" w:cs="仿宋"/>
          <w:color w:val="auto"/>
          <w:sz w:val="22"/>
          <w:szCs w:val="20"/>
          <w:highlight w:val="none"/>
        </w:rPr>
        <w:t>元，单价：人民币</w:t>
      </w:r>
      <w:r>
        <w:rPr>
          <w:rFonts w:hint="eastAsia" w:ascii="仿宋" w:hAnsi="仿宋" w:eastAsia="仿宋" w:cs="仿宋"/>
          <w:color w:val="auto"/>
          <w:sz w:val="22"/>
          <w:szCs w:val="20"/>
          <w:highlight w:val="none"/>
          <w:u w:val="single"/>
        </w:rPr>
        <w:t xml:space="preserve">       </w:t>
      </w:r>
      <w:r>
        <w:rPr>
          <w:rFonts w:hint="eastAsia" w:ascii="仿宋" w:hAnsi="仿宋" w:eastAsia="仿宋" w:cs="仿宋"/>
          <w:color w:val="auto"/>
          <w:sz w:val="22"/>
          <w:szCs w:val="20"/>
          <w:highlight w:val="none"/>
        </w:rPr>
        <w:t xml:space="preserve"> 元/人，暂定人数：12万人。</w:t>
      </w:r>
    </w:p>
    <w:p w14:paraId="3FD03BB7">
      <w:pPr>
        <w:tabs>
          <w:tab w:val="left" w:pos="1440"/>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0"/>
          <w:highlight w:val="none"/>
        </w:rPr>
        <w:t>2、费用支付：</w:t>
      </w:r>
      <w:r>
        <w:rPr>
          <w:rFonts w:hint="eastAsia" w:ascii="仿宋" w:hAnsi="仿宋" w:eastAsia="仿宋" w:cs="仿宋"/>
          <w:color w:val="auto"/>
          <w:sz w:val="22"/>
          <w:szCs w:val="22"/>
          <w:highlight w:val="none"/>
        </w:rPr>
        <w:t>完成全部体检工作后，15个工作日内一次性付清。</w:t>
      </w:r>
    </w:p>
    <w:p w14:paraId="3908C770">
      <w:pPr>
        <w:tabs>
          <w:tab w:val="left" w:pos="1440"/>
        </w:tabs>
        <w:spacing w:line="360" w:lineRule="auto"/>
        <w:ind w:firstLine="440" w:firstLineChars="200"/>
        <w:rPr>
          <w:rFonts w:hint="eastAsia" w:ascii="仿宋" w:hAnsi="仿宋" w:eastAsia="仿宋" w:cs="仿宋"/>
          <w:color w:val="auto"/>
          <w:sz w:val="22"/>
          <w:szCs w:val="20"/>
          <w:highlight w:val="none"/>
          <w:lang w:eastAsia="zh-CN"/>
        </w:rPr>
      </w:pPr>
      <w:r>
        <w:rPr>
          <w:rFonts w:hint="eastAsia" w:ascii="仿宋" w:hAnsi="仿宋" w:eastAsia="仿宋" w:cs="仿宋"/>
          <w:color w:val="auto"/>
          <w:sz w:val="22"/>
          <w:szCs w:val="20"/>
          <w:highlight w:val="none"/>
        </w:rPr>
        <w:t>3、费用结算方法：按照实际参加体检的人数，以乙方投标时提供的个人投标报价为单价，计算总价。本项目采购预算作为合同支付的最高限制</w:t>
      </w:r>
      <w:r>
        <w:rPr>
          <w:rFonts w:hint="eastAsia" w:ascii="仿宋" w:hAnsi="仿宋" w:eastAsia="仿宋" w:cs="仿宋"/>
          <w:color w:val="auto"/>
          <w:sz w:val="22"/>
          <w:szCs w:val="20"/>
          <w:highlight w:val="none"/>
          <w:lang w:eastAsia="zh-CN"/>
        </w:rPr>
        <w:t>。</w:t>
      </w:r>
      <w:bookmarkStart w:id="34" w:name="_GoBack"/>
      <w:bookmarkEnd w:id="34"/>
    </w:p>
    <w:p w14:paraId="2D28917F">
      <w:pPr>
        <w:tabs>
          <w:tab w:val="left" w:pos="1440"/>
        </w:tabs>
        <w:spacing w:line="360" w:lineRule="auto"/>
        <w:ind w:firstLine="440" w:firstLineChars="20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4、结算方式：银行转账。</w:t>
      </w:r>
    </w:p>
    <w:p w14:paraId="27751EC7">
      <w:pPr>
        <w:pStyle w:val="3"/>
        <w:spacing w:line="360" w:lineRule="auto"/>
        <w:ind w:firstLine="440" w:firstLineChars="20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5、结算单位：</w:t>
      </w:r>
      <w:r>
        <w:rPr>
          <w:rFonts w:hint="eastAsia" w:ascii="仿宋" w:hAnsi="仿宋" w:eastAsia="仿宋" w:cs="仿宋"/>
          <w:color w:val="auto"/>
          <w:sz w:val="22"/>
          <w:szCs w:val="22"/>
          <w:highlight w:val="none"/>
        </w:rPr>
        <w:t>由碑林区各中小学自行结算，乙方根据各中小学实际体检人数开具相应金额的全额发票并交于各中小学。</w:t>
      </w:r>
    </w:p>
    <w:p w14:paraId="739BF9BD">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第五条   知识产权（若有）</w:t>
      </w:r>
    </w:p>
    <w:p w14:paraId="2ACFCF0E">
      <w:pPr>
        <w:spacing w:line="360" w:lineRule="auto"/>
        <w:ind w:firstLine="220" w:firstLineChars="100"/>
        <w:rPr>
          <w:rFonts w:hint="eastAsia" w:ascii="仿宋" w:hAnsi="仿宋" w:eastAsia="仿宋" w:cs="仿宋"/>
          <w:b/>
          <w:bCs/>
          <w:color w:val="auto"/>
          <w:sz w:val="28"/>
          <w:szCs w:val="28"/>
          <w:highlight w:val="none"/>
        </w:rPr>
      </w:pPr>
      <w:r>
        <w:rPr>
          <w:rFonts w:hint="eastAsia" w:ascii="仿宋" w:hAnsi="仿宋" w:eastAsia="仿宋" w:cs="仿宋"/>
          <w:color w:val="auto"/>
          <w:sz w:val="22"/>
          <w:szCs w:val="20"/>
          <w:highlight w:val="none"/>
        </w:rPr>
        <w:t>乙方应保证所提供的服务或其任何一部分均不会侵犯任何第三方的专利权、商标权或著作权。</w:t>
      </w:r>
    </w:p>
    <w:p w14:paraId="0C44CE66">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第六条  无产权瑕疵条款（如有）</w:t>
      </w:r>
    </w:p>
    <w:p w14:paraId="21D9DB1D">
      <w:pPr>
        <w:tabs>
          <w:tab w:val="left" w:pos="1440"/>
        </w:tabs>
        <w:spacing w:line="360" w:lineRule="auto"/>
        <w:ind w:firstLine="440" w:firstLineChars="20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乙方保证所提供的服务的所有权完全属于乙方且无任何抵押、查封等产权瑕疵。如有产权瑕疵的，视为乙方违约。乙方应负担由此而产生的一切损失。</w:t>
      </w:r>
    </w:p>
    <w:p w14:paraId="7E28D13C">
      <w:pPr>
        <w:spacing w:line="360" w:lineRule="auto"/>
        <w:ind w:firstLine="241" w:firstLineChars="100"/>
        <w:rPr>
          <w:rFonts w:hint="eastAsia" w:ascii="仿宋" w:hAnsi="仿宋" w:eastAsia="仿宋" w:cs="仿宋"/>
          <w:b/>
          <w:bCs/>
          <w:color w:val="auto"/>
          <w:sz w:val="28"/>
          <w:szCs w:val="28"/>
          <w:highlight w:val="none"/>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条  甲方的权利和义务</w:t>
      </w:r>
    </w:p>
    <w:p w14:paraId="6E4E6BDB">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3CADA46">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2、甲方有权依据双方签订的考评办法对乙方提供的服务进行定期考评。</w:t>
      </w:r>
    </w:p>
    <w:p w14:paraId="013E59B6">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3、负责检查监督乙方管理工作的实施及制度的执行情况。</w:t>
      </w:r>
    </w:p>
    <w:p w14:paraId="26FDD59F">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4、根据本合同规定，按时向乙方支付应付服务费用。</w:t>
      </w:r>
    </w:p>
    <w:p w14:paraId="3805CA45">
      <w:pPr>
        <w:spacing w:line="360" w:lineRule="auto"/>
        <w:ind w:left="426"/>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5、国家法律、法规所规定由甲方承担的其它责任。</w:t>
      </w:r>
    </w:p>
    <w:p w14:paraId="6A7381B3">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条  乙方的权利和义务</w:t>
      </w:r>
    </w:p>
    <w:p w14:paraId="0FB2CC6A">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1、对本合同规定的委托服务范围内的项目享有管理权及服务义务。</w:t>
      </w:r>
    </w:p>
    <w:p w14:paraId="4BE4047A">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2、根据本合同的规定向甲方收取相关服务费用，并有权在本项目管理范围内管理及合理使用。</w:t>
      </w:r>
    </w:p>
    <w:p w14:paraId="5F5C40CD">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3、及时向甲方通告本项目服务范围内有关服务的重大事项，及时配合处理投诉。</w:t>
      </w:r>
    </w:p>
    <w:p w14:paraId="39676E8B">
      <w:pPr>
        <w:pStyle w:val="6"/>
        <w:spacing w:before="0" w:beforeAutospacing="0" w:after="0" w:afterAutospacing="0" w:line="360" w:lineRule="auto"/>
        <w:ind w:firstLine="440" w:firstLineChars="200"/>
        <w:rPr>
          <w:rFonts w:hint="eastAsia" w:ascii="仿宋" w:hAnsi="仿宋" w:eastAsia="仿宋" w:cs="仿宋"/>
          <w:color w:val="auto"/>
          <w:kern w:val="2"/>
          <w:sz w:val="22"/>
          <w:szCs w:val="20"/>
          <w:highlight w:val="none"/>
        </w:rPr>
      </w:pPr>
      <w:r>
        <w:rPr>
          <w:rFonts w:hint="eastAsia" w:ascii="仿宋" w:hAnsi="仿宋" w:eastAsia="仿宋" w:cs="仿宋"/>
          <w:color w:val="auto"/>
          <w:kern w:val="2"/>
          <w:sz w:val="22"/>
          <w:szCs w:val="20"/>
          <w:highlight w:val="none"/>
        </w:rPr>
        <w:t>4、接受项目行业管理部门及政府有关部门的指导，接受甲方的监督。</w:t>
      </w:r>
    </w:p>
    <w:p w14:paraId="01BE0872">
      <w:pPr>
        <w:spacing w:line="360" w:lineRule="auto"/>
        <w:ind w:left="426"/>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5、国家法律、法规所规定由乙方承担的其它责任。</w:t>
      </w:r>
    </w:p>
    <w:p w14:paraId="487277FC">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w:t>
      </w:r>
      <w:r>
        <w:rPr>
          <w:rFonts w:hint="eastAsia" w:ascii="仿宋" w:hAnsi="仿宋" w:eastAsia="仿宋" w:cs="仿宋"/>
          <w:b/>
          <w:bCs/>
          <w:color w:val="auto"/>
          <w:sz w:val="24"/>
          <w:szCs w:val="24"/>
          <w:highlight w:val="none"/>
          <w:lang w:val="en-US" w:eastAsia="zh-CN"/>
        </w:rPr>
        <w:t>九</w:t>
      </w:r>
      <w:r>
        <w:rPr>
          <w:rFonts w:hint="eastAsia" w:ascii="仿宋" w:hAnsi="仿宋" w:eastAsia="仿宋" w:cs="仿宋"/>
          <w:b/>
          <w:bCs/>
          <w:color w:val="auto"/>
          <w:sz w:val="24"/>
          <w:szCs w:val="24"/>
          <w:highlight w:val="none"/>
        </w:rPr>
        <w:t>条  违约责任</w:t>
      </w:r>
    </w:p>
    <w:p w14:paraId="2D308B3F">
      <w:pPr>
        <w:adjustRightInd w:val="0"/>
        <w:spacing w:line="360" w:lineRule="auto"/>
        <w:ind w:firstLine="440" w:firstLineChars="200"/>
        <w:jc w:val="left"/>
        <w:textAlignment w:val="baseline"/>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1、甲乙双方必须遵守本合同并执行合同中的各项规定，保证本合同的正常履行。</w:t>
      </w:r>
    </w:p>
    <w:p w14:paraId="7D6136B3">
      <w:pPr>
        <w:adjustRightInd w:val="0"/>
        <w:spacing w:line="360" w:lineRule="auto"/>
        <w:ind w:firstLine="440" w:firstLineChars="200"/>
        <w:jc w:val="left"/>
        <w:textAlignment w:val="baseline"/>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4249F6D">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第十条  不可抗力事件处理</w:t>
      </w:r>
    </w:p>
    <w:p w14:paraId="04AA8402">
      <w:pPr>
        <w:tabs>
          <w:tab w:val="left" w:pos="0"/>
        </w:tabs>
        <w:spacing w:line="360" w:lineRule="auto"/>
        <w:ind w:firstLine="440" w:firstLineChars="20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1、在合同有效期内，任何一方因不可抗力事件导致不能履行合同，则合同履行期可延长，其延长期与不可抗力影响期相同。</w:t>
      </w:r>
    </w:p>
    <w:p w14:paraId="0C185E30">
      <w:pPr>
        <w:tabs>
          <w:tab w:val="left" w:pos="0"/>
        </w:tabs>
        <w:spacing w:line="360" w:lineRule="auto"/>
        <w:ind w:firstLine="440" w:firstLineChars="20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2、不可抗力事件发生后，应立即通知对方，并寄送有关权威机构出具的证明。</w:t>
      </w:r>
    </w:p>
    <w:p w14:paraId="551037C4">
      <w:pPr>
        <w:tabs>
          <w:tab w:val="left" w:pos="0"/>
        </w:tabs>
        <w:spacing w:line="360" w:lineRule="auto"/>
        <w:ind w:firstLine="440" w:firstLineChars="20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3、不可抗力事件延续XX天以上，双方应通过友好协商，确定是否继续履行合同。</w:t>
      </w:r>
    </w:p>
    <w:p w14:paraId="7DD801D5">
      <w:pPr>
        <w:spacing w:line="360" w:lineRule="auto"/>
        <w:ind w:firstLine="241" w:firstLineChars="100"/>
        <w:rPr>
          <w:rFonts w:hint="eastAsia" w:ascii="仿宋" w:hAnsi="仿宋" w:eastAsia="仿宋" w:cs="仿宋"/>
          <w:b/>
          <w:bCs/>
          <w:color w:val="auto"/>
          <w:sz w:val="24"/>
          <w:szCs w:val="24"/>
          <w:highlight w:val="none"/>
        </w:rPr>
      </w:pPr>
      <w:bookmarkStart w:id="0" w:name="_Toc239568423"/>
      <w:bookmarkStart w:id="1" w:name="_Toc286993792"/>
      <w:bookmarkStart w:id="2" w:name="_Toc239233919"/>
      <w:bookmarkStart w:id="3" w:name="_Toc185395254"/>
      <w:bookmarkStart w:id="4" w:name="_Toc251768867"/>
      <w:bookmarkStart w:id="5" w:name="_Toc237145411"/>
      <w:bookmarkStart w:id="6" w:name="_Toc211854454"/>
      <w:bookmarkStart w:id="7" w:name="_Toc241833908"/>
      <w:bookmarkStart w:id="8" w:name="_Toc247334846"/>
      <w:bookmarkStart w:id="9" w:name="_Toc212019599"/>
      <w:bookmarkStart w:id="10" w:name="_Toc232492933"/>
      <w:bookmarkStart w:id="11" w:name="_Toc225670756"/>
      <w:bookmarkStart w:id="12" w:name="_Toc211911353"/>
      <w:bookmarkStart w:id="13" w:name="_Toc238984980"/>
      <w:bookmarkStart w:id="14" w:name="_Toc225244857"/>
      <w:bookmarkStart w:id="15" w:name="_Toc225654649"/>
      <w:r>
        <w:rPr>
          <w:rFonts w:hint="eastAsia" w:ascii="仿宋" w:hAnsi="仿宋" w:eastAsia="仿宋" w:cs="仿宋"/>
          <w:b/>
          <w:bCs/>
          <w:color w:val="auto"/>
          <w:sz w:val="24"/>
          <w:szCs w:val="24"/>
          <w:highlight w:val="none"/>
        </w:rPr>
        <w:t>第十</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条  合同的变更和终止</w:t>
      </w:r>
    </w:p>
    <w:p w14:paraId="5292C250">
      <w:pPr>
        <w:widowControl/>
        <w:spacing w:line="360" w:lineRule="auto"/>
        <w:ind w:firstLine="440" w:firstLineChars="200"/>
        <w:jc w:val="left"/>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除《中华人民共和国政府采购法》第49条、第50条第二款规定的情形外，本合同一经签订，甲乙双方不得擅自变更、中止或终止合同。</w:t>
      </w:r>
    </w:p>
    <w:p w14:paraId="1FE4FCE9">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条  解决合同纠纷的方式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1A60D6B">
      <w:pPr>
        <w:pStyle w:val="9"/>
        <w:spacing w:before="120" w:beforeLines="50" w:line="360" w:lineRule="auto"/>
        <w:ind w:firstLine="330" w:firstLineChars="15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1、在执行本合同中发生的或与本合同有关的争端，双方应通过友好协商解决，经协商在XX天内不能达成协议时，则采取以下第</w:t>
      </w:r>
      <w:r>
        <w:rPr>
          <w:rFonts w:hint="eastAsia" w:ascii="仿宋" w:hAnsi="仿宋" w:eastAsia="仿宋" w:cs="仿宋"/>
          <w:color w:val="auto"/>
          <w:sz w:val="22"/>
          <w:szCs w:val="20"/>
          <w:highlight w:val="none"/>
          <w:u w:val="single"/>
        </w:rPr>
        <w:t>2</w:t>
      </w:r>
      <w:r>
        <w:rPr>
          <w:rFonts w:hint="eastAsia" w:ascii="仿宋" w:hAnsi="仿宋" w:eastAsia="仿宋" w:cs="仿宋"/>
          <w:color w:val="auto"/>
          <w:sz w:val="22"/>
          <w:szCs w:val="20"/>
          <w:highlight w:val="none"/>
        </w:rPr>
        <w:t>种方式解决争议：</w:t>
      </w:r>
    </w:p>
    <w:p w14:paraId="7C76264F">
      <w:pPr>
        <w:pStyle w:val="9"/>
        <w:spacing w:before="120" w:beforeLines="50" w:line="360" w:lineRule="auto"/>
        <w:ind w:firstLine="330" w:firstLineChars="15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（1）向甲方所在地有管辖权的人民法院提起诉讼；</w:t>
      </w:r>
    </w:p>
    <w:p w14:paraId="2B906473">
      <w:pPr>
        <w:pStyle w:val="9"/>
        <w:spacing w:before="120" w:beforeLines="50" w:line="360" w:lineRule="auto"/>
        <w:ind w:firstLine="330" w:firstLineChars="15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（2）向</w:t>
      </w:r>
      <w:r>
        <w:rPr>
          <w:rFonts w:hint="eastAsia" w:ascii="仿宋" w:hAnsi="仿宋" w:eastAsia="仿宋" w:cs="仿宋"/>
          <w:color w:val="auto"/>
          <w:sz w:val="22"/>
          <w:szCs w:val="20"/>
          <w:highlight w:val="none"/>
          <w:u w:val="single"/>
        </w:rPr>
        <w:t>_西安_</w:t>
      </w:r>
      <w:r>
        <w:rPr>
          <w:rFonts w:hint="eastAsia" w:ascii="仿宋" w:hAnsi="仿宋" w:eastAsia="仿宋" w:cs="仿宋"/>
          <w:color w:val="auto"/>
          <w:sz w:val="22"/>
          <w:szCs w:val="20"/>
          <w:highlight w:val="none"/>
        </w:rPr>
        <w:t>仲裁委员会按其仲裁规则申请仲裁。</w:t>
      </w:r>
    </w:p>
    <w:p w14:paraId="4B0AC3F9">
      <w:pPr>
        <w:pStyle w:val="9"/>
        <w:spacing w:before="120" w:beforeLines="50" w:line="360" w:lineRule="auto"/>
        <w:ind w:firstLine="330" w:firstLineChars="15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2、在仲裁期间，本合同应继续履行。</w:t>
      </w:r>
    </w:p>
    <w:p w14:paraId="3114A30F">
      <w:pPr>
        <w:spacing w:line="360" w:lineRule="auto"/>
        <w:ind w:firstLine="241" w:firstLineChars="100"/>
        <w:rPr>
          <w:rFonts w:hint="eastAsia" w:ascii="仿宋" w:hAnsi="仿宋" w:eastAsia="仿宋" w:cs="仿宋"/>
          <w:b/>
          <w:bCs/>
          <w:color w:val="auto"/>
          <w:sz w:val="24"/>
          <w:szCs w:val="24"/>
          <w:highlight w:val="none"/>
        </w:rPr>
      </w:pPr>
      <w:bookmarkStart w:id="16" w:name="_Toc283019219"/>
      <w:bookmarkStart w:id="17" w:name="_Toc239568424"/>
      <w:bookmarkStart w:id="18" w:name="_Toc247334847"/>
      <w:bookmarkStart w:id="19" w:name="_Toc185395255"/>
      <w:bookmarkStart w:id="20" w:name="_Toc241833909"/>
      <w:bookmarkStart w:id="21" w:name="_Toc239233920"/>
      <w:bookmarkStart w:id="22" w:name="_Toc212019600"/>
      <w:bookmarkStart w:id="23" w:name="_Toc237145412"/>
      <w:bookmarkStart w:id="24" w:name="_Toc225654650"/>
      <w:bookmarkStart w:id="25" w:name="_Toc238984981"/>
      <w:bookmarkStart w:id="26" w:name="_Toc286993793"/>
      <w:bookmarkStart w:id="27" w:name="_Toc225244858"/>
      <w:bookmarkStart w:id="28" w:name="_Toc251768868"/>
      <w:bookmarkStart w:id="29" w:name="_Toc232492934"/>
      <w:bookmarkStart w:id="30" w:name="_Toc282696231"/>
      <w:bookmarkStart w:id="31" w:name="_Toc225670757"/>
      <w:bookmarkStart w:id="32" w:name="_Toc211854455"/>
      <w:bookmarkStart w:id="33" w:name="_Toc211911354"/>
      <w:r>
        <w:rPr>
          <w:rFonts w:hint="eastAsia" w:ascii="仿宋" w:hAnsi="仿宋" w:eastAsia="仿宋" w:cs="仿宋"/>
          <w:b/>
          <w:bCs/>
          <w:color w:val="auto"/>
          <w:sz w:val="24"/>
          <w:szCs w:val="24"/>
          <w:highlight w:val="none"/>
        </w:rPr>
        <w:t>第十</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条  合同</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hint="eastAsia" w:ascii="仿宋" w:hAnsi="仿宋" w:eastAsia="仿宋" w:cs="仿宋"/>
          <w:b/>
          <w:bCs/>
          <w:color w:val="auto"/>
          <w:sz w:val="24"/>
          <w:szCs w:val="24"/>
          <w:highlight w:val="none"/>
        </w:rPr>
        <w:t>生效及其他</w:t>
      </w:r>
    </w:p>
    <w:p w14:paraId="2C7835B8">
      <w:pPr>
        <w:pStyle w:val="10"/>
        <w:spacing w:line="360" w:lineRule="auto"/>
        <w:ind w:firstLine="48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1、合同经双方法定代表人（单位负责人）或授权委托代理人签名并加盖单位公章并由招标代理机构盖章后生效。</w:t>
      </w:r>
    </w:p>
    <w:p w14:paraId="103C8CAC">
      <w:pPr>
        <w:pStyle w:val="10"/>
        <w:spacing w:line="360" w:lineRule="auto"/>
        <w:ind w:firstLine="48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2、合同执行中涉及采购资金和采购内容修改或补充的，须经政府采购监管部门审批，并签书面补充协议报政府采购监督管理部门备案，方可作为主合同不可分割的一部分。</w:t>
      </w:r>
    </w:p>
    <w:p w14:paraId="5FDCE012">
      <w:pPr>
        <w:pStyle w:val="10"/>
        <w:spacing w:line="360" w:lineRule="auto"/>
        <w:ind w:firstLine="480"/>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3、本合同一式陆份，自双方签章之日起起效。甲方贰份，乙方贰份，政府招标代理机构壹份，同级财政部门备案壹份，具有同等法律效力。</w:t>
      </w:r>
    </w:p>
    <w:p w14:paraId="2CF1DF65">
      <w:pPr>
        <w:spacing w:line="360" w:lineRule="auto"/>
        <w:ind w:firstLine="241" w:firstLineChars="1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条  附件</w:t>
      </w:r>
    </w:p>
    <w:p w14:paraId="165B7BDF">
      <w:pPr>
        <w:snapToGrid w:val="0"/>
        <w:spacing w:line="360" w:lineRule="auto"/>
        <w:ind w:firstLine="440" w:firstLineChars="200"/>
        <w:jc w:val="left"/>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1、项目招标文件</w:t>
      </w:r>
    </w:p>
    <w:p w14:paraId="75B3FD0F">
      <w:pPr>
        <w:snapToGrid w:val="0"/>
        <w:spacing w:line="360" w:lineRule="auto"/>
        <w:ind w:firstLine="440" w:firstLineChars="200"/>
        <w:jc w:val="left"/>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2、项目修改澄清文件</w:t>
      </w:r>
    </w:p>
    <w:p w14:paraId="77183BCE">
      <w:pPr>
        <w:snapToGrid w:val="0"/>
        <w:spacing w:line="360" w:lineRule="auto"/>
        <w:ind w:firstLine="440" w:firstLineChars="200"/>
        <w:jc w:val="left"/>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3、项目投标文件</w:t>
      </w:r>
    </w:p>
    <w:p w14:paraId="7DFBE8F4">
      <w:pPr>
        <w:snapToGrid w:val="0"/>
        <w:spacing w:line="360" w:lineRule="auto"/>
        <w:ind w:firstLine="440" w:firstLineChars="200"/>
        <w:jc w:val="left"/>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4、</w:t>
      </w:r>
      <w:r>
        <w:rPr>
          <w:rFonts w:hint="eastAsia" w:ascii="仿宋" w:hAnsi="仿宋" w:eastAsia="仿宋" w:cs="仿宋"/>
          <w:color w:val="auto"/>
          <w:sz w:val="22"/>
          <w:szCs w:val="20"/>
          <w:highlight w:val="none"/>
          <w:lang w:val="en-US" w:eastAsia="zh-CN"/>
        </w:rPr>
        <w:t>中标</w:t>
      </w:r>
      <w:r>
        <w:rPr>
          <w:rFonts w:hint="eastAsia" w:ascii="仿宋" w:hAnsi="仿宋" w:eastAsia="仿宋" w:cs="仿宋"/>
          <w:color w:val="auto"/>
          <w:sz w:val="22"/>
          <w:szCs w:val="20"/>
          <w:highlight w:val="none"/>
        </w:rPr>
        <w:t>通知书</w:t>
      </w:r>
    </w:p>
    <w:p w14:paraId="4A542BA4">
      <w:pPr>
        <w:snapToGrid w:val="0"/>
        <w:spacing w:line="360" w:lineRule="auto"/>
        <w:ind w:firstLine="440" w:firstLineChars="200"/>
        <w:jc w:val="left"/>
        <w:rPr>
          <w:rFonts w:hint="eastAsia" w:ascii="仿宋" w:hAnsi="仿宋" w:eastAsia="仿宋" w:cs="仿宋"/>
          <w:color w:val="auto"/>
          <w:sz w:val="22"/>
          <w:szCs w:val="20"/>
          <w:highlight w:val="none"/>
        </w:rPr>
      </w:pPr>
      <w:r>
        <w:rPr>
          <w:rFonts w:hint="eastAsia" w:ascii="仿宋" w:hAnsi="仿宋" w:eastAsia="仿宋" w:cs="仿宋"/>
          <w:color w:val="auto"/>
          <w:sz w:val="22"/>
          <w:szCs w:val="20"/>
          <w:highlight w:val="none"/>
        </w:rPr>
        <w:t>5、其他</w:t>
      </w:r>
    </w:p>
    <w:p w14:paraId="729DC591">
      <w:pPr>
        <w:pStyle w:val="2"/>
        <w:keepNext w:val="0"/>
        <w:keepLines w:val="0"/>
        <w:spacing w:line="377" w:lineRule="auto"/>
        <w:rPr>
          <w:rFonts w:hint="eastAsia" w:ascii="仿宋" w:hAnsi="仿宋" w:eastAsia="仿宋" w:cs="仿宋"/>
          <w:color w:val="auto"/>
          <w:sz w:val="22"/>
          <w:szCs w:val="20"/>
          <w:highlight w:val="none"/>
        </w:rPr>
        <w:sectPr>
          <w:pgSz w:w="11906" w:h="16838"/>
          <w:pgMar w:top="1417" w:right="1417" w:bottom="1417" w:left="1417" w:header="851" w:footer="850" w:gutter="0"/>
          <w:cols w:space="720" w:num="1"/>
          <w:docGrid w:type="lines" w:linePitch="312" w:charSpace="0"/>
        </w:sectPr>
      </w:pPr>
    </w:p>
    <w:p w14:paraId="0168410F">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甲方：   （盖章）   </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 xml:space="preserve">   乙方：   （盖章）</w:t>
      </w:r>
    </w:p>
    <w:p w14:paraId="7DBA8A34">
      <w:pPr>
        <w:spacing w:before="120" w:beforeLines="50" w:after="120" w:afterLines="50"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法定代表人/委托代理人：            法定代表人/委托代理人：</w:t>
      </w:r>
    </w:p>
    <w:p w14:paraId="2E3A0FE6">
      <w:pPr>
        <w:spacing w:before="120" w:beforeLines="50" w:after="120" w:afterLines="50"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地    址：                         地    址：</w:t>
      </w:r>
    </w:p>
    <w:p w14:paraId="2FA6A7A4">
      <w:pPr>
        <w:spacing w:before="120" w:beforeLines="50" w:after="120" w:afterLines="50"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                         开户银行：</w:t>
      </w:r>
    </w:p>
    <w:p w14:paraId="47834269">
      <w:pPr>
        <w:spacing w:before="120" w:beforeLines="50" w:after="120" w:afterLines="50"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    号：                         账    号：</w:t>
      </w:r>
    </w:p>
    <w:p w14:paraId="41C90F58">
      <w:pPr>
        <w:spacing w:before="120" w:beforeLines="50" w:after="120" w:afterLines="50"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签约日期：    年  月  日           签约日期：    年  月  日</w:t>
      </w:r>
    </w:p>
    <w:p w14:paraId="62B946E5">
      <w:pPr>
        <w:pStyle w:val="11"/>
        <w:widowControl/>
        <w:spacing w:line="560" w:lineRule="exact"/>
        <w:ind w:firstLine="560"/>
        <w:rPr>
          <w:rFonts w:hint="eastAsia" w:ascii="仿宋" w:hAnsi="仿宋" w:eastAsia="仿宋" w:cs="仿宋"/>
          <w:color w:val="000000" w:themeColor="text1"/>
          <w:kern w:val="2"/>
          <w:szCs w:val="28"/>
          <w:highlight w:val="none"/>
          <w14:textFill>
            <w14:solidFill>
              <w14:schemeClr w14:val="tx1"/>
            </w14:solidFill>
          </w14:textFill>
        </w:rPr>
      </w:pPr>
    </w:p>
    <w:p w14:paraId="61838118">
      <w:pPr>
        <w:pStyle w:val="12"/>
        <w:rPr>
          <w:rFonts w:hint="eastAsia" w:ascii="仿宋" w:hAnsi="仿宋" w:eastAsia="仿宋" w:cs="仿宋"/>
          <w:bCs/>
          <w:sz w:val="21"/>
          <w:szCs w:val="21"/>
          <w:highlight w:val="none"/>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Cs/>
          <w:sz w:val="21"/>
          <w:szCs w:val="21"/>
          <w:highlight w:val="none"/>
        </w:rPr>
        <w:t>备注：合同模板仅供参考，具体以实际签订合同为准</w:t>
      </w:r>
    </w:p>
    <w:p w14:paraId="47D064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74439">
    <w:pPr>
      <w:pStyle w:val="5"/>
      <w:jc w:val="both"/>
      <w:rPr>
        <w:rFonts w:hint="eastAsia"/>
      </w:rPr>
    </w:pPr>
  </w:p>
  <w:p w14:paraId="70B0F178">
    <w:pPr>
      <w:pStyle w:val="5"/>
      <w:jc w:val="both"/>
      <w:rPr>
        <w:rFonts w:hint="eastAsia"/>
      </w:rPr>
    </w:pPr>
    <w:r>
      <w:rPr>
        <w:rFonts w:hint="eastAsia" w:ascii="仿宋" w:hAnsi="仿宋" w:eastAsia="仿宋" w:cs="仿宋"/>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57835" cy="147955"/>
              <wp:effectExtent l="0" t="0" r="0" b="0"/>
              <wp:wrapNone/>
              <wp:docPr id="2" name="文本框 2"/>
              <wp:cNvGraphicFramePr/>
              <a:graphic xmlns:a="http://schemas.openxmlformats.org/drawingml/2006/main">
                <a:graphicData uri="http://schemas.microsoft.com/office/word/2010/wordprocessingShape">
                  <wps:wsp>
                    <wps:cNvSpPr txBox="1"/>
                    <wps:spPr>
                      <a:xfrm>
                        <a:off x="0" y="0"/>
                        <a:ext cx="457835" cy="147955"/>
                      </a:xfrm>
                      <a:prstGeom prst="rect">
                        <a:avLst/>
                      </a:prstGeom>
                      <a:noFill/>
                      <a:ln w="15875">
                        <a:noFill/>
                      </a:ln>
                      <a:effectLst/>
                    </wps:spPr>
                    <wps:txbx>
                      <w:txbxContent>
                        <w:p w14:paraId="0E5E2849">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1.65pt;width:36.05pt;mso-position-horizontal:center;mso-position-horizontal-relative:margin;mso-wrap-style:none;z-index:251659264;mso-width-relative:page;mso-height-relative:page;" filled="f" stroked="f" coordsize="21600,21600" o:gfxdata="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jqNZ1QAAAAMBAAAPAAAAAAAA&#10;AAEAIAAAACIAAABkcnMvZG93bnJldi54bWxQSwECFAAUAAAACACHTuJAysLKBtwBAACvAwAADgAA&#10;AAAAAAABACAAAAAkAQAAZHJzL2Uyb0RvYy54bWxQSwUGAAAAAAYABgBZAQAAcgUAAAAA&#10;">
              <v:fill on="f" focussize="0,0"/>
              <v:stroke on="f" weight="1.25pt"/>
              <v:imagedata o:title=""/>
              <o:lock v:ext="edit" aspectratio="f"/>
              <v:textbox inset="0mm,0mm,0mm,0mm" style="mso-fit-shape-to-text:t;">
                <w:txbxContent>
                  <w:p w14:paraId="0E5E2849">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r>
                      <w:rPr>
                        <w:rFonts w:hint="eastAsia"/>
                      </w:rPr>
                      <w:t xml:space="preserve"> 页</w:t>
                    </w:r>
                  </w:p>
                </w:txbxContent>
              </v:textbox>
            </v:shape>
          </w:pict>
        </mc:Fallback>
      </mc:AlternateContent>
    </w:r>
    <w:r>
      <w:rPr>
        <w:rFonts w:hint="eastAsia" w:ascii="仿宋" w:hAnsi="仿宋" w:eastAsia="仿宋" w:cs="仿宋"/>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3D15DC"/>
    <w:rsid w:val="7C3D1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after="290" w:line="374"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w:basedOn w:val="1"/>
    <w:next w:val="1"/>
    <w:qFormat/>
    <w:uiPriority w:val="99"/>
    <w:pPr>
      <w:spacing w:after="12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autoRedefine/>
    <w:unhideWhenUsed/>
    <w:qFormat/>
    <w:uiPriority w:val="99"/>
    <w:pPr>
      <w:ind w:firstLine="420" w:firstLineChars="200"/>
    </w:pPr>
  </w:style>
  <w:style w:type="paragraph" w:customStyle="1" w:styleId="11">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2026-07-14T06:35:00Z</dcterms:created>
  <dc:creator>WPS_小小小小小小文</dc:creator>
  <cp:lastModifiedBy>WPS_小小小小小小文</cp:lastModifiedBy>
  <dcterms:modified xsi:type="dcterms:W3CDTF">2026-07-14T06:36:39Z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2F9D97A5F8274FCAA92C15AA658094FB_11</vt:lpwstr>
  </property>
  <property fmtid="{D5CDD505-2E9C-101B-9397-08002B2CF9AE}" pid="4" name="KSOTemplateDocerSaveRecord">
    <vt:lpwstr>eyJoZGlkIjoiZDU5ODkzYjM3NDZmZThlOTVjMjA1NzRiYjVjNDY0ZWMiLCJ1c2VySWQiOiIxNDYxOTUwMjY0In0=</vt:lpwstr>
  </property>
</Properties>
</file>