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版本号：SCZB2026-ZB-0586-01020260808001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机房建设项目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SCZB2026-ZB-0586-010</w:t>
      </w:r>
      <w:r>
        <w:br/>
      </w:r>
      <w:r>
        <w:br/>
      </w:r>
      <w:r>
        <w:br/>
      </w:r>
    </w:p>
    <w:p>
      <w:pPr>
        <w:pStyle w:val="null3"/>
        <w:jc w:val="center"/>
        <w:outlineLvl w:val="2"/>
      </w:pPr>
      <w:r>
        <w:rPr>
          <w:rFonts w:ascii="仿宋_GB2312" w:hAnsi="仿宋_GB2312" w:cs="仿宋_GB2312" w:eastAsia="仿宋_GB2312"/>
          <w:sz w:val="28"/>
          <w:b/>
        </w:rPr>
        <w:t>陕西青年职业学院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陕西青年职业学院</w:t>
      </w:r>
      <w:r>
        <w:rPr>
          <w:rFonts w:ascii="仿宋_GB2312" w:hAnsi="仿宋_GB2312" w:cs="仿宋_GB2312" w:eastAsia="仿宋_GB2312"/>
        </w:rPr>
        <w:t>委托，拟对</w:t>
      </w:r>
      <w:r>
        <w:rPr>
          <w:rFonts w:ascii="仿宋_GB2312" w:hAnsi="仿宋_GB2312" w:cs="仿宋_GB2312" w:eastAsia="仿宋_GB2312"/>
        </w:rPr>
        <w:t>机房建设项目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SCZB2026-ZB-0586-010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机房建设项目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陕西青年职业学院机房建设项目，具体详细内容见采购文件。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查询：投标人在递交投标文件截止时间前被“信用中国”网站（www.creditchina.gov.cn）和中国政府采购网（www.ccgp.gov.cn）上被列入失信被执行人、重大税收违法失信主体、政府采购严重违法失信行为记录名单的，不得参加投标；（以现场查询截图为准）</w:t>
      </w:r>
    </w:p>
    <w:p>
      <w:pPr>
        <w:pStyle w:val="null3"/>
      </w:pPr>
      <w:r>
        <w:rPr>
          <w:rFonts w:ascii="仿宋_GB2312" w:hAnsi="仿宋_GB2312" w:cs="仿宋_GB2312" w:eastAsia="仿宋_GB2312"/>
        </w:rPr>
        <w:t>2、授权书：投标人参加本项目的合法授权人授权委托书；供应商应授权合法的人员参加投标，其中法定代表人直接参加投标的，须出具法人身份证，并与营业执照上信息一致。法定代表人授权代表参加投标的，须出具法定代表人授权书及授权代表身份证、授权代表本单位证明（提供授权代表在本单位养老保险缴纳证明），被授权人须与开标时签到表的授权人保持一致。</w:t>
      </w:r>
    </w:p>
    <w:p>
      <w:pPr>
        <w:pStyle w:val="null3"/>
      </w:pPr>
      <w:r>
        <w:rPr>
          <w:rFonts w:ascii="仿宋_GB2312" w:hAnsi="仿宋_GB2312" w:cs="仿宋_GB2312" w:eastAsia="仿宋_GB2312"/>
        </w:rPr>
        <w:t>3、其他：单位负责人为同一人或者存在直接控股、管理关系的不同供应商不得参加同一合同项下的政府采购活动；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4、非联合体：参与投标人为非联合体（提供声明函）。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陕西青年职业学院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陕西省西安市长安区常宁新区鱼包头街123号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陕西青年职业学院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02961289691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西安市雁塔区锦业路都市之门C座9层招标二部</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谭乐斌、张学强、年婷婷、刘艳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029-88481271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采购包1：672,800.00元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电脑</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开户银行：中国银行西安雁塔区支行营业部</w:t>
            </w:r>
          </w:p>
          <w:p>
            <w:pPr>
              <w:pStyle w:val="null3"/>
            </w:pPr>
            <w:r>
              <w:rPr>
                <w:rFonts w:ascii="仿宋_GB2312" w:hAnsi="仿宋_GB2312" w:cs="仿宋_GB2312" w:eastAsia="仿宋_GB2312"/>
              </w:rPr>
              <w:t>银行账号：102861184552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代理服务费收费标准：代理服务费的收取参见国家计委颁布的《招标代理服务收费管理暂行办法》(计价格[2002]1980 号)和(发改办价格[2003]857 号)收费标准下浮40%收取。 招标代理服务费缴纳信息： 银行户名：陕西省采购招标有限责任公司 开户银行：中国光大银行西安友谊路支行 账 号：78560188000095264 联系人：财务部 联系电话：029-85263975。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陕西青年职业学院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陕西青年职业学院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陕西青年职业学院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地址：西安市雁塔区锦业路1号都市之门C座9层综合办公室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陕西青年职业学院机房建设项目，具体详细内容见采购文件。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672,800.00</w:t>
      </w:r>
    </w:p>
    <w:p>
      <w:pPr>
        <w:pStyle w:val="null3"/>
      </w:pPr>
      <w:r>
        <w:rPr>
          <w:rFonts w:ascii="仿宋_GB2312" w:hAnsi="仿宋_GB2312" w:cs="仿宋_GB2312" w:eastAsia="仿宋_GB2312"/>
        </w:rPr>
        <w:t>采购包最高限价（元）: 649,400.00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机房建设</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672,800.00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标的名称：机房建设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41"/>
              <w:gridCol w:w="388"/>
              <w:gridCol w:w="1441"/>
              <w:gridCol w:w="241"/>
              <w:gridCol w:w="241"/>
            </w:tblGrid>
            <w:tr>
              <w:tc>
                <w:tcPr>
                  <w:tcW w:type="dxa" w:w="2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序号</w:t>
                  </w:r>
                </w:p>
              </w:tc>
              <w:tc>
                <w:tcPr>
                  <w:tcW w:type="dxa" w:w="3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设备名称</w:t>
                  </w:r>
                </w:p>
              </w:tc>
              <w:tc>
                <w:tcPr>
                  <w:tcW w:type="dxa" w:w="14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参数</w:t>
                  </w:r>
                </w:p>
              </w:tc>
              <w:tc>
                <w:tcPr>
                  <w:tcW w:type="dxa" w:w="2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数量</w:t>
                  </w:r>
                </w:p>
              </w:tc>
              <w:tc>
                <w:tcPr>
                  <w:tcW w:type="dxa" w:w="2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单位</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电脑</w:t>
                  </w:r>
                  <w:r>
                    <w:rPr>
                      <w:rFonts w:ascii="仿宋_GB2312" w:hAnsi="仿宋_GB2312" w:cs="仿宋_GB2312" w:eastAsia="仿宋_GB2312"/>
                      <w:sz w:val="19"/>
                    </w:rPr>
                    <w:t>（核心产品）</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品牌机</w:t>
                  </w:r>
                  <w:r>
                    <w:br/>
                  </w:r>
                  <w:r>
                    <w:rPr>
                      <w:rFonts w:ascii="仿宋_GB2312" w:hAnsi="仿宋_GB2312" w:cs="仿宋_GB2312" w:eastAsia="仿宋_GB2312"/>
                      <w:sz w:val="19"/>
                      <w:color w:val="000000"/>
                    </w:rPr>
                    <w:t>1.主板：≥Intel 760系列及以上芯片组；</w:t>
                  </w:r>
                  <w:r>
                    <w:br/>
                  </w:r>
                  <w:r>
                    <w:rPr>
                      <w:rFonts w:ascii="仿宋_GB2312" w:hAnsi="仿宋_GB2312" w:cs="仿宋_GB2312" w:eastAsia="仿宋_GB2312"/>
                      <w:sz w:val="19"/>
                      <w:color w:val="000000"/>
                    </w:rPr>
                    <w:t>2.CPU：≥英特尔酷睿i5-13400 处理器 (主频2.5GHz，睿频4.6Ghz、10核16线程 )；</w:t>
                  </w:r>
                  <w:r>
                    <w:br/>
                  </w:r>
                  <w:r>
                    <w:rPr>
                      <w:rFonts w:ascii="仿宋_GB2312" w:hAnsi="仿宋_GB2312" w:cs="仿宋_GB2312" w:eastAsia="仿宋_GB2312"/>
                      <w:sz w:val="19"/>
                      <w:color w:val="000000"/>
                    </w:rPr>
                    <w:t>3.硬盘：≥512B SSD M.2 SSD M.2 2280 G4p TLC OP；</w:t>
                  </w:r>
                  <w:r>
                    <w:br/>
                  </w:r>
                  <w:r>
                    <w:rPr>
                      <w:rFonts w:ascii="仿宋_GB2312" w:hAnsi="仿宋_GB2312" w:cs="仿宋_GB2312" w:eastAsia="仿宋_GB2312"/>
                      <w:sz w:val="19"/>
                      <w:color w:val="000000"/>
                    </w:rPr>
                    <w:t>4.内存：≥16GB DDR4；</w:t>
                  </w:r>
                  <w:r>
                    <w:br/>
                  </w:r>
                  <w:r>
                    <w:rPr>
                      <w:rFonts w:ascii="仿宋_GB2312" w:hAnsi="仿宋_GB2312" w:cs="仿宋_GB2312" w:eastAsia="仿宋_GB2312"/>
                      <w:sz w:val="19"/>
                      <w:color w:val="000000"/>
                    </w:rPr>
                    <w:t>5.显卡：≥2G独立显卡；</w:t>
                  </w:r>
                  <w:r>
                    <w:br/>
                  </w:r>
                  <w:r>
                    <w:rPr>
                      <w:rFonts w:ascii="仿宋_GB2312" w:hAnsi="仿宋_GB2312" w:cs="仿宋_GB2312" w:eastAsia="仿宋_GB2312"/>
                      <w:sz w:val="19"/>
                      <w:color w:val="000000"/>
                    </w:rPr>
                    <w:t>6.网卡：集成千兆有线网卡；</w:t>
                  </w:r>
                  <w:r>
                    <w:br/>
                  </w:r>
                  <w:r>
                    <w:rPr>
                      <w:rFonts w:ascii="仿宋_GB2312" w:hAnsi="仿宋_GB2312" w:cs="仿宋_GB2312" w:eastAsia="仿宋_GB2312"/>
                      <w:sz w:val="19"/>
                      <w:color w:val="000000"/>
                    </w:rPr>
                    <w:t>7.声卡：集成声卡,配置5.1声道；</w:t>
                  </w:r>
                  <w:r>
                    <w:br/>
                  </w:r>
                  <w:r>
                    <w:rPr>
                      <w:rFonts w:ascii="仿宋_GB2312" w:hAnsi="仿宋_GB2312" w:cs="仿宋_GB2312" w:eastAsia="仿宋_GB2312"/>
                      <w:sz w:val="19"/>
                      <w:color w:val="000000"/>
                    </w:rPr>
                    <w:t>8.接口：≥7个USB接口、1*HDMI接口、1*DP；</w:t>
                  </w:r>
                  <w:r>
                    <w:br/>
                  </w:r>
                  <w:r>
                    <w:rPr>
                      <w:rFonts w:ascii="仿宋_GB2312" w:hAnsi="仿宋_GB2312" w:cs="仿宋_GB2312" w:eastAsia="仿宋_GB2312"/>
                      <w:sz w:val="19"/>
                      <w:color w:val="000000"/>
                    </w:rPr>
                    <w:t>9.扩展槽：≥1个PCI-E*16、1个PCI-E*1；</w:t>
                  </w:r>
                  <w:r>
                    <w:br/>
                  </w:r>
                  <w:r>
                    <w:rPr>
                      <w:rFonts w:ascii="仿宋_GB2312" w:hAnsi="仿宋_GB2312" w:cs="仿宋_GB2312" w:eastAsia="仿宋_GB2312"/>
                      <w:sz w:val="19"/>
                      <w:color w:val="000000"/>
                    </w:rPr>
                    <w:t>10.电源：≤260W电源；</w:t>
                  </w:r>
                  <w:r>
                    <w:br/>
                  </w:r>
                  <w:r>
                    <w:rPr>
                      <w:rFonts w:ascii="仿宋_GB2312" w:hAnsi="仿宋_GB2312" w:cs="仿宋_GB2312" w:eastAsia="仿宋_GB2312"/>
                      <w:sz w:val="19"/>
                      <w:color w:val="000000"/>
                    </w:rPr>
                    <w:t>11.显示器：≥23.8LED IPS 低蓝光显示器, 分辨率：1920 x 1080液晶显示器；</w:t>
                  </w:r>
                  <w:r>
                    <w:br/>
                  </w:r>
                  <w:r>
                    <w:rPr>
                      <w:rFonts w:ascii="仿宋_GB2312" w:hAnsi="仿宋_GB2312" w:cs="仿宋_GB2312" w:eastAsia="仿宋_GB2312"/>
                      <w:sz w:val="19"/>
                      <w:color w:val="000000"/>
                    </w:rPr>
                    <w:t>12.标配原装鼠标键盘。</w:t>
                  </w:r>
                  <w:r>
                    <w:br/>
                  </w:r>
                  <w:r>
                    <w:rPr>
                      <w:rFonts w:ascii="仿宋_GB2312" w:hAnsi="仿宋_GB2312" w:cs="仿宋_GB2312" w:eastAsia="仿宋_GB2312"/>
                      <w:sz w:val="19"/>
                      <w:color w:val="000000"/>
                    </w:rPr>
                    <w:t>13.服务:原厂提供三年上门服务。</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104</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机房管理软件</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提供1套云桌面系统，支持大批量集中下发和更新终端镜像，支持在管理集群内将主服务器内镜像提前下发至节点服务器并自动更新部署，云桌面平台能够收集平台中所有终端硬件配置信息并进行统一管理，支持硬盘还原、保护，要求提供1个服务器永久授权和104个终端永久授权。</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104</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点</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交换机</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1.固定端口数量：28个；24个10/100/1000Base-T以太网端口，4个1000Base-X SFP千兆以太网端口；控制端口：1个Console口；</w:t>
                  </w:r>
                  <w:r>
                    <w:br/>
                  </w:r>
                  <w:r>
                    <w:rPr>
                      <w:rFonts w:ascii="仿宋_GB2312" w:hAnsi="仿宋_GB2312" w:cs="仿宋_GB2312" w:eastAsia="仿宋_GB2312"/>
                      <w:sz w:val="19"/>
                      <w:color w:val="000000"/>
                    </w:rPr>
                    <w:t>2.背板带宽：≥330Gbps；包转发率：≥50Mpps。</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稳压电源</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1.容量：≥30KVA；</w:t>
                  </w:r>
                  <w:r>
                    <w:br/>
                  </w:r>
                  <w:r>
                    <w:rPr>
                      <w:rFonts w:ascii="仿宋_GB2312" w:hAnsi="仿宋_GB2312" w:cs="仿宋_GB2312" w:eastAsia="仿宋_GB2312"/>
                      <w:sz w:val="19"/>
                      <w:color w:val="000000"/>
                    </w:rPr>
                    <w:t>2.输入电压：三相277-433V；</w:t>
                  </w:r>
                  <w:r>
                    <w:br/>
                  </w:r>
                  <w:r>
                    <w:rPr>
                      <w:rFonts w:ascii="仿宋_GB2312" w:hAnsi="仿宋_GB2312" w:cs="仿宋_GB2312" w:eastAsia="仿宋_GB2312"/>
                      <w:sz w:val="19"/>
                      <w:color w:val="000000"/>
                    </w:rPr>
                    <w:t>3.输出电压：三相（三相四线）线电压380V或相电压220V；</w:t>
                  </w:r>
                  <w:r>
                    <w:br/>
                  </w:r>
                  <w:r>
                    <w:rPr>
                      <w:rFonts w:ascii="仿宋_GB2312" w:hAnsi="仿宋_GB2312" w:cs="仿宋_GB2312" w:eastAsia="仿宋_GB2312"/>
                      <w:sz w:val="19"/>
                      <w:color w:val="000000"/>
                    </w:rPr>
                    <w:t>4.输出电压精度：≤±3%；</w:t>
                  </w:r>
                  <w:r>
                    <w:br/>
                  </w:r>
                  <w:r>
                    <w:rPr>
                      <w:rFonts w:ascii="仿宋_GB2312" w:hAnsi="仿宋_GB2312" w:cs="仿宋_GB2312" w:eastAsia="仿宋_GB2312"/>
                      <w:sz w:val="19"/>
                      <w:color w:val="000000"/>
                    </w:rPr>
                    <w:t>5.工作频率：50Hz/60Hz。</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机柜</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1.16U标准网络机柜，前面板玻璃门，600mm*600mm，承载: 静载300KG；</w:t>
                  </w:r>
                  <w:r>
                    <w:br/>
                  </w:r>
                  <w:r>
                    <w:rPr>
                      <w:rFonts w:ascii="仿宋_GB2312" w:hAnsi="仿宋_GB2312" w:cs="仿宋_GB2312" w:eastAsia="仿宋_GB2312"/>
                      <w:sz w:val="19"/>
                      <w:color w:val="000000"/>
                    </w:rPr>
                    <w:t>2.防护等级:IP20；</w:t>
                  </w:r>
                  <w:r>
                    <w:br/>
                  </w:r>
                  <w:r>
                    <w:rPr>
                      <w:rFonts w:ascii="仿宋_GB2312" w:hAnsi="仿宋_GB2312" w:cs="仿宋_GB2312" w:eastAsia="仿宋_GB2312"/>
                      <w:sz w:val="19"/>
                      <w:color w:val="000000"/>
                    </w:rPr>
                    <w:t>3.主要材料:SPCC优质冷扎钢板制作；</w:t>
                  </w:r>
                  <w:r>
                    <w:br/>
                  </w:r>
                  <w:r>
                    <w:rPr>
                      <w:rFonts w:ascii="仿宋_GB2312" w:hAnsi="仿宋_GB2312" w:cs="仿宋_GB2312" w:eastAsia="仿宋_GB2312"/>
                      <w:sz w:val="19"/>
                      <w:color w:val="000000"/>
                    </w:rPr>
                    <w:t>4.厚度：方孔条1.5mm，框架和前门边条1.2mm，其它0.8mm。</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防静电地板</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4-308瓷砖地面铺设防静电地板，国标地板，带支腿支架，带等电位铜带，与接地连接。</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100</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平方</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网线</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六类非屏蔽双绞线，十字隔离技术，铜芯线径≥0.57mm，线规：23AWG。</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箱</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电源线</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六平方国标电源线</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卷</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电源线</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四平方国标电源线</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卷</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插线板</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双排插板，三孔插座不少于6个</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60</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个</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施工及辅材</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机房建设施工及项目用到的所有辅材</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间</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电脑迁移</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100台电脑主机加显示器迁移</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项</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桌椅</w:t>
                  </w: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利旧</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自合同签订之日起40日历天内完成交付、安装及调试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陕西青年职业学院指定地点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预付款，合同签订后，货物运抵现场并经甲方初步核对数量、外观、型号无误后，达到付款条件起10个工作日内，支付合同总金额的40.0%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进度款，产品安装调试完成，学校全部设备最终验收合格，乙方持《终验合格单》原件并向甲方提供合同总金额的全额增值税专用发票后 ，达到付款条件起10个工作日内，支付合同总金额的60.0%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1.其他补充事宜 1.1、落实政府采购政策： 1.1.1《关于进一步加大政府采购支持中小企业力度的通知》（财库〔2022〕19号）、《政府采购促进中小企业发展管理办法》（财库〔2020〕46号）、《财政部 司法部关于政府采购支持监狱企业发展有关问题的通知》（财库〔2014〕68号）、《关于促进残疾人就业政府采购政策的通知》（财库〔2017〕141号）。 1.1.2《国务院办公厅关于建立政府强制采购节能产品制度的通知》（国办发〔2007〕51号）、《财政部 发展改革委 生态环境部 市场监管总局关于调整优化节能产品、环境标志产品政府采购执行机制的通知》（财库〔2019〕9号）、《关于印发环境标志产品政府采购品目清单的通知》（财库〔2019〕18号）、《关于印发节能产品政府采购品目清单的通知》（财库〔2019〕19号）。 1.1.3《关于运用政府采购政策支持乡村产业振兴的通知》（财库〔2021〕19 号）、《关于印发&lt;关于深入开展政府采购脱贫地区农副产品工作推进乡村产业振兴的实施意见&gt;的通知》（财库〔2021〕20 号）。 1.1.4《国家互联网信息办公室 工业和信息化部 公安部 财政部 国家认证认可监督管理委员会关于调整网络安全专用产品安全管理有关事项的公告》（2023年第1号）。 1.1.5《陕西省财政厅关于加快推进我省中小企业政府采购信用融资工作的通知》（陕财办采〔2020〕15 号）、《陕西省财政厅关于印发&lt;陕西省中小企业政府采购信用融资办法&gt;的通知》（陕财办采〔2018〕23 号）。 1.1.6《关于扩大政府采购支持绿色建材促进建筑品质提升政策实施范围的通知》（财库〔2022〕35号）、《财政部办公厅 住房城乡建设部办公厅 工业和信息化部办公厅关于印发&lt;政府采购支持绿色建材促进建筑品质提升政策项目实施指南&gt;的通知》（财办库〔2023〕52号）。 1.1.7《国务院办公厅关于在政府采购中实施本国产品标准及相关政策的通知》（国办发〔2025〕34号）。 2.按照规范开展机房强弱电布线工作，要求强弱电分离，线路暗埋。 电脑迁移说明：将4-508、509原有100台电脑迁移至4-308、410新布线机房中，本次项目采购新电脑安装至4-508、509中。 施工方按照学校教学计划，配合完成新电脑系统制作，软件安装、整体调试工作，确保机房正常运行。 要求新机房正式启用后一周，施工方技术人员到现场开展机房使用保障工作。 报价应包含完成本项目所需的人工费、材料费、搬运费、垃圾清运费、税费等所有费用。 项目整体质保不少于三年，其中电脑要求原厂质保，上门服务。</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投标人需在项目电子化交易系统中按要求填写《投标函》完成承诺并在资格证明材料中响应同时进行电子签章。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 （1）提供2024年或2025年任意一个年度经审计的财务报告，应满足以下要求： 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 ②投标人适用《事业单位会计准则》的，财务报告是指上述指定年度整个会计年度财务报表（不要求必须是经审计的），复印件至少须包括资产负债表、收入支出表（或收入费用表）、财政补助收入支出表。 ③投标人适用《政府会计准则》的，财务报告是指上述指定年度整个会计年度财务报表（不要求必须是经审计的），复印件至少须包括资产负债表、收入费用表。 ④投标人适用《民间非营利组织会计制度》的，财务报告是指上述指定年度整个会计年度财务报表（不要求必须是经审计的），复印件至少须包括资产负债表、业务活动表、现金流量表。 ⑤投标人是上述四种情况以外情况的，按照其依法适用的会计制度、财务规则或会计准则提供财务报表复印件（不要求必须是经审计的）。 （2）提供资信证明原件或复印件，应满足以下要求： ①资信证明须为递交投标文件截止时间前三个月内由投标人基本账户开户银行出具（须提供基本开户信息）。 ②无论开具银行是否标明“复印无效”，投标人提供的复印件在本次投标中予以认可（即不因“复印无效”字样而认定资信证明复印件无效）。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投标人需在项目电子化交易系统中按要求填写《投标函》完成承诺并在资格证明材料中响应同时进行电子签章。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www.ccgp.gov.cn）上被列入失信被执行人、重大税收违法失信主体、政府采购严重违法失信行为记录名单的，不得参加投标；（以现场查询截图为准）</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投标人参加本项目的合法授权人授权委托书；供应商应授权合法的人员参加投标，其中法定代表人直接参加投标的，须出具法人身份证，并与营业执照上信息一致。法定代表人授权代表参加投标的，须出具法定代表人授权书及授权代表身份证、授权代表本单位证明（提供授权代表在本单位养老保险缴纳证明），被授权人须与开标时签到表的授权人保持一致。</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参与投标人为非联合体（提供声明函）。</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投标保证金支付凭证或担保函.docx 业绩一览表.docx 中小企业声明函 投标方案或技术方案.docx 商务应答表 承诺函.docx 投标分项报价表.docx 产品技术参数表 投标人应提交的相关资格证明材料.docx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投标人投标报价没有超出采购预算和最高限价</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投标保证金已按招标文件规定提交且金额、形式、缴纳时间（投标截止时间前）符合招标文件要求。</w:t>
            </w:r>
          </w:p>
        </w:tc>
        <w:tc>
          <w:tcPr>
            <w:tcW w:type="dxa" w:w="1661"/>
          </w:tcPr>
          <w:p>
            <w:pPr>
              <w:pStyle w:val="null3"/>
            </w:pPr>
            <w:r>
              <w:rPr>
                <w:rFonts w:ascii="仿宋_GB2312" w:hAnsi="仿宋_GB2312" w:cs="仿宋_GB2312" w:eastAsia="仿宋_GB2312"/>
              </w:rPr>
              <w:t>投标保证金支付凭证或担保函.docx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商务要求实质性响应</w:t>
            </w:r>
          </w:p>
        </w:tc>
        <w:tc>
          <w:tcPr>
            <w:tcW w:type="dxa" w:w="3322"/>
          </w:tcPr>
          <w:p>
            <w:pPr>
              <w:pStyle w:val="null3"/>
            </w:pPr>
            <w:r>
              <w:rPr>
                <w:rFonts w:ascii="仿宋_GB2312" w:hAnsi="仿宋_GB2312" w:cs="仿宋_GB2312" w:eastAsia="仿宋_GB2312"/>
              </w:rPr>
              <w:t>投标文件的交货期、交货地点、质保期、付款方式、合同等商务内容符合招标文件要求。</w:t>
            </w:r>
          </w:p>
        </w:tc>
        <w:tc>
          <w:tcPr>
            <w:tcW w:type="dxa" w:w="1661"/>
          </w:tcPr>
          <w:p>
            <w:pPr>
              <w:pStyle w:val="null3"/>
            </w:pPr>
            <w:r>
              <w:rPr>
                <w:rFonts w:ascii="仿宋_GB2312" w:hAnsi="仿宋_GB2312" w:cs="仿宋_GB2312" w:eastAsia="仿宋_GB2312"/>
              </w:rPr>
              <w:t>商务应答表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开标一览表 投标保证金支付凭证或担保函.docx 业绩一览表.docx 中小企业声明函 投标方案或技术方案.docx 商务应答表 承诺函.docx 投标分项报价表.docx 产品技术参数表 投标人应提交的相关资格证明材料.docx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投标保证金支付凭证或担保函.docx 业绩一览表.docx 中小企业声明函 投标方案或技术方案.docx 商务应答表 承诺函.docx 投标分项报价表.docx 产品技术参数表 投标人应提交的相关资格证明材料.docx 投标函 残疾人福利性单位声明函 标的清单 关于符合本国产品标准的声明函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投标人所投产品含有属于政府优先采购产品类别的产品，须按照《财政部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号）要求提供国家确定的认证机构出具的、处于有效期之内的节能产品或环境标志产品认证证书，每提供一个得0.5分，满分1分。政府强制采购产品不予加分。 备注：以加盖投标人公章的证明材料为计分依据。</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1、常规项参数指标（共30项，不包含施工及辅材、电脑迁移、桌椅），满分30分，有一项不满足扣1分。 注：须提供证明材料，不限于：制造商出具的产品规格表、产品宣传彩页、技术白皮书、制造商官方网站发布的产品信息、说明书、检测报告或相关承诺等等相关证明材料。参数未提供有效证明文件的其参数评审按负偏离计。参数的技术支持资料需在产品技术参数表中标注页码。投标人/制造商提供自身产品的参数，投标文件不能完全复制招标参数。</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投标人提供所投产品类似合同业绩（2023年1月至今，以合同签订时间为准并提供完整的合同复印件加盖公章），每提供一份得3分，满分9分。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产品供货渠道（包括但不限于原厂授权、销售协议、代理协议等资料）；本项目共需要十项产品，每提供一项产品的供货渠道材料得1分，满分10分。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投标人根据采购内容及要求制定实施方案。包括但不限于： ①项目实施计划及配送方案； ②设备调试方案； ③人员配备方案（包括但不限于项目负责人、安装调试人员、配送人员、培训人员、售后服务技术人员等）； ④应急预案及特殊情况处理措施；⑤质量保证措施（包括但不限于设备品质、制造工艺、易损易耗品响应方案等）；⑥售后服务保障内容（包括但不限于质保期内和质保期后的正常维护和维修响应时间等售后服务措施）；⑦产品使用培训方案（包括但不限于培训安排、培训目的、培训目标、培训计划等）。 评审标准:上述每项方案内容无缺陷得2分，满分为14分。方案内容每存在1处缺陷：扣0.5分，扣完为止；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供应商针对本项目提出具体的售后服务方案，方案各部分内容全面详细、阐述条理清晰详尽、符合采购要求。方案内容包含: ①售后服务机构地址，电话联系人、售后服务人员组织； ②售后服务保障措施，产品交付采购方后出现质量问题的响应时间； ③供货不及时、出现残次品等补货换货解决方案； ④售后服务承诺及培训要求。 评审标准:上述每项方案内容无缺陷得1.5分，满分为6分。方案内容每存在1处缺陷：扣0.5分，扣完为止；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满足招标文件要求且投标报价最低的为评标基准价，其价格分为满分。其他投标供应商的价格分统一按照下列公式计算：投标报价得分=（评标基准价/投标报价）×权值。 注：①本项目为货物类采购项目，根据《政府采购促进中小企业发展管理办法》[2020]46号文件规定，仅当投标人所投产品的制造商均为小微企业或监狱企业或残疾人福利性单位时可享受价格扣除10%，投标人须如实填写《中小企业声明函》或《残疾人福利性单位声明函》或《监狱企业的证明文件》。 ②（政府采购货物项目和服务项目中涉及的货物，当采购项目或采购包的采购标的仅包含单一产品时，政府采购活动中既有本国产品又有非本国产品参与竞争的，依法对本国产品给予价格评审优惠，对本国产品的报价给予20%的价格扣除，用扣除后的价格参与评审。当采购项目或者采购包的采购标的中含有多种产品，供应商为该采购项目或者采购包提供的符合本国产品标准的产品成本之和占该供应商提供的全部产品成本之和的比例达到80%以上时，且供应商在投标（响应）文件中对此作出承诺的，则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本项目为货物类采购项目，根据《政府采购促进中小企业发展管理办法》[2020]46号文件规定，仅当投标人所投产品的制造商均为小微企业或监狱企业或残疾人福利性单位时可享受价格扣除10%，投标人须如实填写《中小企业声明函》或《残疾人福利性单位声明函》或《监狱企业的证明文件》。</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投标分项报价表.docx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详见附件：承诺函.docx</w:t>
      </w:r>
    </w:p>
    <w:p>
      <w:pPr>
        <w:pStyle w:val="null3"/>
        <w:ind w:firstLine="960"/>
      </w:pPr>
      <w:r>
        <w:rPr>
          <w:rFonts w:ascii="仿宋_GB2312" w:hAnsi="仿宋_GB2312" w:cs="仿宋_GB2312" w:eastAsia="仿宋_GB2312"/>
        </w:rPr>
        <w:t>详见附件：投标保证金支付凭证或担保函.docx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详见附件：投标方案或技术方案.docx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