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版本号：YC26263009(CGA)20260710001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操场及教室提升改造工程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YC26263009(CGA)</w:t>
      </w:r>
      <w:r>
        <w:br/>
      </w:r>
      <w:r>
        <w:br/>
      </w:r>
      <w:r>
        <w:br/>
      </w:r>
    </w:p>
    <w:p>
      <w:pPr>
        <w:pStyle w:val="null3"/>
        <w:jc w:val="center"/>
        <w:outlineLvl w:val="2"/>
      </w:pPr>
      <w:r>
        <w:rPr>
          <w:rFonts w:ascii="仿宋_GB2312" w:hAnsi="仿宋_GB2312" w:cs="仿宋_GB2312" w:eastAsia="仿宋_GB2312"/>
          <w:sz w:val="28"/>
          <w:b/>
        </w:rPr>
        <w:t>西安市第八十二中学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西安市第八十二中学</w:t>
      </w:r>
      <w:r>
        <w:rPr>
          <w:rFonts w:ascii="仿宋_GB2312" w:hAnsi="仿宋_GB2312" w:cs="仿宋_GB2312" w:eastAsia="仿宋_GB2312"/>
        </w:rPr>
        <w:t>委托，拟对</w:t>
      </w:r>
      <w:r>
        <w:rPr>
          <w:rFonts w:ascii="仿宋_GB2312" w:hAnsi="仿宋_GB2312" w:cs="仿宋_GB2312" w:eastAsia="仿宋_GB2312"/>
        </w:rPr>
        <w:t>操场及教室提升改造工程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YC26263009(CGA)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操场及教室提升改造工程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西安市第八十二中学操场及教室提升改造工程，主要涉及操场塑胶跑道、草皮、硅PU场地面层更新，体育器材更换，以及新建操场音响与照明系统，教室改造等内容。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采购包1（操场及教室提升改造工程）：属于专门面向小微企业采购。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1、有效的主体资格证明：有效的主体资格证明：供应商应是独立承担民事责任能力的法人、其他组织或自然人，法人 、其他组织须提供合法有效的统一社会信用代码营业执照等证明资料， 自然人须提供身份证明。</w:t>
      </w:r>
    </w:p>
    <w:p>
      <w:pPr>
        <w:pStyle w:val="null3"/>
      </w:pPr>
      <w:r>
        <w:rPr>
          <w:rFonts w:ascii="仿宋_GB2312" w:hAnsi="仿宋_GB2312" w:cs="仿宋_GB2312" w:eastAsia="仿宋_GB2312"/>
        </w:rPr>
        <w:t>2、法定代表人授权委托书：法定代表人授权委托书：（1）法定代表人授权委托书及被授权人身份证（法定代表人参加投标的，提供法定代表人（单位负责人）身份证明及身份；（2）法定代表人授权他人参加投标的，提供法定代表人委托授权书及被授权代表的身份证）符合磋商文件要求。磋商文件中凡是需要法定代表人签字或盖章之处，非法人单位的负责人均参照执行。</w:t>
      </w:r>
    </w:p>
    <w:p>
      <w:pPr>
        <w:pStyle w:val="null3"/>
      </w:pPr>
      <w:r>
        <w:rPr>
          <w:rFonts w:ascii="仿宋_GB2312" w:hAnsi="仿宋_GB2312" w:cs="仿宋_GB2312" w:eastAsia="仿宋_GB2312"/>
        </w:rPr>
        <w:t>3、税收缴纳证明材料：税收缴纳证明材料：供应商需提供递交响应文件截止时间前12个月内任意一个月缴纳税收的凭据或完税证明，凭据应有税务机关或代收机关的公章或业务专用章；依法免税的供应商应提供相关文件证明；</w:t>
      </w:r>
    </w:p>
    <w:p>
      <w:pPr>
        <w:pStyle w:val="null3"/>
      </w:pPr>
      <w:r>
        <w:rPr>
          <w:rFonts w:ascii="仿宋_GB2312" w:hAnsi="仿宋_GB2312" w:cs="仿宋_GB2312" w:eastAsia="仿宋_GB2312"/>
        </w:rPr>
        <w:t>4、社会保障资金缴纳证明：社会保障资金缴纳证明：（1）提供供应商自投标截止日期前6个月以来已缴存的任意时段的社会保障资金缴存单据或社保机构开具的社会保险参保缴费情况证明；（2）依法不需要缴纳社会保障资金的供应商应提供相关文件证明；（3 ) 新成立未发生缴纳社保资金事项的供应商， 应提供缴纳社保资金的书面承诺；</w:t>
      </w:r>
    </w:p>
    <w:p>
      <w:pPr>
        <w:pStyle w:val="null3"/>
      </w:pPr>
      <w:r>
        <w:rPr>
          <w:rFonts w:ascii="仿宋_GB2312" w:hAnsi="仿宋_GB2312" w:cs="仿宋_GB2312" w:eastAsia="仿宋_GB2312"/>
        </w:rPr>
        <w:t>5、参加政府采购活动前 3 年内在经营活动中没有重大违法记录的书面声明：供应商参加政府采购活动前 3 年内在经营活动中没有重大违法记录的书面声明书</w:t>
      </w:r>
    </w:p>
    <w:p>
      <w:pPr>
        <w:pStyle w:val="null3"/>
      </w:pPr>
      <w:r>
        <w:rPr>
          <w:rFonts w:ascii="仿宋_GB2312" w:hAnsi="仿宋_GB2312" w:cs="仿宋_GB2312" w:eastAsia="仿宋_GB2312"/>
        </w:rPr>
        <w:t>6、履行合同所必需的设备和专业技术能力：具有履行合同所必需的设备和专业技术能力的声明函</w:t>
      </w:r>
    </w:p>
    <w:p>
      <w:pPr>
        <w:pStyle w:val="null3"/>
      </w:pPr>
      <w:r>
        <w:rPr>
          <w:rFonts w:ascii="仿宋_GB2312" w:hAnsi="仿宋_GB2312" w:cs="仿宋_GB2312" w:eastAsia="仿宋_GB2312"/>
        </w:rPr>
        <w:t>7、供应商资质要求：供应商具有建设行政主管部门核发的建筑工程施工总承包三级（含三级）及以上资质，且具备有效的安全生产许可证。</w:t>
      </w:r>
    </w:p>
    <w:p>
      <w:pPr>
        <w:pStyle w:val="null3"/>
      </w:pPr>
      <w:r>
        <w:rPr>
          <w:rFonts w:ascii="仿宋_GB2312" w:hAnsi="仿宋_GB2312" w:cs="仿宋_GB2312" w:eastAsia="仿宋_GB2312"/>
        </w:rPr>
        <w:t>8、项目经理资格要求：拟派项目经理须具备建筑工程专业二级 (含二级）及以上注册建造师执业资格和有效的安全生产考核合格证书，且未担任其他在建工程的项目经理。</w:t>
      </w:r>
    </w:p>
    <w:p>
      <w:pPr>
        <w:pStyle w:val="null3"/>
      </w:pPr>
      <w:r>
        <w:rPr>
          <w:rFonts w:ascii="仿宋_GB2312" w:hAnsi="仿宋_GB2312" w:cs="仿宋_GB2312" w:eastAsia="仿宋_GB2312"/>
        </w:rPr>
        <w:t>9、供应商及项目经理基本信息：供应商及项目经理基本信息须在“ 陕西省建设网 ”可查询</w:t>
      </w:r>
    </w:p>
    <w:p>
      <w:pPr>
        <w:pStyle w:val="null3"/>
      </w:pPr>
      <w:r>
        <w:rPr>
          <w:rFonts w:ascii="仿宋_GB2312" w:hAnsi="仿宋_GB2312" w:cs="仿宋_GB2312" w:eastAsia="仿宋_GB2312"/>
        </w:rPr>
        <w:t>10、信用信息：供应商不得为《信用中国》（网站：www.cre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西安市碑林区友谊西路286号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满明允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029-85215244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屈小军、董海龙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18092609286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皇甫力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采购包1：1,922,795.71元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布的《招标代理服务收费管理暂行办法》计价格〔2002〕1980号、发改办价格〔2003〕857号、发改价格〔2011〕534号及发改价格〔2015〕299号文件规定按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西安市第八十二中学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供应商自有知识产权 本项目实施过程中，供应商所使用的自有施工工法、专项改造技术、装饰工艺、设备控制系统、配套软件程序、原创优化设计方案等知识产权，采购人享有本项目永久、免费、非独占使用权，可用于本项目的施工、验收、备案、教学使用、日常运维、修缮整改、后期改扩建及政府资料存档，无需另行支付任何知识产权使用费。未经供应商书面同意，采购人不得将其用于本项目以外的商业用途。 2. 第三方知识产权 项目涉及的教育设备软件、教学系统、专利材料、专用工艺、正版图文素材、标准图集、第三方技术成果等，全部由供应商负责提前取得合法、完整、可覆盖本项目全周期的授权许可，所有授权费用、版权费用、专利使用费均包含在合同总价中，采购人不再另行付费。因第三方知识产权授权不全、过期、权属不清产生的一切问题，由供应商全权负责。 3. 本项目新生成成果权属 针对本操场、教室提升改造工程全新编制、优化、落地的施工方案、深化图纸、效果图、施工图、竣工图、技术交底资料、改造优化措施、验收成果资料等全部新增智力成果，知识产权全部归采购人所有。供应商仅可用于内部项目案例存档，不得对外传播、商用、转借、售卖。</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联系人：屈小军、董海龙</w:t>
      </w:r>
    </w:p>
    <w:p>
      <w:pPr>
        <w:pStyle w:val="null3"/>
      </w:pPr>
      <w:r>
        <w:rPr>
          <w:rFonts w:ascii="仿宋_GB2312" w:hAnsi="仿宋_GB2312" w:cs="仿宋_GB2312" w:eastAsia="仿宋_GB2312"/>
        </w:rPr>
        <w:t>联系电话：18092609286</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1,922,795.71</w:t>
      </w:r>
    </w:p>
    <w:p>
      <w:pPr>
        <w:pStyle w:val="null3"/>
      </w:pPr>
      <w:r>
        <w:rPr>
          <w:rFonts w:ascii="仿宋_GB2312" w:hAnsi="仿宋_GB2312" w:cs="仿宋_GB2312" w:eastAsia="仿宋_GB2312"/>
        </w:rPr>
        <w:t>采购包最高限价（元）: 1,922,795.71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操场及教室提升改造工程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1,922,795.71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标的名称：操场及教室提升改造工程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ind w:left="390"/>
              <w:jc w:val="left"/>
            </w:pPr>
            <w:r>
              <w:rPr>
                <w:rFonts w:ascii="仿宋_GB2312" w:hAnsi="仿宋_GB2312" w:cs="仿宋_GB2312" w:eastAsia="仿宋_GB2312"/>
                <w:sz w:val="19"/>
                <w:color w:val="000000"/>
              </w:rPr>
              <w:t>一、项目概况</w:t>
            </w:r>
          </w:p>
          <w:p>
            <w:pPr>
              <w:pStyle w:val="null3"/>
              <w:spacing w:before="135"/>
              <w:ind w:left="390"/>
              <w:jc w:val="left"/>
            </w:pPr>
            <w:r>
              <w:rPr>
                <w:rFonts w:ascii="仿宋_GB2312" w:hAnsi="仿宋_GB2312" w:cs="仿宋_GB2312" w:eastAsia="仿宋_GB2312"/>
                <w:sz w:val="19"/>
                <w:color w:val="000000"/>
              </w:rPr>
              <w:t>本项目主要涉及操场塑胶跑道、草皮、硅</w:t>
            </w:r>
            <w:r>
              <w:rPr>
                <w:rFonts w:ascii="仿宋_GB2312" w:hAnsi="仿宋_GB2312" w:cs="仿宋_GB2312" w:eastAsia="仿宋_GB2312"/>
                <w:sz w:val="19"/>
                <w:color w:val="000000"/>
              </w:rPr>
              <w:t>PU场地面层更新，体育器材更换，以及新建操场音响与照明系统，教室改造等内容。</w:t>
            </w:r>
          </w:p>
          <w:p>
            <w:pPr>
              <w:pStyle w:val="null3"/>
              <w:spacing w:before="135"/>
              <w:ind w:left="390"/>
              <w:jc w:val="left"/>
            </w:pPr>
            <w:r>
              <w:rPr>
                <w:rFonts w:ascii="仿宋_GB2312" w:hAnsi="仿宋_GB2312" w:cs="仿宋_GB2312" w:eastAsia="仿宋_GB2312"/>
                <w:sz w:val="19"/>
                <w:color w:val="000000"/>
              </w:rPr>
              <w:t>二、工程内容和施工地点、计划工期、缺陷责任期、质量保修期</w:t>
            </w:r>
          </w:p>
          <w:p>
            <w:pPr>
              <w:pStyle w:val="null3"/>
              <w:spacing w:before="135"/>
              <w:ind w:left="390"/>
              <w:jc w:val="left"/>
            </w:pPr>
            <w:r>
              <w:rPr>
                <w:rFonts w:ascii="仿宋_GB2312" w:hAnsi="仿宋_GB2312" w:cs="仿宋_GB2312" w:eastAsia="仿宋_GB2312"/>
                <w:sz w:val="19"/>
                <w:color w:val="000000"/>
              </w:rPr>
              <w:t>（一）工程内容：操场及教室提升改造工程，主要涉及操场塑胶跑道、草皮、硅</w:t>
            </w:r>
            <w:r>
              <w:rPr>
                <w:rFonts w:ascii="仿宋_GB2312" w:hAnsi="仿宋_GB2312" w:cs="仿宋_GB2312" w:eastAsia="仿宋_GB2312"/>
                <w:sz w:val="19"/>
                <w:color w:val="000000"/>
              </w:rPr>
              <w:t>PU场地面层更新，体育器材更换，以及新建操场音响与照明系统，垃圾外运等。</w:t>
            </w:r>
          </w:p>
          <w:p>
            <w:pPr>
              <w:pStyle w:val="null3"/>
              <w:spacing w:before="135"/>
              <w:ind w:left="390"/>
              <w:jc w:val="left"/>
            </w:pPr>
            <w:r>
              <w:rPr>
                <w:rFonts w:ascii="仿宋_GB2312" w:hAnsi="仿宋_GB2312" w:cs="仿宋_GB2312" w:eastAsia="仿宋_GB2312"/>
                <w:sz w:val="19"/>
                <w:color w:val="000000"/>
              </w:rPr>
              <w:t>（二）工程地点：西安市</w:t>
            </w:r>
            <w:r>
              <w:rPr>
                <w:rFonts w:ascii="仿宋_GB2312" w:hAnsi="仿宋_GB2312" w:cs="仿宋_GB2312" w:eastAsia="仿宋_GB2312"/>
                <w:sz w:val="19"/>
                <w:color w:val="000000"/>
              </w:rPr>
              <w:t>碑林区友谊西路</w:t>
            </w:r>
            <w:r>
              <w:rPr>
                <w:rFonts w:ascii="仿宋_GB2312" w:hAnsi="仿宋_GB2312" w:cs="仿宋_GB2312" w:eastAsia="仿宋_GB2312"/>
                <w:sz w:val="19"/>
                <w:color w:val="000000"/>
              </w:rPr>
              <w:t>286号</w:t>
            </w:r>
            <w:r>
              <w:rPr>
                <w:rFonts w:ascii="仿宋_GB2312" w:hAnsi="仿宋_GB2312" w:cs="仿宋_GB2312" w:eastAsia="仿宋_GB2312"/>
                <w:sz w:val="19"/>
                <w:color w:val="000000"/>
              </w:rPr>
              <w:t>。</w:t>
            </w:r>
          </w:p>
          <w:p>
            <w:pPr>
              <w:pStyle w:val="null3"/>
              <w:spacing w:before="135"/>
              <w:ind w:left="390"/>
              <w:jc w:val="left"/>
            </w:pPr>
            <w:r>
              <w:rPr>
                <w:rFonts w:ascii="仿宋_GB2312" w:hAnsi="仿宋_GB2312" w:cs="仿宋_GB2312" w:eastAsia="仿宋_GB2312"/>
                <w:sz w:val="19"/>
                <w:color w:val="000000"/>
              </w:rPr>
              <w:t>（三）计划工期：自进场之日起</w:t>
            </w:r>
            <w:r>
              <w:rPr>
                <w:rFonts w:ascii="仿宋_GB2312" w:hAnsi="仿宋_GB2312" w:cs="仿宋_GB2312" w:eastAsia="仿宋_GB2312"/>
                <w:sz w:val="19"/>
                <w:color w:val="000000"/>
              </w:rPr>
              <w:t>25个日历日内竣工。</w:t>
            </w:r>
          </w:p>
          <w:p>
            <w:pPr>
              <w:pStyle w:val="null3"/>
              <w:spacing w:before="135"/>
              <w:ind w:left="390"/>
              <w:jc w:val="left"/>
            </w:pPr>
            <w:r>
              <w:rPr>
                <w:rFonts w:ascii="仿宋_GB2312" w:hAnsi="仿宋_GB2312" w:cs="仿宋_GB2312" w:eastAsia="仿宋_GB2312"/>
                <w:sz w:val="19"/>
                <w:color w:val="000000"/>
              </w:rPr>
              <w:t>（四）缺陷责任期：</w:t>
            </w:r>
            <w:r>
              <w:rPr>
                <w:rFonts w:ascii="仿宋_GB2312" w:hAnsi="仿宋_GB2312" w:cs="仿宋_GB2312" w:eastAsia="仿宋_GB2312"/>
                <w:sz w:val="19"/>
                <w:color w:val="000000"/>
              </w:rPr>
              <w:t>2年</w:t>
            </w:r>
          </w:p>
          <w:p>
            <w:pPr>
              <w:pStyle w:val="null3"/>
              <w:spacing w:before="135"/>
              <w:ind w:left="390"/>
              <w:jc w:val="left"/>
            </w:pPr>
            <w:r>
              <w:rPr>
                <w:rFonts w:ascii="仿宋_GB2312" w:hAnsi="仿宋_GB2312" w:cs="仿宋_GB2312" w:eastAsia="仿宋_GB2312"/>
                <w:sz w:val="19"/>
                <w:color w:val="000000"/>
              </w:rPr>
              <w:t>（五）质量保修期：</w:t>
            </w:r>
            <w:r>
              <w:rPr>
                <w:rFonts w:ascii="仿宋_GB2312" w:hAnsi="仿宋_GB2312" w:cs="仿宋_GB2312" w:eastAsia="仿宋_GB2312"/>
                <w:sz w:val="19"/>
                <w:color w:val="000000"/>
              </w:rPr>
              <w:t>2年</w:t>
            </w:r>
          </w:p>
          <w:p>
            <w:pPr>
              <w:pStyle w:val="null3"/>
              <w:spacing w:before="135"/>
              <w:ind w:left="390"/>
              <w:jc w:val="left"/>
            </w:pPr>
            <w:r>
              <w:rPr>
                <w:rFonts w:ascii="仿宋_GB2312" w:hAnsi="仿宋_GB2312" w:cs="仿宋_GB2312" w:eastAsia="仿宋_GB2312"/>
                <w:sz w:val="19"/>
                <w:color w:val="000000"/>
              </w:rPr>
              <w:t>三、</w:t>
            </w:r>
            <w:r>
              <w:rPr>
                <w:rFonts w:ascii="仿宋_GB2312" w:hAnsi="仿宋_GB2312" w:cs="仿宋_GB2312" w:eastAsia="仿宋_GB2312"/>
                <w:sz w:val="19"/>
                <w:color w:val="000000"/>
              </w:rPr>
              <w:t>工程量清单和计价依据</w:t>
            </w:r>
          </w:p>
          <w:p>
            <w:pPr>
              <w:pStyle w:val="null3"/>
              <w:spacing w:before="135"/>
              <w:ind w:left="390"/>
              <w:jc w:val="left"/>
            </w:pPr>
            <w:r>
              <w:rPr>
                <w:rFonts w:ascii="仿宋_GB2312" w:hAnsi="仿宋_GB2312" w:cs="仿宋_GB2312" w:eastAsia="仿宋_GB2312"/>
                <w:sz w:val="19"/>
                <w:color w:val="000000"/>
              </w:rPr>
              <w:t>工程量清单另附。</w:t>
            </w:r>
          </w:p>
          <w:p>
            <w:pPr>
              <w:pStyle w:val="null3"/>
              <w:spacing w:before="135"/>
              <w:ind w:left="390"/>
              <w:jc w:val="left"/>
            </w:pPr>
            <w:r>
              <w:rPr>
                <w:rFonts w:ascii="仿宋_GB2312" w:hAnsi="仿宋_GB2312" w:cs="仿宋_GB2312" w:eastAsia="仿宋_GB2312"/>
                <w:sz w:val="19"/>
                <w:color w:val="000000"/>
              </w:rPr>
              <w:t>（一）计价依据：</w:t>
            </w:r>
          </w:p>
          <w:p>
            <w:pPr>
              <w:pStyle w:val="null3"/>
              <w:spacing w:before="135"/>
              <w:ind w:left="390"/>
              <w:jc w:val="left"/>
            </w:pPr>
            <w:r>
              <w:rPr>
                <w:rFonts w:ascii="仿宋_GB2312" w:hAnsi="仿宋_GB2312" w:cs="仿宋_GB2312" w:eastAsia="仿宋_GB2312"/>
                <w:sz w:val="19"/>
                <w:color w:val="000000"/>
              </w:rPr>
              <w:t>1、工程量依据西安市第八十二中学操场及教室提升改造工程各专业施工图及设计答疑回复编制；</w:t>
            </w:r>
          </w:p>
          <w:p>
            <w:pPr>
              <w:pStyle w:val="null3"/>
              <w:spacing w:before="135"/>
              <w:ind w:left="390"/>
              <w:jc w:val="left"/>
            </w:pPr>
            <w:r>
              <w:rPr>
                <w:rFonts w:ascii="仿宋_GB2312" w:hAnsi="仿宋_GB2312" w:cs="仿宋_GB2312" w:eastAsia="仿宋_GB2312"/>
                <w:sz w:val="19"/>
                <w:color w:val="000000"/>
              </w:rPr>
              <w:t>2、《关于批准发布《绿色生态小区建设评价标准》等7项陕西省工程建设标准的通告》陕建标发〔2025〕2号，《建设工程工程量清单计价标准》（DB 61/T5126-2025）、《市政工程工程量计算标准》（DB 61/T5128-2025）、《房屋建筑与装饰工程工程量计算标准》（DB 61/T5129-2025）、《通用安装工程工程量计算标准》（DB 61/T5130-2025）、《园林绿化工程工程量计算标准》（DB 61/T5131-2025）；</w:t>
            </w:r>
          </w:p>
          <w:p>
            <w:pPr>
              <w:pStyle w:val="null3"/>
              <w:spacing w:before="135"/>
              <w:ind w:left="390"/>
              <w:jc w:val="left"/>
            </w:pPr>
            <w:r>
              <w:rPr>
                <w:rFonts w:ascii="仿宋_GB2312" w:hAnsi="仿宋_GB2312" w:cs="仿宋_GB2312" w:eastAsia="仿宋_GB2312"/>
                <w:sz w:val="19"/>
                <w:color w:val="000000"/>
              </w:rPr>
              <w:t>3、《陕西省住房和城乡建设厅关于印发2025陕西省建设工程费用规则等计价依据的通知》（陕建管发〔2025〕10号），《陕西省建设工程费用规则》（2025）；《陕西省房屋建筑与装饰工程消耗量定额》（2025）、《陕西省通用安装工程消耗量定额》（2025）、《陕西省市政工程消耗量定额》（2025）、《陕西省园林绿化工程消耗量定额》（2025）；与定额相配套使用的基价表《陕西省房屋建筑与装饰工程基价表》（2025）、《陕西省通用安装工程基价表》（2025）、《陕西省市政工程基价表》（2025）、《陕西省园林绿化工程基价表》（2025）；《陕西省建设工程施工机械台班费用定额》（2025）、《陕西省建设工程施工仪器仪表台班费用定额》（2025）及其他相关的计价依据和办法；</w:t>
            </w:r>
          </w:p>
          <w:p>
            <w:pPr>
              <w:pStyle w:val="null3"/>
              <w:spacing w:before="135"/>
              <w:ind w:left="390"/>
              <w:jc w:val="left"/>
            </w:pPr>
            <w:r>
              <w:rPr>
                <w:rFonts w:ascii="仿宋_GB2312" w:hAnsi="仿宋_GB2312" w:cs="仿宋_GB2312" w:eastAsia="仿宋_GB2312"/>
                <w:sz w:val="19"/>
                <w:color w:val="000000"/>
              </w:rPr>
              <w:t>4、工程特点及常规施工方案，现行施工规范；</w:t>
            </w:r>
          </w:p>
          <w:p>
            <w:pPr>
              <w:pStyle w:val="null3"/>
              <w:spacing w:before="135"/>
              <w:ind w:left="390"/>
              <w:jc w:val="left"/>
            </w:pPr>
            <w:r>
              <w:rPr>
                <w:rFonts w:ascii="仿宋_GB2312" w:hAnsi="仿宋_GB2312" w:cs="仿宋_GB2312" w:eastAsia="仿宋_GB2312"/>
                <w:sz w:val="19"/>
                <w:color w:val="000000"/>
              </w:rPr>
              <w:t>5、与建设工程项目有关的标准、规范、图集、技术资料；</w:t>
            </w:r>
          </w:p>
          <w:p>
            <w:pPr>
              <w:pStyle w:val="null3"/>
              <w:spacing w:before="135"/>
              <w:ind w:left="390"/>
              <w:jc w:val="left"/>
            </w:pPr>
            <w:r>
              <w:rPr>
                <w:rFonts w:ascii="仿宋_GB2312" w:hAnsi="仿宋_GB2312" w:cs="仿宋_GB2312" w:eastAsia="仿宋_GB2312"/>
                <w:sz w:val="19"/>
                <w:color w:val="000000"/>
              </w:rPr>
              <w:t>6、图纸问题答疑回复；</w:t>
            </w:r>
          </w:p>
          <w:p>
            <w:pPr>
              <w:pStyle w:val="null3"/>
              <w:spacing w:before="135"/>
              <w:ind w:left="390"/>
              <w:jc w:val="left"/>
            </w:pPr>
            <w:r>
              <w:rPr>
                <w:rFonts w:ascii="仿宋_GB2312" w:hAnsi="仿宋_GB2312" w:cs="仿宋_GB2312" w:eastAsia="仿宋_GB2312"/>
                <w:sz w:val="19"/>
                <w:color w:val="000000"/>
              </w:rPr>
              <w:t>7、主要材料价格参照2026年第5期《陕西工程造价信息》，信息价中没有的材料参考市场价进行编制。</w:t>
            </w:r>
          </w:p>
          <w:p>
            <w:pPr>
              <w:pStyle w:val="null3"/>
            </w:pPr>
            <w:r>
              <w:rPr>
                <w:rFonts w:ascii="仿宋_GB2312" w:hAnsi="仿宋_GB2312" w:cs="仿宋_GB2312" w:eastAsia="仿宋_GB2312"/>
                <w:sz w:val="19"/>
                <w:color w:val="000000"/>
              </w:rPr>
              <w:t>（二）工程量清单：另附。</w:t>
            </w:r>
          </w:p>
          <w:p>
            <w:pPr>
              <w:pStyle w:val="null3"/>
              <w:jc w:val="both"/>
            </w:pPr>
            <w:r>
              <w:rPr>
                <w:rFonts w:ascii="仿宋_GB2312" w:hAnsi="仿宋_GB2312" w:cs="仿宋_GB2312" w:eastAsia="仿宋_GB2312"/>
                <w:sz w:val="24"/>
                <w:b/>
                <w:color w:val="000000"/>
              </w:rPr>
              <w:t>三、编制说明：</w:t>
            </w:r>
          </w:p>
          <w:p>
            <w:pPr>
              <w:pStyle w:val="null3"/>
              <w:jc w:val="both"/>
            </w:pPr>
            <w:r>
              <w:rPr>
                <w:rFonts w:ascii="仿宋_GB2312" w:hAnsi="仿宋_GB2312" w:cs="仿宋_GB2312" w:eastAsia="仿宋_GB2312"/>
                <w:sz w:val="19"/>
                <w:color w:val="000000"/>
              </w:rPr>
              <w:t>1、本工程量清单所提供工程项目特征仅表达了主要工程做法，组价时应依据施工图纸、相关图集、招标文件、技术规范、答疑回复等进行组价；</w:t>
            </w:r>
          </w:p>
          <w:p>
            <w:pPr>
              <w:pStyle w:val="null3"/>
            </w:pPr>
            <w:r>
              <w:rPr>
                <w:rFonts w:ascii="仿宋_GB2312" w:hAnsi="仿宋_GB2312" w:cs="仿宋_GB2312" w:eastAsia="仿宋_GB2312"/>
                <w:sz w:val="19"/>
                <w:color w:val="000000"/>
              </w:rPr>
              <w:t>2、本工程采用一般计税:组成税前工程造价的分部分项工程项目费、措施项目费、其他项目费均不包含进项税税额；</w:t>
            </w:r>
          </w:p>
          <w:p>
            <w:pPr>
              <w:pStyle w:val="null3"/>
            </w:pPr>
            <w:r>
              <w:rPr>
                <w:rFonts w:ascii="仿宋_GB2312" w:hAnsi="仿宋_GB2312" w:cs="仿宋_GB2312" w:eastAsia="仿宋_GB2312"/>
                <w:sz w:val="19"/>
                <w:color w:val="000000"/>
              </w:rPr>
              <w:t>3、本工程砂浆采用预拌砂浆，混凝土采用商品混凝土；</w:t>
            </w:r>
          </w:p>
          <w:p>
            <w:pPr>
              <w:pStyle w:val="null3"/>
            </w:pPr>
            <w:r>
              <w:rPr>
                <w:rFonts w:ascii="仿宋_GB2312" w:hAnsi="仿宋_GB2312" w:cs="仿宋_GB2312" w:eastAsia="仿宋_GB2312"/>
                <w:sz w:val="19"/>
                <w:color w:val="000000"/>
              </w:rPr>
              <w:t>4、电子版使用广联达云计价软件GCCP7.0（版本：7.5000.23.3）。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本项目技术标准执行本项目设计文件及国家、陕西省相关规范、标准。 本工程的施工过程和成果必须同时符合国家有关工程建设标准强制性条文和国家或有关部门关于工程施工方面现行的标准、规范、规程、定额、办法、示例，以及陕西省关于工程施工方面的文件、规定及设计文件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承包人在施工过程中使用或参考上述标准、规范以外的技术标准、规范时，应征得业主或业主指定代表人的同意。在施工过程中，如果国家或有关部门颁布了新的技术标准或规范，则承包人应采用新的标准或规范进行施工。 2）、施工范围：施工图纸及工程量清单中全部内容。直至竣工验收合格并整体移交、工程保修期内的缺陷修复和保修工作。同时承担相关协调工作。 3）、设备及材料选用:工程所用设备及材料应在满足使用功能的基础上，按照经济合理的原则进行选择。 4）、工程涉及的劳动安全、节能、环保、消防等应严格按照国家有关法规执行。 5）、工期：自进场之日起25个日历日内竣工； 6）、质量标准：现行的国家标准或国家行政部门颁布的法律法规、规章制度等。</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最高限价编制说明 一、工程概况： 工程名称：西安市第八十二中学操场及教室提升改造工程 工程类型：改造项目 工程地点：陕西省西安市碑林区。 二、编制范围及内容： 1、西安市第八十二中学操场及教室提升改造工程。教室部分内容包含会议室改教室、门窗改造、钢制楼梯改造；操场部分内容包含本次仅更换面层,操场环沟盖板更换、环沟清理、冲洗。池壁防水砂浆抹面。沙坑扩建,运动场地硅PU面层拆除、新做,主席台钢膜结构新增膜结构雨棚,膜布换新,主席台东西立面花岗岩石材维修(主材利旧)。东边紫藤地面切割、扩口,石材板安装。主席台北边看台改造,栏杆更换、台阶制作。北围墙区域渗水砖及树坑维修,墙皮砍除、重新抹灰、新铺外墙瓷砖、画线。运动场地球网、球架更换篮球杆打磨刷漆,兵乓球案翻新,地下室及操场周边音响设施设备升级等项目等各专业内容。 三、最高限价编制依据： 1、工程量依据西安市第八十二中学操场及教室提升改造工程各专业施工图及设计答疑回复编制； 2、《关于批准发布《绿色生态小区建设评价标准》等7项陕西省工程建设标准的通告》陕建标发〔2025〕2号，《建设工程工程量清单计价标准》（DB 61/T5126-2025）、《市政工程工程量计算标准》（DB 61/T5128-2025）、《房屋建筑与装饰工程工程量计算标准》（DB 61/T5129-2025）、《通用安装工程工程量计算标准》（DB 61/T5130-2025）、《园林绿化工程工程量计算标准》（DB 61/T5131-2025）； 3、《陕西省住房和城乡建设厅关于印发2025陕西省建设工程费用规则等计价依据的通知》（陕建管发〔2025〕10号），《陕西省建设工程费用规则》（2025）；《陕西省房屋建筑与装饰工程消耗量定额》（2025）、《陕西省通用安装工程消耗量定额》（2025）、《陕西省市政工程消耗量定额》（2025）、《陕西省园林绿化工程消耗量定额》（2025）；与定额相配套使用的基价表《陕西省房屋建筑与装饰工程基价表》【2025】、《陕西省通用安装工程基价表》【2025】、《陕西省市政工程基价表》【2025】、《陕西省园林绿化工程基价表》【2025】；《陕西省建设工程施工机械台班费用定额》（2025）、《陕西省建设工程施工仪器仪表台班费用定额》（2025）及其他相关的计价依据和办法； 4、工程特点及常规施工方案，现行施工规范； 5、与建设工程项目有关的标准、规范、图集、技术资料； 6、图纸问题答疑回复； 7、主要材料价格参照2026年第5期《陕西工程造价信息》，信息价中没有的材料参考市场价进行编制。 四、编制说明： 1、本工程量清单所提供工程项目特征仅表达了主要工程做法，组价时应依据施工图纸、相关图集、招标文件、技术规范、答疑回复等进行组价； 2、本工程采用一般计税:组成税前工程造价的分部分项工程项目费、措施项目费、其他项目费均不包含进项税税额； 3、本工程砂浆采用预拌砂浆，混凝土采用商品混凝土； 4、电子版使用广联达云计价软件GCCP7.0（版本：7.5000.23.3）。 五、暂列金额、暂估单价： 1、暂列金额：本工程暂列金额共计6.8万元整，计入其他项目费中； 2、会议室桌椅保护性移除【暂估单价 综合单价】500元/项。 六、问题回复： 1、原主席台原钢膜不在本次报价内； 2、音响、照明直埋管沟面层透水砖利旧。 七、图纸答疑：详见附件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资格证明文件材料.docx 中小企业声明函 残疾人福利性单位声明函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关于财务会计制度的证明材料财务状况报告：提供2025年度经审计的财务审计报告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资格证明文件材料.docx 报价函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与大企业的负责人为同一人，或者与大企业存在直接控股、管理关系的不得参加本项目政府采购活动；供应商需在项目电子化交易系统中按要求填写《响应函》完成承诺并进行电子签章。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资格证明文件材料.docx 技术文件.docx 中小企业声明函 残疾人福利性单位声明函 技术服务合同条款及其他商务要求应答表 供应商类似项目业绩一览表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人应为中型、小型、微型企业或监狱企业或残疾人福利性单位。投标人为中型、小型、微型企业的，提供《中小企业声明函》，投标人为监狱企业的，应提供监狱企业的证明文件；投标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响应文件封面 资格证明文件材料.docx 已标价工程量清单 中小企业声明函 残疾人福利性单位声明函 报价函 技术服务合同条款及其他商务要求应答表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有效的主体资格证明：供应商应是独立承担民事责任能力的法人、其他组织或自然人，法人 、其他组织须提供合法有效的统一社会信用代码营业执照等证明资料， 自然人须提供身份证明。</w:t>
            </w:r>
          </w:p>
        </w:tc>
        <w:tc>
          <w:tcPr>
            <w:tcW w:type="dxa" w:w="1661"/>
          </w:tcPr>
          <w:p>
            <w:pPr>
              <w:pStyle w:val="null3"/>
            </w:pPr>
            <w:r>
              <w:rPr>
                <w:rFonts w:ascii="仿宋_GB2312" w:hAnsi="仿宋_GB2312" w:cs="仿宋_GB2312" w:eastAsia="仿宋_GB2312"/>
              </w:rPr>
              <w:t>响应文件封面 资格证明文件材料.docx 中小企业声明函 残疾人福利性单位声明函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1）法定代表人授权委托书及被授权人身份证（法定代表人参加投标的，提供法定代表人（单位负责人）身份证明及身份；（2）法定代表人授权他人参加投标的，提供法定代表人委托授权书及被授权代表的身份证）符合磋商文件要求。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响应文件封面 资格证明文件材料.docx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税收缴纳证明材料</w:t>
            </w:r>
          </w:p>
        </w:tc>
        <w:tc>
          <w:tcPr>
            <w:tcW w:type="dxa" w:w="3322"/>
          </w:tcPr>
          <w:p>
            <w:pPr>
              <w:pStyle w:val="null3"/>
            </w:pPr>
            <w:r>
              <w:rPr>
                <w:rFonts w:ascii="仿宋_GB2312" w:hAnsi="仿宋_GB2312" w:cs="仿宋_GB2312" w:eastAsia="仿宋_GB2312"/>
              </w:rPr>
              <w:t>税收缴纳证明材料：供应商需提供递交响应文件截止时间前12个月内任意一个月缴纳税收的凭据或完税证明，凭据应有税务机关或代收机关的公章或业务专用章；依法免税的供应商应提供相关文件证明；</w:t>
            </w:r>
          </w:p>
        </w:tc>
        <w:tc>
          <w:tcPr>
            <w:tcW w:type="dxa" w:w="1661"/>
          </w:tcPr>
          <w:p>
            <w:pPr>
              <w:pStyle w:val="null3"/>
            </w:pPr>
            <w:r>
              <w:rPr>
                <w:rFonts w:ascii="仿宋_GB2312" w:hAnsi="仿宋_GB2312" w:cs="仿宋_GB2312" w:eastAsia="仿宋_GB2312"/>
              </w:rPr>
              <w:t>响应文件封面 资格证明文件材料.docx 已标价工程量清单 报价函 技术服务合同条款及其他商务要求应答表 标的清单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1）提供供应商自投标截止日期前6个月以来已缴存的任意时段的社会保障资金缴存单据或社保机构开具的社会保险参保缴费情况证明；（2）依法不需要缴纳社会保障资金的供应商应提供相关文件证明；（3 ) 新成立未发生缴纳社保资金事项的供应商， 应提供缴纳社保资金的书面承诺；</w:t>
            </w:r>
          </w:p>
        </w:tc>
        <w:tc>
          <w:tcPr>
            <w:tcW w:type="dxa" w:w="1661"/>
          </w:tcPr>
          <w:p>
            <w:pPr>
              <w:pStyle w:val="null3"/>
            </w:pPr>
            <w:r>
              <w:rPr>
                <w:rFonts w:ascii="仿宋_GB2312" w:hAnsi="仿宋_GB2312" w:cs="仿宋_GB2312" w:eastAsia="仿宋_GB2312"/>
              </w:rPr>
              <w:t>响应文件封面 资格证明文件材料.docx 中小企业声明函 报价函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供应商参加政府采购活动前 3 年内在经营活动中没有重大违法记录的书面声明书</w:t>
            </w:r>
          </w:p>
        </w:tc>
        <w:tc>
          <w:tcPr>
            <w:tcW w:type="dxa" w:w="1661"/>
          </w:tcPr>
          <w:p>
            <w:pPr>
              <w:pStyle w:val="null3"/>
            </w:pPr>
            <w:r>
              <w:rPr>
                <w:rFonts w:ascii="仿宋_GB2312" w:hAnsi="仿宋_GB2312" w:cs="仿宋_GB2312" w:eastAsia="仿宋_GB2312"/>
              </w:rPr>
              <w:t>响应文件封面 资格证明文件材料.docx 中小企业声明函 报价函 技术服务合同条款及其他商务要求应答表 响应函 陕西省政府采购供应商拒绝政府采购领域商业贿赂承诺书.docx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具有履行合同所必需的设备和专业技术能力的声明函</w:t>
            </w:r>
          </w:p>
        </w:tc>
        <w:tc>
          <w:tcPr>
            <w:tcW w:type="dxa" w:w="1661"/>
          </w:tcPr>
          <w:p>
            <w:pPr>
              <w:pStyle w:val="null3"/>
            </w:pPr>
            <w:r>
              <w:rPr>
                <w:rFonts w:ascii="仿宋_GB2312" w:hAnsi="仿宋_GB2312" w:cs="仿宋_GB2312" w:eastAsia="仿宋_GB2312"/>
              </w:rPr>
              <w:t>响应文件封面 资格证明文件材料.docx 中小企业声明函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供应商具有建设行政主管部门核发的建筑工程施工总承包三级（含三级）及以上资质，且具备有效的安全生产许可证。</w:t>
            </w:r>
          </w:p>
        </w:tc>
        <w:tc>
          <w:tcPr>
            <w:tcW w:type="dxa" w:w="1661"/>
          </w:tcPr>
          <w:p>
            <w:pPr>
              <w:pStyle w:val="null3"/>
            </w:pPr>
            <w:r>
              <w:rPr>
                <w:rFonts w:ascii="仿宋_GB2312" w:hAnsi="仿宋_GB2312" w:cs="仿宋_GB2312" w:eastAsia="仿宋_GB2312"/>
              </w:rPr>
              <w:t>响应文件封面 资格证明文件材料.docx 已标价工程量清单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 (含二级）及以上注册建造师执业资格和有效的安全生产考核合格证书，且未担任其他在建工程的项目经理。</w:t>
            </w:r>
          </w:p>
        </w:tc>
        <w:tc>
          <w:tcPr>
            <w:tcW w:type="dxa" w:w="1661"/>
          </w:tcPr>
          <w:p>
            <w:pPr>
              <w:pStyle w:val="null3"/>
            </w:pPr>
            <w:r>
              <w:rPr>
                <w:rFonts w:ascii="仿宋_GB2312" w:hAnsi="仿宋_GB2312" w:cs="仿宋_GB2312" w:eastAsia="仿宋_GB2312"/>
              </w:rPr>
              <w:t>响应文件封面 资格证明文件材料.docx 已标价工程量清单 中小企业声明函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供应商及项目经理基本信息</w:t>
            </w:r>
          </w:p>
        </w:tc>
        <w:tc>
          <w:tcPr>
            <w:tcW w:type="dxa" w:w="3322"/>
          </w:tcPr>
          <w:p>
            <w:pPr>
              <w:pStyle w:val="null3"/>
            </w:pPr>
            <w:r>
              <w:rPr>
                <w:rFonts w:ascii="仿宋_GB2312" w:hAnsi="仿宋_GB2312" w:cs="仿宋_GB2312" w:eastAsia="仿宋_GB2312"/>
              </w:rPr>
              <w:t>供应商及项目经理基本信息须在“ 陕西省建设网 ”可查询</w:t>
            </w:r>
          </w:p>
        </w:tc>
        <w:tc>
          <w:tcPr>
            <w:tcW w:type="dxa" w:w="1661"/>
          </w:tcPr>
          <w:p>
            <w:pPr>
              <w:pStyle w:val="null3"/>
            </w:pPr>
            <w:r>
              <w:rPr>
                <w:rFonts w:ascii="仿宋_GB2312" w:hAnsi="仿宋_GB2312" w:cs="仿宋_GB2312" w:eastAsia="仿宋_GB2312"/>
              </w:rPr>
              <w:t>响应文件封面 资格证明文件材料.docx 已标价工程量清单 中小企业声明函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w:t>
            </w:r>
          </w:p>
        </w:tc>
        <w:tc>
          <w:tcPr>
            <w:tcW w:type="dxa" w:w="1661"/>
          </w:tcPr>
          <w:p>
            <w:pPr>
              <w:pStyle w:val="null3"/>
            </w:pPr>
            <w:r>
              <w:rPr>
                <w:rFonts w:ascii="仿宋_GB2312" w:hAnsi="仿宋_GB2312" w:cs="仿宋_GB2312" w:eastAsia="仿宋_GB2312"/>
              </w:rPr>
              <w:t>响应文件封面 资格证明文件材料.docx 已标价工程量清单 中小企业声明函 报价函 供应商类似项目业绩一览表 响应函 陕西省政府采购供应商拒绝政府采购领域商业贿赂承诺书.docx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资格证明文件材料.docx 已标价工程量清单 中小企业声明函 报价函 标的清单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资格证明文件材料.docx 技术文件.docx 残疾人福利性单位声明函 报价函 标的清单 供应商类似项目业绩一览表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 响应文件格式”和响应文件要求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资格证明文件材料.docx 技术文件.docx 残疾人福利性单位声明函 报价函 标的清单 供应商类似项目业绩一览表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技术文件.docx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资格证明文件材料.docx 已标价工程量清单 技术文件.docx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资格证明文件材料.docx 技术文件.docx 报价函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付款条件</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已标价工程量清单 技术文件.docx 中小企业声明函 报价函 技术服务合同条款及其他商务要求应答表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响应文件封面 已标价工程量清单 技术文件.docx 中小企业声明函 报价函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资格证明文件材料.docx 技术文件.docx 残疾人福利性单位声明函 报价函 标的清单 供应商类似项目业绩一览表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项目认知与特点分析</w:t>
            </w:r>
          </w:p>
        </w:tc>
        <w:tc>
          <w:tcPr>
            <w:tcW w:type="dxa" w:w="2492"/>
          </w:tcPr>
          <w:p>
            <w:pPr>
              <w:pStyle w:val="null3"/>
            </w:pPr>
            <w:r>
              <w:rPr>
                <w:rFonts w:ascii="仿宋_GB2312" w:hAnsi="仿宋_GB2312" w:cs="仿宋_GB2312" w:eastAsia="仿宋_GB2312"/>
              </w:rPr>
              <w:t>优秀（4.5-6.0分]：精准梳理八十二中教室改造施工难点、重点，全面分析校园施工、在校教学、人员密集、场地受限、作息管控等核心特点，分析贴合现场实际，针对性极强。 良好(3.0-4.5分]：基本掌握项目改造内容，可梳理主要施工特点，贴合校园施工场景，无偏差。 合格（1.5-3.0分]：项目认知浅显，特点分析笼统，仅简单罗列改造内容，针对性较弱。 不合格（0-1.5分]：对项目概况、施工特点认知错误，脱离本项目实际。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总体施工部署</w:t>
            </w:r>
          </w:p>
        </w:tc>
        <w:tc>
          <w:tcPr>
            <w:tcW w:type="dxa" w:w="2492"/>
          </w:tcPr>
          <w:p>
            <w:pPr>
              <w:pStyle w:val="null3"/>
            </w:pPr>
            <w:r>
              <w:rPr>
                <w:rFonts w:ascii="仿宋_GB2312" w:hAnsi="仿宋_GB2312" w:cs="仿宋_GB2312" w:eastAsia="仿宋_GB2312"/>
              </w:rPr>
              <w:t>优秀（4.5-6.0分]：施工分区、流水段划分科学，人员、机械、材料部署适配校园狭小场地，施工总体思路清晰，完全适配错峰施工需求。 良好（3.0-4.5分]：施工部署合理，分区规划清晰，基本满足现场施工要求。 合格（1.5-3.0分]：施工部署简单，分区规划不细致，部署合理性一般。 不合格（0-1.5 分]：施工部署混乱，无法指导现场施工。</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主要分部分项施工方案（1.核心工序施工工艺）</w:t>
            </w:r>
          </w:p>
        </w:tc>
        <w:tc>
          <w:tcPr>
            <w:tcW w:type="dxa" w:w="2492"/>
          </w:tcPr>
          <w:p>
            <w:pPr>
              <w:pStyle w:val="null3"/>
            </w:pPr>
            <w:r>
              <w:rPr>
                <w:rFonts w:ascii="仿宋_GB2312" w:hAnsi="仿宋_GB2312" w:cs="仿宋_GB2312" w:eastAsia="仿宋_GB2312"/>
              </w:rPr>
              <w:t>优秀（4.5-6.0分]：各分部分项施工工序完整、工艺标准精准，基层处理、面层施工、隐蔽工程、成品收口等关键工艺详细，完全符合教室改造规范，适配教学空间使用标准。 良好（3.0-4.5分]：施工工艺完整，工序流程清晰，工艺标准符合规范，细节略有欠缺。 合格（1.5-3.0分]：施工方案基本完整，工序简单罗列，工艺细节缺失较多。 不合格（0-1.5分]）：施工工序混乱、工艺错误，关键施工内容缺失。</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主要分部分项施工方案（2.总体施工部署案）</w:t>
            </w:r>
          </w:p>
        </w:tc>
        <w:tc>
          <w:tcPr>
            <w:tcW w:type="dxa" w:w="2492"/>
          </w:tcPr>
          <w:p>
            <w:pPr>
              <w:pStyle w:val="null3"/>
            </w:pPr>
            <w:r>
              <w:rPr>
                <w:rFonts w:ascii="仿宋_GB2312" w:hAnsi="仿宋_GB2312" w:cs="仿宋_GB2312" w:eastAsia="仿宋_GB2312"/>
              </w:rPr>
              <w:t>优秀（4.5-6.0分]：针对教室空间狭小、桌椅设备多、师生活动密集等特点，制定专属拆除、安装、翻新、降噪、防尘专项方案，可落地性强。 良好（3.0-4.5 分]：有专项施工规划，贴合教室改造场景，基本满足施工要求。 合格（1.5-3.0 分]：专项方案简单，针对性不足，仅通用施工内容。 不合格（0-1.5分]：无专项改造方案，完全套用通用模板。</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施工进度计划与工期保障（1.进度计划编制）</w:t>
            </w:r>
          </w:p>
        </w:tc>
        <w:tc>
          <w:tcPr>
            <w:tcW w:type="dxa" w:w="2492"/>
          </w:tcPr>
          <w:p>
            <w:pPr>
              <w:pStyle w:val="null3"/>
            </w:pPr>
            <w:r>
              <w:rPr>
                <w:rFonts w:ascii="仿宋_GB2312" w:hAnsi="仿宋_GB2312" w:cs="仿宋_GB2312" w:eastAsia="仿宋_GB2312"/>
              </w:rPr>
              <w:t>优秀（4.5-6.0分]：配备完整横道图、节点网络图，工期分解细化到每日、每分项，贴合学校假期、课余施工窗口期，关键工期节点清晰合理。 良好（3.0-4.5分]：进度计划完整，节点清晰，符合总工期要求。 合格（1.5-3.0 分]：进度计划简单，节点划分粗略，无细化分解。 不合格（0-1.5分]：无完整进度计划，工期规划不合理、不符合磋商文件要求。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施工进度计划与工期保障（2.工期保障措施）</w:t>
            </w:r>
          </w:p>
        </w:tc>
        <w:tc>
          <w:tcPr>
            <w:tcW w:type="dxa" w:w="2492"/>
          </w:tcPr>
          <w:p>
            <w:pPr>
              <w:pStyle w:val="null3"/>
            </w:pPr>
            <w:r>
              <w:rPr>
                <w:rFonts w:ascii="仿宋_GB2312" w:hAnsi="仿宋_GB2312" w:cs="仿宋_GB2312" w:eastAsia="仿宋_GB2312"/>
              </w:rPr>
              <w:t>优秀（4.5-6.0分]：人员、机械、材料、应急预案、雨天施工、交叉施工保障措施全面，可有效保障工期，适配校园施工停工、错峰调整场景。 良好（3.0-4.5分]：工期保障措施齐全，基本满足工期要求。 合格（1.5-3.0 分]：保障措施简单，内容单一。 不合格（0-1.5分]：无工期保障措施，或措施无效。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质量保证体系与管控措施（1.质量体系与管理制度）</w:t>
            </w:r>
          </w:p>
        </w:tc>
        <w:tc>
          <w:tcPr>
            <w:tcW w:type="dxa" w:w="2492"/>
          </w:tcPr>
          <w:p>
            <w:pPr>
              <w:pStyle w:val="null3"/>
            </w:pPr>
            <w:r>
              <w:rPr>
                <w:rFonts w:ascii="仿宋_GB2312" w:hAnsi="仿宋_GB2312" w:cs="仿宋_GB2312" w:eastAsia="仿宋_GB2312"/>
              </w:rPr>
              <w:t>优秀（4.5-6.0分]：质量管理制度完善，岗位职责清晰，三检制度、验收制度、样板先行制度齐全，贴合装饰装修工程质量验收标准。 良好（3.0-4.5分]：质量体系完整，管理制度健全。 合格（1.5-3.0 分]：制度基本齐全，内容简略。 不合格（0-1.5分）：质量体系缺失，无管控制度。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质量保证体系与管控措施（2.施工质量管控措施）</w:t>
            </w:r>
          </w:p>
        </w:tc>
        <w:tc>
          <w:tcPr>
            <w:tcW w:type="dxa" w:w="2492"/>
          </w:tcPr>
          <w:p>
            <w:pPr>
              <w:pStyle w:val="null3"/>
            </w:pPr>
            <w:r>
              <w:rPr>
                <w:rFonts w:ascii="仿宋_GB2312" w:hAnsi="仿宋_GB2312" w:cs="仿宋_GB2312" w:eastAsia="仿宋_GB2312"/>
              </w:rPr>
              <w:t>优秀（4.5-6.0分]：针对教室墙面平整、地面耐磨、线路安全、门窗密闭、环保达标等关键质量控制点，制定专项管控、复检、整改措施，细节管控到位。 良好（3.0-4.5分]：质量管控措施齐全，重点工序管控到位。 合格（1.5-3.0 分]：管控措施简单，关键节点管控缺失。 不合格（0-1.5 分]：无质量管控措施，无验收保障方案。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安全文明施工、校园专项管控（1.安全生产保障措施）</w:t>
            </w:r>
          </w:p>
        </w:tc>
        <w:tc>
          <w:tcPr>
            <w:tcW w:type="dxa" w:w="2492"/>
          </w:tcPr>
          <w:p>
            <w:pPr>
              <w:pStyle w:val="null3"/>
            </w:pPr>
            <w:r>
              <w:rPr>
                <w:rFonts w:ascii="仿宋_GB2312" w:hAnsi="仿宋_GB2312" w:cs="仿宋_GB2312" w:eastAsia="仿宋_GB2312"/>
              </w:rPr>
              <w:t>优秀（3.0-4.0分]：高空作业、用电施工、机械作业、临时施工防护、学生隔离防护等安全措施全面，风险预判到位，应急预案完善。 良好（2.0-3.0分]：安全措施齐全，可规避常规施工风险。 合格（1.0-2.0分]：安全措施基本齐全，细节不足。 不合格（0-1.0分]：安全措施缺失，存在重大安全漏洞。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安全文明施工、校园专项管控（2.文明施工与环保管控）</w:t>
            </w:r>
          </w:p>
        </w:tc>
        <w:tc>
          <w:tcPr>
            <w:tcW w:type="dxa" w:w="2492"/>
          </w:tcPr>
          <w:p>
            <w:pPr>
              <w:pStyle w:val="null3"/>
            </w:pPr>
            <w:r>
              <w:rPr>
                <w:rFonts w:ascii="仿宋_GB2312" w:hAnsi="仿宋_GB2312" w:cs="仿宋_GB2312" w:eastAsia="仿宋_GB2312"/>
              </w:rPr>
              <w:t>优秀（3.0-4.0分]：扬尘治理、噪音降噪、垃圾日清、废水处理、材料堆放管控严格，完全适配校园教学环境，错峰降噪施工方案详细。 良好（2.0-3.0分]：文明施工、环保措施齐全，符合市政施工现场标准。 合格（1.5-2.0分]）：基本满足文明施工要求，管控细节欠缺。 不合格（0-1.0分]：无降噪、防尘、环保管控措施。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安全文明施工、校园专项管控（3.校园专项防护保障）</w:t>
            </w:r>
          </w:p>
        </w:tc>
        <w:tc>
          <w:tcPr>
            <w:tcW w:type="dxa" w:w="2492"/>
          </w:tcPr>
          <w:p>
            <w:pPr>
              <w:pStyle w:val="null3"/>
            </w:pPr>
            <w:r>
              <w:rPr>
                <w:rFonts w:ascii="仿宋_GB2312" w:hAnsi="仿宋_GB2312" w:cs="仿宋_GB2312" w:eastAsia="仿宋_GB2312"/>
              </w:rPr>
              <w:t>优秀（3.0-4.0分]：制定师生隔离、教学楼通道防护、原有教学设施成品保护、施工区域封闭管理、夜间施工管控、校园秩序保障专项方案，针对性极强。 良好（2.0-3.0分]：有校园防护措施，可保障师生安全及校园正常教学秩序。 合格（1.0-2.0分]：防护措施简单，针对性不足。 不合格（0-1.0分]）：无校园专项防护方案。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人员、机械、材料资源配置</w:t>
            </w:r>
          </w:p>
        </w:tc>
        <w:tc>
          <w:tcPr>
            <w:tcW w:type="dxa" w:w="2492"/>
          </w:tcPr>
          <w:p>
            <w:pPr>
              <w:pStyle w:val="null3"/>
            </w:pPr>
            <w:r>
              <w:rPr>
                <w:rFonts w:ascii="仿宋_GB2312" w:hAnsi="仿宋_GB2312" w:cs="仿宋_GB2312" w:eastAsia="仿宋_GB2312"/>
              </w:rPr>
              <w:t>优秀（4.5-6.0分]：项目管理团队、施工班组配置齐全，岗位职责明确；施工机械、周转材料、主材配置适配工程体量，进场计划合理。 良好（3.0-4.5 分]：资源配置合理，满足施工需求。 合格（1.5-3.0 分]：资源配置基本齐全，配置方案简略。 不合格（0-1.5 分]：人员、机械、材料配置缺失，无法满足施工要求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资格证明文件材料.docx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提供近三年（自2023年7月1日至今）承接过类似项目的业绩，每提供一个得2.0分，满分4分（附真实有效的合同复印件加盖公章）未提供不得分。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技术文件.docx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（4）磋商小组认为供应商的报价明显低于其他实质性响应的供应商报价，有可能影响工程质量或 者不能诚信履约的，应当要求其在合理的时间内提供书面说明，必要时提交相关证明材料；供应商不能证明其报价合理性的，磋商小组应当将其作为无效响应处理。 2.评审委员会基于专业判断，认为供应商报价过低，有可能影响产品质量或者不能诚信履约的其他情形供应商通过项目电子化交易系统在磋商小组要求的合理时间内提交说明，否则无效。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供应商的价格分，按照财政部财库[ 2014]214号文件第二十四条和财库【2020】46号文件的规定，采用低价优先法计算，以本次满足磋商文件要求经评审的最低磋商评审价为磋商基准价，其价格为满分。 供应商的价格分，统一按照下列公式计算：最后报价得分=(磋商基准价／最后报价)×100×价格权值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合同条款及格式（82中学操场及教室提升改造工程)(1).docx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