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F0779E">
      <w:pPr>
        <w:pStyle w:val="10"/>
        <w:spacing w:line="360" w:lineRule="auto"/>
        <w:ind w:left="0" w:firstLine="0" w:firstLineChars="0"/>
        <w:rPr>
          <w:rFonts w:ascii="仿宋" w:hAnsi="仿宋" w:eastAsia="仿宋" w:cs="仿宋"/>
          <w:b/>
          <w:sz w:val="22"/>
          <w:szCs w:val="22"/>
          <w:lang w:eastAsia="zh-CN"/>
        </w:rPr>
      </w:pPr>
      <w:r>
        <w:rPr>
          <w:rFonts w:hint="eastAsia" w:ascii="仿宋" w:hAnsi="仿宋" w:eastAsia="仿宋" w:cs="仿宋"/>
          <w:b/>
          <w:kern w:val="0"/>
          <w:sz w:val="28"/>
          <w:lang w:eastAsia="zh-CN"/>
        </w:rPr>
        <w:t>项目编号：DRZB2026-ZC-109</w:t>
      </w:r>
    </w:p>
    <w:p w14:paraId="0B27D0F0">
      <w:pPr>
        <w:spacing w:line="360" w:lineRule="auto"/>
        <w:ind w:firstLine="420"/>
        <w:rPr>
          <w:rFonts w:ascii="仿宋" w:hAnsi="仿宋" w:eastAsia="仿宋" w:cs="仿宋"/>
        </w:rPr>
      </w:pPr>
    </w:p>
    <w:p w14:paraId="75DF5CCA">
      <w:pPr>
        <w:pStyle w:val="30"/>
        <w:spacing w:line="360" w:lineRule="auto"/>
        <w:ind w:firstLine="883"/>
        <w:jc w:val="center"/>
        <w:rPr>
          <w:rFonts w:ascii="仿宋" w:hAnsi="仿宋" w:eastAsia="仿宋" w:cs="仿宋"/>
          <w:b/>
          <w:bCs/>
          <w:sz w:val="44"/>
          <w:szCs w:val="52"/>
        </w:rPr>
      </w:pPr>
    </w:p>
    <w:p w14:paraId="0B7957C9">
      <w:pPr>
        <w:pStyle w:val="30"/>
        <w:spacing w:line="360" w:lineRule="auto"/>
        <w:ind w:firstLine="0" w:firstLineChars="0"/>
        <w:jc w:val="center"/>
        <w:rPr>
          <w:rFonts w:ascii="仿宋" w:hAnsi="仿宋" w:eastAsia="仿宋" w:cs="仿宋"/>
          <w:b/>
          <w:bCs/>
          <w:sz w:val="44"/>
          <w:szCs w:val="52"/>
        </w:rPr>
      </w:pPr>
    </w:p>
    <w:p w14:paraId="7FB1B890">
      <w:pPr>
        <w:pStyle w:val="30"/>
        <w:spacing w:line="360" w:lineRule="auto"/>
        <w:ind w:firstLine="0" w:firstLineChars="0"/>
        <w:jc w:val="center"/>
        <w:rPr>
          <w:rFonts w:ascii="仿宋" w:hAnsi="仿宋" w:eastAsia="仿宋" w:cs="仿宋"/>
          <w:b/>
          <w:bCs/>
          <w:sz w:val="44"/>
          <w:szCs w:val="52"/>
        </w:rPr>
      </w:pPr>
      <w:r>
        <w:rPr>
          <w:rFonts w:hint="eastAsia" w:ascii="仿宋" w:hAnsi="仿宋" w:eastAsia="仿宋" w:cs="仿宋"/>
          <w:b/>
          <w:bCs/>
          <w:sz w:val="44"/>
          <w:szCs w:val="52"/>
        </w:rPr>
        <w:t>医院信息系统售后服务采购项目</w:t>
      </w:r>
    </w:p>
    <w:p w14:paraId="6BAB7DCE">
      <w:pPr>
        <w:spacing w:line="360" w:lineRule="auto"/>
        <w:rPr>
          <w:rFonts w:ascii="仿宋" w:hAnsi="仿宋" w:eastAsia="仿宋" w:cs="仿宋"/>
        </w:rPr>
      </w:pPr>
    </w:p>
    <w:p w14:paraId="41116203"/>
    <w:p w14:paraId="462DB210">
      <w:pPr>
        <w:rPr>
          <w:rFonts w:ascii="仿宋" w:hAnsi="仿宋" w:eastAsia="仿宋" w:cs="仿宋"/>
        </w:rPr>
      </w:pPr>
    </w:p>
    <w:p w14:paraId="6F19703F">
      <w:pPr>
        <w:pStyle w:val="31"/>
        <w:rPr>
          <w:rFonts w:ascii="仿宋" w:hAnsi="仿宋" w:eastAsia="仿宋" w:cs="仿宋"/>
        </w:rPr>
      </w:pPr>
    </w:p>
    <w:p w14:paraId="4208B5F6">
      <w:pPr>
        <w:pStyle w:val="31"/>
        <w:rPr>
          <w:rFonts w:ascii="仿宋" w:hAnsi="仿宋" w:eastAsia="仿宋" w:cs="仿宋"/>
        </w:rPr>
      </w:pPr>
    </w:p>
    <w:p w14:paraId="46113179">
      <w:pPr>
        <w:pStyle w:val="31"/>
        <w:rPr>
          <w:rFonts w:ascii="仿宋" w:hAnsi="仿宋" w:eastAsia="仿宋" w:cs="仿宋"/>
        </w:rPr>
      </w:pPr>
    </w:p>
    <w:p w14:paraId="0916DC86">
      <w:pPr>
        <w:pStyle w:val="31"/>
        <w:rPr>
          <w:rFonts w:ascii="仿宋" w:hAnsi="仿宋" w:eastAsia="仿宋" w:cs="仿宋"/>
        </w:rPr>
      </w:pPr>
    </w:p>
    <w:p w14:paraId="599F6969">
      <w:pPr>
        <w:spacing w:line="360" w:lineRule="auto"/>
        <w:jc w:val="center"/>
        <w:rPr>
          <w:rFonts w:ascii="仿宋" w:hAnsi="仿宋" w:eastAsia="仿宋" w:cs="仿宋"/>
          <w:sz w:val="46"/>
          <w:szCs w:val="72"/>
        </w:rPr>
      </w:pPr>
    </w:p>
    <w:p w14:paraId="173F5BB3">
      <w:pPr>
        <w:spacing w:line="360" w:lineRule="auto"/>
        <w:jc w:val="center"/>
        <w:rPr>
          <w:rFonts w:ascii="仿宋" w:hAnsi="仿宋" w:eastAsia="仿宋" w:cs="仿宋"/>
          <w:b/>
          <w:kern w:val="0"/>
          <w:sz w:val="68"/>
          <w:szCs w:val="52"/>
        </w:rPr>
      </w:pPr>
      <w:r>
        <w:rPr>
          <w:rFonts w:hint="eastAsia" w:ascii="仿宋" w:hAnsi="仿宋" w:eastAsia="仿宋" w:cs="仿宋"/>
          <w:b/>
          <w:kern w:val="0"/>
          <w:sz w:val="68"/>
          <w:szCs w:val="52"/>
        </w:rPr>
        <w:t>单一来源采购文件</w:t>
      </w:r>
    </w:p>
    <w:p w14:paraId="5491A4C1">
      <w:pPr>
        <w:spacing w:line="360" w:lineRule="auto"/>
        <w:ind w:firstLine="420"/>
        <w:rPr>
          <w:rFonts w:ascii="仿宋" w:hAnsi="仿宋" w:eastAsia="仿宋" w:cs="仿宋"/>
        </w:rPr>
      </w:pPr>
    </w:p>
    <w:p w14:paraId="75E04E9B">
      <w:pPr>
        <w:spacing w:line="360" w:lineRule="auto"/>
        <w:ind w:firstLine="420"/>
        <w:rPr>
          <w:rFonts w:ascii="仿宋" w:hAnsi="仿宋" w:eastAsia="仿宋" w:cs="仿宋"/>
        </w:rPr>
      </w:pPr>
    </w:p>
    <w:p w14:paraId="3470AA56">
      <w:pPr>
        <w:tabs>
          <w:tab w:val="left" w:pos="5145"/>
        </w:tabs>
        <w:spacing w:line="360" w:lineRule="auto"/>
        <w:jc w:val="center"/>
        <w:rPr>
          <w:rFonts w:ascii="仿宋" w:hAnsi="仿宋" w:eastAsia="仿宋" w:cs="仿宋"/>
          <w:b/>
          <w:bCs/>
          <w:sz w:val="40"/>
          <w:szCs w:val="40"/>
        </w:rPr>
      </w:pPr>
      <w:r>
        <w:rPr>
          <w:rFonts w:hint="eastAsia" w:ascii="仿宋" w:hAnsi="仿宋" w:eastAsia="仿宋" w:cs="仿宋"/>
          <w:b/>
          <w:bCs/>
          <w:sz w:val="40"/>
          <w:szCs w:val="40"/>
        </w:rPr>
        <w:t>（合同包1-11）</w:t>
      </w:r>
    </w:p>
    <w:p w14:paraId="56B0F908">
      <w:pPr>
        <w:spacing w:line="360" w:lineRule="auto"/>
        <w:jc w:val="center"/>
        <w:rPr>
          <w:rFonts w:ascii="仿宋" w:hAnsi="仿宋" w:eastAsia="仿宋" w:cs="仿宋"/>
          <w:b/>
          <w:sz w:val="30"/>
        </w:rPr>
      </w:pPr>
    </w:p>
    <w:p w14:paraId="2B2289F5"/>
    <w:p w14:paraId="5A947878">
      <w:pPr>
        <w:rPr>
          <w:rFonts w:ascii="仿宋" w:hAnsi="仿宋" w:eastAsia="仿宋" w:cs="仿宋"/>
        </w:rPr>
      </w:pPr>
    </w:p>
    <w:p w14:paraId="4174A8F0">
      <w:pPr>
        <w:rPr>
          <w:rFonts w:ascii="仿宋" w:hAnsi="仿宋" w:eastAsia="仿宋" w:cs="仿宋"/>
        </w:rPr>
      </w:pPr>
    </w:p>
    <w:p w14:paraId="190CD85A">
      <w:pPr>
        <w:rPr>
          <w:rFonts w:ascii="仿宋" w:hAnsi="仿宋" w:eastAsia="仿宋" w:cs="仿宋"/>
        </w:rPr>
      </w:pPr>
    </w:p>
    <w:p w14:paraId="6F8735E2"/>
    <w:p w14:paraId="0185FD94">
      <w:pPr>
        <w:snapToGrid w:val="0"/>
        <w:spacing w:line="360" w:lineRule="auto"/>
        <w:jc w:val="center"/>
        <w:rPr>
          <w:rFonts w:ascii="仿宋" w:hAnsi="仿宋" w:eastAsia="仿宋" w:cs="仿宋"/>
          <w:b/>
          <w:sz w:val="40"/>
          <w:szCs w:val="28"/>
        </w:rPr>
      </w:pPr>
      <w:bookmarkStart w:id="0" w:name="_Toc328730727"/>
      <w:r>
        <w:rPr>
          <w:rFonts w:hint="eastAsia" w:ascii="仿宋" w:hAnsi="仿宋" w:eastAsia="仿宋" w:cs="仿宋"/>
          <w:b/>
          <w:sz w:val="40"/>
          <w:szCs w:val="28"/>
        </w:rPr>
        <w:t>陕西德仁招标有限公司</w:t>
      </w:r>
    </w:p>
    <w:p w14:paraId="2FA896AF">
      <w:pPr>
        <w:snapToGrid w:val="0"/>
        <w:spacing w:line="360" w:lineRule="auto"/>
        <w:jc w:val="center"/>
        <w:rPr>
          <w:rFonts w:ascii="仿宋" w:hAnsi="仿宋" w:eastAsia="仿宋" w:cs="仿宋"/>
          <w:b/>
          <w:sz w:val="40"/>
          <w:szCs w:val="28"/>
        </w:rPr>
      </w:pPr>
      <w:r>
        <w:rPr>
          <w:rFonts w:hint="eastAsia" w:ascii="仿宋" w:hAnsi="仿宋" w:eastAsia="仿宋" w:cs="仿宋"/>
          <w:b/>
          <w:sz w:val="40"/>
          <w:szCs w:val="28"/>
        </w:rPr>
        <w:t>二〇二六年六月</w:t>
      </w:r>
    </w:p>
    <w:p w14:paraId="3FCEE6F7">
      <w:pPr>
        <w:spacing w:line="360" w:lineRule="auto"/>
        <w:jc w:val="center"/>
        <w:rPr>
          <w:rFonts w:ascii="仿宋" w:hAnsi="仿宋" w:eastAsia="仿宋" w:cs="仿宋"/>
        </w:rPr>
        <w:sectPr>
          <w:headerReference r:id="rId6" w:type="first"/>
          <w:headerReference r:id="rId5" w:type="default"/>
          <w:footerReference r:id="rId7" w:type="default"/>
          <w:pgSz w:w="11906" w:h="16838"/>
          <w:pgMar w:top="1440" w:right="1417" w:bottom="1440" w:left="1587" w:header="850" w:footer="992" w:gutter="0"/>
          <w:pgNumType w:start="0"/>
          <w:cols w:space="720" w:num="1"/>
          <w:titlePg/>
          <w:docGrid w:type="lines" w:linePitch="317" w:charSpace="0"/>
        </w:sectPr>
      </w:pPr>
    </w:p>
    <w:p w14:paraId="37FDE43E">
      <w:pPr>
        <w:spacing w:line="360" w:lineRule="auto"/>
        <w:jc w:val="center"/>
        <w:rPr>
          <w:rFonts w:ascii="仿宋" w:hAnsi="仿宋" w:eastAsia="仿宋" w:cs="仿宋"/>
          <w:b/>
          <w:bCs/>
          <w:kern w:val="0"/>
          <w:sz w:val="44"/>
          <w:szCs w:val="44"/>
        </w:rPr>
      </w:pPr>
    </w:p>
    <w:p w14:paraId="01DC52AC">
      <w:pPr>
        <w:spacing w:line="360" w:lineRule="auto"/>
        <w:jc w:val="center"/>
        <w:rPr>
          <w:rFonts w:ascii="仿宋" w:hAnsi="仿宋" w:eastAsia="仿宋" w:cs="仿宋"/>
          <w:b/>
          <w:bCs/>
          <w:kern w:val="0"/>
          <w:sz w:val="44"/>
          <w:szCs w:val="44"/>
        </w:rPr>
      </w:pPr>
      <w:r>
        <w:rPr>
          <w:rFonts w:hint="eastAsia" w:ascii="仿宋" w:hAnsi="仿宋" w:eastAsia="仿宋" w:cs="仿宋"/>
          <w:b/>
          <w:bCs/>
          <w:kern w:val="0"/>
          <w:sz w:val="44"/>
          <w:szCs w:val="44"/>
        </w:rPr>
        <w:t>目  录</w:t>
      </w:r>
      <w:bookmarkEnd w:id="0"/>
    </w:p>
    <w:p w14:paraId="1FC39269">
      <w:pPr>
        <w:pStyle w:val="18"/>
        <w:tabs>
          <w:tab w:val="right" w:leader="dot" w:pos="8902"/>
        </w:tabs>
        <w:spacing w:line="360" w:lineRule="auto"/>
        <w:rPr>
          <w:sz w:val="24"/>
        </w:rPr>
      </w:pPr>
      <w:r>
        <w:rPr>
          <w:rFonts w:hint="eastAsia" w:ascii="仿宋" w:hAnsi="仿宋" w:eastAsia="仿宋" w:cs="仿宋"/>
          <w:b/>
          <w:sz w:val="24"/>
        </w:rPr>
        <w:fldChar w:fldCharType="begin"/>
      </w:r>
      <w:r>
        <w:rPr>
          <w:rFonts w:hint="eastAsia" w:ascii="仿宋" w:hAnsi="仿宋" w:eastAsia="仿宋" w:cs="仿宋"/>
          <w:b/>
          <w:sz w:val="24"/>
        </w:rPr>
        <w:instrText xml:space="preserve"> TOC \o "1-3" \h \z \u </w:instrText>
      </w:r>
      <w:r>
        <w:rPr>
          <w:rFonts w:hint="eastAsia" w:ascii="仿宋" w:hAnsi="仿宋" w:eastAsia="仿宋" w:cs="仿宋"/>
          <w:b/>
          <w:sz w:val="24"/>
        </w:rPr>
        <w:fldChar w:fldCharType="separate"/>
      </w:r>
      <w:r>
        <w:fldChar w:fldCharType="begin"/>
      </w:r>
      <w:r>
        <w:instrText xml:space="preserve"> HYPERLINK \l "_Toc3084" </w:instrText>
      </w:r>
      <w:r>
        <w:fldChar w:fldCharType="separate"/>
      </w:r>
      <w:r>
        <w:rPr>
          <w:rFonts w:hint="eastAsia" w:ascii="仿宋" w:hAnsi="仿宋" w:eastAsia="仿宋" w:cs="仿宋"/>
          <w:sz w:val="24"/>
        </w:rPr>
        <w:t xml:space="preserve">第一章  </w:t>
      </w:r>
      <w:r>
        <w:rPr>
          <w:rFonts w:hint="eastAsia" w:ascii="仿宋" w:hAnsi="仿宋" w:eastAsia="仿宋" w:cs="仿宋"/>
          <w:kern w:val="0"/>
          <w:sz w:val="24"/>
        </w:rPr>
        <w:t>单一来源采购邀请书</w:t>
      </w:r>
      <w:r>
        <w:rPr>
          <w:sz w:val="24"/>
        </w:rPr>
        <w:tab/>
      </w:r>
      <w:r>
        <w:rPr>
          <w:sz w:val="24"/>
        </w:rPr>
        <w:fldChar w:fldCharType="begin"/>
      </w:r>
      <w:r>
        <w:rPr>
          <w:sz w:val="24"/>
        </w:rPr>
        <w:instrText xml:space="preserve"> PAGEREF _Toc3084 \h </w:instrText>
      </w:r>
      <w:r>
        <w:rPr>
          <w:sz w:val="24"/>
        </w:rPr>
        <w:fldChar w:fldCharType="separate"/>
      </w:r>
      <w:r>
        <w:rPr>
          <w:sz w:val="24"/>
        </w:rPr>
        <w:t>2</w:t>
      </w:r>
      <w:r>
        <w:rPr>
          <w:sz w:val="24"/>
        </w:rPr>
        <w:fldChar w:fldCharType="end"/>
      </w:r>
      <w:r>
        <w:rPr>
          <w:sz w:val="24"/>
        </w:rPr>
        <w:fldChar w:fldCharType="end"/>
      </w:r>
    </w:p>
    <w:p w14:paraId="6D04C35F">
      <w:pPr>
        <w:pStyle w:val="18"/>
        <w:tabs>
          <w:tab w:val="right" w:leader="dot" w:pos="8902"/>
        </w:tabs>
        <w:spacing w:line="360" w:lineRule="auto"/>
        <w:rPr>
          <w:sz w:val="24"/>
        </w:rPr>
      </w:pPr>
      <w:r>
        <w:fldChar w:fldCharType="begin"/>
      </w:r>
      <w:r>
        <w:instrText xml:space="preserve"> HYPERLINK \l "_Toc24046" </w:instrText>
      </w:r>
      <w:r>
        <w:fldChar w:fldCharType="separate"/>
      </w:r>
      <w:r>
        <w:rPr>
          <w:rFonts w:hint="eastAsia" w:ascii="仿宋" w:hAnsi="仿宋" w:eastAsia="仿宋" w:cs="仿宋"/>
          <w:sz w:val="24"/>
        </w:rPr>
        <w:t>第二章  供应商须知</w:t>
      </w:r>
      <w:r>
        <w:rPr>
          <w:sz w:val="24"/>
        </w:rPr>
        <w:tab/>
      </w:r>
      <w:r>
        <w:rPr>
          <w:sz w:val="24"/>
        </w:rPr>
        <w:fldChar w:fldCharType="begin"/>
      </w:r>
      <w:r>
        <w:rPr>
          <w:sz w:val="24"/>
        </w:rPr>
        <w:instrText xml:space="preserve"> PAGEREF _Toc24046 \h </w:instrText>
      </w:r>
      <w:r>
        <w:rPr>
          <w:sz w:val="24"/>
        </w:rPr>
        <w:fldChar w:fldCharType="separate"/>
      </w:r>
      <w:r>
        <w:rPr>
          <w:sz w:val="24"/>
        </w:rPr>
        <w:t>11</w:t>
      </w:r>
      <w:r>
        <w:rPr>
          <w:sz w:val="24"/>
        </w:rPr>
        <w:fldChar w:fldCharType="end"/>
      </w:r>
      <w:r>
        <w:rPr>
          <w:sz w:val="24"/>
        </w:rPr>
        <w:fldChar w:fldCharType="end"/>
      </w:r>
    </w:p>
    <w:p w14:paraId="534E6A40">
      <w:pPr>
        <w:pStyle w:val="18"/>
        <w:tabs>
          <w:tab w:val="right" w:leader="dot" w:pos="8902"/>
        </w:tabs>
        <w:spacing w:line="360" w:lineRule="auto"/>
        <w:rPr>
          <w:sz w:val="24"/>
        </w:rPr>
      </w:pPr>
      <w:r>
        <w:fldChar w:fldCharType="begin"/>
      </w:r>
      <w:r>
        <w:instrText xml:space="preserve"> HYPERLINK \l "_Toc17442" </w:instrText>
      </w:r>
      <w:r>
        <w:fldChar w:fldCharType="separate"/>
      </w:r>
      <w:r>
        <w:rPr>
          <w:rFonts w:hint="eastAsia" w:ascii="仿宋" w:hAnsi="仿宋" w:eastAsia="仿宋" w:cs="仿宋"/>
          <w:bCs/>
          <w:iCs/>
          <w:kern w:val="0"/>
          <w:sz w:val="24"/>
        </w:rPr>
        <w:t>第三</w:t>
      </w:r>
      <w:r>
        <w:rPr>
          <w:rFonts w:hint="eastAsia" w:ascii="仿宋" w:hAnsi="仿宋" w:eastAsia="仿宋" w:cs="仿宋"/>
          <w:sz w:val="24"/>
        </w:rPr>
        <w:t>章  协商要求</w:t>
      </w:r>
      <w:r>
        <w:rPr>
          <w:sz w:val="24"/>
        </w:rPr>
        <w:tab/>
      </w:r>
      <w:r>
        <w:rPr>
          <w:sz w:val="24"/>
        </w:rPr>
        <w:fldChar w:fldCharType="begin"/>
      </w:r>
      <w:r>
        <w:rPr>
          <w:sz w:val="24"/>
        </w:rPr>
        <w:instrText xml:space="preserve"> PAGEREF _Toc17442 \h </w:instrText>
      </w:r>
      <w:r>
        <w:rPr>
          <w:sz w:val="24"/>
        </w:rPr>
        <w:fldChar w:fldCharType="separate"/>
      </w:r>
      <w:r>
        <w:rPr>
          <w:sz w:val="24"/>
        </w:rPr>
        <w:t>34</w:t>
      </w:r>
      <w:r>
        <w:rPr>
          <w:sz w:val="24"/>
        </w:rPr>
        <w:fldChar w:fldCharType="end"/>
      </w:r>
      <w:r>
        <w:rPr>
          <w:sz w:val="24"/>
        </w:rPr>
        <w:fldChar w:fldCharType="end"/>
      </w:r>
    </w:p>
    <w:p w14:paraId="7D3C4D4D">
      <w:pPr>
        <w:pStyle w:val="18"/>
        <w:tabs>
          <w:tab w:val="right" w:leader="dot" w:pos="8902"/>
        </w:tabs>
        <w:spacing w:line="360" w:lineRule="auto"/>
        <w:rPr>
          <w:sz w:val="24"/>
        </w:rPr>
      </w:pPr>
      <w:r>
        <w:fldChar w:fldCharType="begin"/>
      </w:r>
      <w:r>
        <w:instrText xml:space="preserve"> HYPERLINK \l "_Toc21418" </w:instrText>
      </w:r>
      <w:r>
        <w:fldChar w:fldCharType="separate"/>
      </w:r>
      <w:r>
        <w:rPr>
          <w:rFonts w:hint="eastAsia" w:ascii="仿宋" w:hAnsi="仿宋" w:eastAsia="仿宋" w:cs="仿宋"/>
          <w:sz w:val="24"/>
        </w:rPr>
        <w:t>第四章  商务及合同主要条款</w:t>
      </w:r>
      <w:r>
        <w:rPr>
          <w:sz w:val="24"/>
        </w:rPr>
        <w:tab/>
      </w:r>
      <w:r>
        <w:rPr>
          <w:sz w:val="24"/>
        </w:rPr>
        <w:fldChar w:fldCharType="begin"/>
      </w:r>
      <w:r>
        <w:rPr>
          <w:sz w:val="24"/>
        </w:rPr>
        <w:instrText xml:space="preserve"> PAGEREF _Toc21418 \h </w:instrText>
      </w:r>
      <w:r>
        <w:rPr>
          <w:sz w:val="24"/>
        </w:rPr>
        <w:fldChar w:fldCharType="separate"/>
      </w:r>
      <w:r>
        <w:rPr>
          <w:sz w:val="24"/>
        </w:rPr>
        <w:t>65</w:t>
      </w:r>
      <w:r>
        <w:rPr>
          <w:sz w:val="24"/>
        </w:rPr>
        <w:fldChar w:fldCharType="end"/>
      </w:r>
      <w:r>
        <w:rPr>
          <w:sz w:val="24"/>
        </w:rPr>
        <w:fldChar w:fldCharType="end"/>
      </w:r>
    </w:p>
    <w:p w14:paraId="02CE5F70">
      <w:pPr>
        <w:pStyle w:val="18"/>
        <w:tabs>
          <w:tab w:val="right" w:leader="dot" w:pos="8902"/>
        </w:tabs>
        <w:spacing w:line="360" w:lineRule="auto"/>
        <w:rPr>
          <w:sz w:val="24"/>
        </w:rPr>
      </w:pPr>
      <w:r>
        <w:fldChar w:fldCharType="begin"/>
      </w:r>
      <w:r>
        <w:instrText xml:space="preserve"> HYPERLINK \l "_Toc7578" </w:instrText>
      </w:r>
      <w:r>
        <w:fldChar w:fldCharType="separate"/>
      </w:r>
      <w:r>
        <w:rPr>
          <w:rFonts w:hint="eastAsia" w:ascii="仿宋" w:hAnsi="仿宋" w:eastAsia="仿宋" w:cs="仿宋"/>
          <w:sz w:val="24"/>
        </w:rPr>
        <w:t>第五章  单一来源响应文件格式</w:t>
      </w:r>
      <w:r>
        <w:rPr>
          <w:sz w:val="24"/>
        </w:rPr>
        <w:tab/>
      </w:r>
      <w:r>
        <w:rPr>
          <w:sz w:val="24"/>
        </w:rPr>
        <w:fldChar w:fldCharType="begin"/>
      </w:r>
      <w:r>
        <w:rPr>
          <w:sz w:val="24"/>
        </w:rPr>
        <w:instrText xml:space="preserve"> PAGEREF _Toc7578 \h </w:instrText>
      </w:r>
      <w:r>
        <w:rPr>
          <w:sz w:val="24"/>
        </w:rPr>
        <w:fldChar w:fldCharType="separate"/>
      </w:r>
      <w:r>
        <w:rPr>
          <w:sz w:val="24"/>
        </w:rPr>
        <w:t>192</w:t>
      </w:r>
      <w:r>
        <w:rPr>
          <w:sz w:val="24"/>
        </w:rPr>
        <w:fldChar w:fldCharType="end"/>
      </w:r>
      <w:r>
        <w:rPr>
          <w:sz w:val="24"/>
        </w:rPr>
        <w:fldChar w:fldCharType="end"/>
      </w:r>
    </w:p>
    <w:p w14:paraId="09573A93">
      <w:pPr>
        <w:pStyle w:val="20"/>
        <w:tabs>
          <w:tab w:val="right" w:leader="dot" w:pos="8902"/>
        </w:tabs>
        <w:spacing w:line="360" w:lineRule="auto"/>
        <w:rPr>
          <w:sz w:val="24"/>
        </w:rPr>
      </w:pPr>
      <w:r>
        <w:fldChar w:fldCharType="begin"/>
      </w:r>
      <w:r>
        <w:instrText xml:space="preserve"> HYPERLINK \l "_Toc22883" </w:instrText>
      </w:r>
      <w:r>
        <w:fldChar w:fldCharType="separate"/>
      </w:r>
      <w:r>
        <w:rPr>
          <w:rFonts w:hint="eastAsia" w:ascii="仿宋" w:hAnsi="仿宋" w:eastAsia="仿宋" w:cs="仿宋"/>
          <w:bCs/>
          <w:sz w:val="24"/>
        </w:rPr>
        <w:t>一、协商函</w:t>
      </w:r>
      <w:r>
        <w:rPr>
          <w:sz w:val="24"/>
        </w:rPr>
        <w:tab/>
      </w:r>
      <w:r>
        <w:rPr>
          <w:sz w:val="24"/>
        </w:rPr>
        <w:fldChar w:fldCharType="begin"/>
      </w:r>
      <w:r>
        <w:rPr>
          <w:sz w:val="24"/>
        </w:rPr>
        <w:instrText xml:space="preserve"> PAGEREF _Toc22883 \h </w:instrText>
      </w:r>
      <w:r>
        <w:rPr>
          <w:sz w:val="24"/>
        </w:rPr>
        <w:fldChar w:fldCharType="separate"/>
      </w:r>
      <w:r>
        <w:rPr>
          <w:sz w:val="24"/>
        </w:rPr>
        <w:t>210</w:t>
      </w:r>
      <w:r>
        <w:rPr>
          <w:sz w:val="24"/>
        </w:rPr>
        <w:fldChar w:fldCharType="end"/>
      </w:r>
      <w:r>
        <w:rPr>
          <w:sz w:val="24"/>
        </w:rPr>
        <w:fldChar w:fldCharType="end"/>
      </w:r>
    </w:p>
    <w:p w14:paraId="2B29D57A">
      <w:pPr>
        <w:pStyle w:val="20"/>
        <w:tabs>
          <w:tab w:val="right" w:leader="dot" w:pos="8902"/>
        </w:tabs>
        <w:spacing w:line="360" w:lineRule="auto"/>
        <w:rPr>
          <w:sz w:val="24"/>
        </w:rPr>
      </w:pPr>
      <w:r>
        <w:fldChar w:fldCharType="begin"/>
      </w:r>
      <w:r>
        <w:instrText xml:space="preserve"> HYPERLINK \l "_Toc4007" </w:instrText>
      </w:r>
      <w:r>
        <w:fldChar w:fldCharType="separate"/>
      </w:r>
      <w:r>
        <w:rPr>
          <w:rFonts w:hint="eastAsia" w:ascii="仿宋" w:hAnsi="仿宋" w:eastAsia="仿宋" w:cs="仿宋"/>
          <w:sz w:val="24"/>
        </w:rPr>
        <w:t>二、首次响应报价表</w:t>
      </w:r>
      <w:r>
        <w:rPr>
          <w:sz w:val="24"/>
        </w:rPr>
        <w:tab/>
      </w:r>
      <w:r>
        <w:rPr>
          <w:sz w:val="24"/>
        </w:rPr>
        <w:fldChar w:fldCharType="begin"/>
      </w:r>
      <w:r>
        <w:rPr>
          <w:sz w:val="24"/>
        </w:rPr>
        <w:instrText xml:space="preserve"> PAGEREF _Toc4007 \h </w:instrText>
      </w:r>
      <w:r>
        <w:rPr>
          <w:sz w:val="24"/>
        </w:rPr>
        <w:fldChar w:fldCharType="separate"/>
      </w:r>
      <w:r>
        <w:rPr>
          <w:sz w:val="24"/>
        </w:rPr>
        <w:t>211</w:t>
      </w:r>
      <w:r>
        <w:rPr>
          <w:sz w:val="24"/>
        </w:rPr>
        <w:fldChar w:fldCharType="end"/>
      </w:r>
      <w:r>
        <w:rPr>
          <w:sz w:val="24"/>
        </w:rPr>
        <w:fldChar w:fldCharType="end"/>
      </w:r>
    </w:p>
    <w:p w14:paraId="056772E7">
      <w:pPr>
        <w:pStyle w:val="20"/>
        <w:tabs>
          <w:tab w:val="right" w:leader="dot" w:pos="8902"/>
        </w:tabs>
        <w:spacing w:line="360" w:lineRule="auto"/>
        <w:rPr>
          <w:sz w:val="24"/>
        </w:rPr>
      </w:pPr>
      <w:r>
        <w:fldChar w:fldCharType="begin"/>
      </w:r>
      <w:r>
        <w:instrText xml:space="preserve"> HYPERLINK \l "_Toc19629" </w:instrText>
      </w:r>
      <w:r>
        <w:fldChar w:fldCharType="separate"/>
      </w:r>
      <w:r>
        <w:rPr>
          <w:rFonts w:hint="eastAsia" w:ascii="仿宋" w:hAnsi="仿宋" w:eastAsia="仿宋" w:cs="仿宋"/>
          <w:bCs/>
          <w:sz w:val="24"/>
        </w:rPr>
        <w:t>三、资格证明文件</w:t>
      </w:r>
      <w:r>
        <w:rPr>
          <w:sz w:val="24"/>
        </w:rPr>
        <w:tab/>
      </w:r>
      <w:r>
        <w:rPr>
          <w:sz w:val="24"/>
        </w:rPr>
        <w:fldChar w:fldCharType="begin"/>
      </w:r>
      <w:r>
        <w:rPr>
          <w:sz w:val="24"/>
        </w:rPr>
        <w:instrText xml:space="preserve"> PAGEREF _Toc19629 \h </w:instrText>
      </w:r>
      <w:r>
        <w:rPr>
          <w:sz w:val="24"/>
        </w:rPr>
        <w:fldChar w:fldCharType="separate"/>
      </w:r>
      <w:r>
        <w:rPr>
          <w:sz w:val="24"/>
        </w:rPr>
        <w:t>213</w:t>
      </w:r>
      <w:r>
        <w:rPr>
          <w:sz w:val="24"/>
        </w:rPr>
        <w:fldChar w:fldCharType="end"/>
      </w:r>
      <w:r>
        <w:rPr>
          <w:sz w:val="24"/>
        </w:rPr>
        <w:fldChar w:fldCharType="end"/>
      </w:r>
    </w:p>
    <w:p w14:paraId="684D221E">
      <w:pPr>
        <w:pStyle w:val="20"/>
        <w:tabs>
          <w:tab w:val="right" w:leader="dot" w:pos="8902"/>
        </w:tabs>
        <w:spacing w:line="360" w:lineRule="auto"/>
        <w:rPr>
          <w:sz w:val="24"/>
        </w:rPr>
      </w:pPr>
      <w:r>
        <w:fldChar w:fldCharType="begin"/>
      </w:r>
      <w:r>
        <w:instrText xml:space="preserve"> HYPERLINK \l "_Toc24598" </w:instrText>
      </w:r>
      <w:r>
        <w:fldChar w:fldCharType="separate"/>
      </w:r>
      <w:r>
        <w:rPr>
          <w:rFonts w:hint="eastAsia" w:ascii="仿宋" w:hAnsi="仿宋" w:eastAsia="仿宋" w:cs="仿宋"/>
          <w:bCs/>
          <w:sz w:val="24"/>
        </w:rPr>
        <w:t>四、商务和服务响应说明</w:t>
      </w:r>
      <w:r>
        <w:rPr>
          <w:sz w:val="24"/>
        </w:rPr>
        <w:tab/>
      </w:r>
      <w:r>
        <w:rPr>
          <w:sz w:val="24"/>
        </w:rPr>
        <w:fldChar w:fldCharType="begin"/>
      </w:r>
      <w:r>
        <w:rPr>
          <w:sz w:val="24"/>
        </w:rPr>
        <w:instrText xml:space="preserve"> PAGEREF _Toc24598 \h </w:instrText>
      </w:r>
      <w:r>
        <w:rPr>
          <w:sz w:val="24"/>
        </w:rPr>
        <w:fldChar w:fldCharType="separate"/>
      </w:r>
      <w:r>
        <w:rPr>
          <w:sz w:val="24"/>
        </w:rPr>
        <w:t>225</w:t>
      </w:r>
      <w:r>
        <w:rPr>
          <w:sz w:val="24"/>
        </w:rPr>
        <w:fldChar w:fldCharType="end"/>
      </w:r>
      <w:r>
        <w:rPr>
          <w:sz w:val="24"/>
        </w:rPr>
        <w:fldChar w:fldCharType="end"/>
      </w:r>
    </w:p>
    <w:p w14:paraId="6A235A50">
      <w:pPr>
        <w:pStyle w:val="20"/>
        <w:tabs>
          <w:tab w:val="right" w:leader="dot" w:pos="8902"/>
        </w:tabs>
        <w:spacing w:line="360" w:lineRule="auto"/>
        <w:rPr>
          <w:sz w:val="24"/>
        </w:rPr>
      </w:pPr>
      <w:r>
        <w:fldChar w:fldCharType="begin"/>
      </w:r>
      <w:r>
        <w:instrText xml:space="preserve"> HYPERLINK \l "_Toc18587" </w:instrText>
      </w:r>
      <w:r>
        <w:fldChar w:fldCharType="separate"/>
      </w:r>
      <w:r>
        <w:rPr>
          <w:rFonts w:hint="eastAsia" w:ascii="仿宋" w:hAnsi="仿宋" w:eastAsia="仿宋" w:cs="仿宋"/>
          <w:bCs/>
          <w:sz w:val="24"/>
        </w:rPr>
        <w:t>五、承接的类似项目情况表</w:t>
      </w:r>
      <w:r>
        <w:rPr>
          <w:sz w:val="24"/>
        </w:rPr>
        <w:tab/>
      </w:r>
      <w:r>
        <w:rPr>
          <w:sz w:val="24"/>
        </w:rPr>
        <w:fldChar w:fldCharType="begin"/>
      </w:r>
      <w:r>
        <w:rPr>
          <w:sz w:val="24"/>
        </w:rPr>
        <w:instrText xml:space="preserve"> PAGEREF _Toc18587 \h </w:instrText>
      </w:r>
      <w:r>
        <w:rPr>
          <w:sz w:val="24"/>
        </w:rPr>
        <w:fldChar w:fldCharType="separate"/>
      </w:r>
      <w:r>
        <w:rPr>
          <w:sz w:val="24"/>
        </w:rPr>
        <w:t>227</w:t>
      </w:r>
      <w:r>
        <w:rPr>
          <w:sz w:val="24"/>
        </w:rPr>
        <w:fldChar w:fldCharType="end"/>
      </w:r>
      <w:r>
        <w:rPr>
          <w:sz w:val="24"/>
        </w:rPr>
        <w:fldChar w:fldCharType="end"/>
      </w:r>
    </w:p>
    <w:p w14:paraId="75B632D2">
      <w:pPr>
        <w:pStyle w:val="20"/>
        <w:tabs>
          <w:tab w:val="right" w:leader="dot" w:pos="8902"/>
        </w:tabs>
        <w:spacing w:line="360" w:lineRule="auto"/>
        <w:rPr>
          <w:sz w:val="24"/>
        </w:rPr>
      </w:pPr>
      <w:r>
        <w:fldChar w:fldCharType="begin"/>
      </w:r>
      <w:r>
        <w:instrText xml:space="preserve"> HYPERLINK \l "_Toc24639" </w:instrText>
      </w:r>
      <w:r>
        <w:fldChar w:fldCharType="separate"/>
      </w:r>
      <w:r>
        <w:rPr>
          <w:rFonts w:hint="eastAsia" w:ascii="仿宋" w:hAnsi="仿宋" w:eastAsia="仿宋" w:cs="仿宋"/>
          <w:sz w:val="24"/>
        </w:rPr>
        <w:t>六、协商响应方案说明</w:t>
      </w:r>
      <w:r>
        <w:rPr>
          <w:sz w:val="24"/>
        </w:rPr>
        <w:tab/>
      </w:r>
      <w:r>
        <w:rPr>
          <w:sz w:val="24"/>
        </w:rPr>
        <w:fldChar w:fldCharType="begin"/>
      </w:r>
      <w:r>
        <w:rPr>
          <w:sz w:val="24"/>
        </w:rPr>
        <w:instrText xml:space="preserve"> PAGEREF _Toc24639 \h </w:instrText>
      </w:r>
      <w:r>
        <w:rPr>
          <w:sz w:val="24"/>
        </w:rPr>
        <w:fldChar w:fldCharType="separate"/>
      </w:r>
      <w:r>
        <w:rPr>
          <w:sz w:val="24"/>
        </w:rPr>
        <w:t>228</w:t>
      </w:r>
      <w:r>
        <w:rPr>
          <w:sz w:val="24"/>
        </w:rPr>
        <w:fldChar w:fldCharType="end"/>
      </w:r>
      <w:r>
        <w:rPr>
          <w:sz w:val="24"/>
        </w:rPr>
        <w:fldChar w:fldCharType="end"/>
      </w:r>
    </w:p>
    <w:p w14:paraId="1C220906">
      <w:pPr>
        <w:pStyle w:val="20"/>
        <w:tabs>
          <w:tab w:val="right" w:leader="dot" w:pos="8902"/>
        </w:tabs>
        <w:spacing w:line="360" w:lineRule="auto"/>
        <w:rPr>
          <w:sz w:val="24"/>
        </w:rPr>
      </w:pPr>
      <w:r>
        <w:fldChar w:fldCharType="begin"/>
      </w:r>
      <w:r>
        <w:instrText xml:space="preserve"> HYPERLINK \l "_Toc14703" </w:instrText>
      </w:r>
      <w:r>
        <w:fldChar w:fldCharType="separate"/>
      </w:r>
      <w:r>
        <w:rPr>
          <w:rFonts w:hint="eastAsia" w:ascii="仿宋" w:hAnsi="仿宋" w:eastAsia="仿宋" w:cs="仿宋"/>
          <w:bCs/>
          <w:sz w:val="24"/>
        </w:rPr>
        <w:t>七、其他资料</w:t>
      </w:r>
      <w:r>
        <w:rPr>
          <w:sz w:val="24"/>
        </w:rPr>
        <w:tab/>
      </w:r>
      <w:r>
        <w:rPr>
          <w:sz w:val="24"/>
        </w:rPr>
        <w:fldChar w:fldCharType="begin"/>
      </w:r>
      <w:r>
        <w:rPr>
          <w:sz w:val="24"/>
        </w:rPr>
        <w:instrText xml:space="preserve"> PAGEREF _Toc14703 \h </w:instrText>
      </w:r>
      <w:r>
        <w:rPr>
          <w:sz w:val="24"/>
        </w:rPr>
        <w:fldChar w:fldCharType="separate"/>
      </w:r>
      <w:r>
        <w:rPr>
          <w:sz w:val="24"/>
        </w:rPr>
        <w:t>229</w:t>
      </w:r>
      <w:r>
        <w:rPr>
          <w:sz w:val="24"/>
        </w:rPr>
        <w:fldChar w:fldCharType="end"/>
      </w:r>
      <w:r>
        <w:rPr>
          <w:sz w:val="24"/>
        </w:rPr>
        <w:fldChar w:fldCharType="end"/>
      </w:r>
    </w:p>
    <w:p w14:paraId="1774E8D7">
      <w:pPr>
        <w:tabs>
          <w:tab w:val="right" w:leader="middleDot" w:pos="9120"/>
        </w:tabs>
        <w:spacing w:line="360" w:lineRule="auto"/>
        <w:ind w:left="239" w:leftChars="114"/>
        <w:rPr>
          <w:rFonts w:ascii="仿宋" w:hAnsi="仿宋" w:eastAsia="仿宋" w:cs="仿宋"/>
          <w:sz w:val="24"/>
          <w:szCs w:val="32"/>
        </w:rPr>
      </w:pPr>
      <w:r>
        <w:rPr>
          <w:rFonts w:hint="eastAsia" w:ascii="仿宋" w:hAnsi="仿宋" w:eastAsia="仿宋" w:cs="仿宋"/>
          <w:sz w:val="24"/>
        </w:rPr>
        <w:fldChar w:fldCharType="end"/>
      </w:r>
    </w:p>
    <w:p w14:paraId="53895709">
      <w:pPr>
        <w:spacing w:line="360" w:lineRule="auto"/>
        <w:ind w:firstLine="602" w:firstLineChars="200"/>
        <w:rPr>
          <w:rFonts w:ascii="仿宋" w:hAnsi="仿宋" w:eastAsia="仿宋" w:cs="仿宋"/>
          <w:b/>
          <w:sz w:val="30"/>
          <w:szCs w:val="30"/>
        </w:rPr>
        <w:sectPr>
          <w:headerReference r:id="rId9" w:type="first"/>
          <w:footerReference r:id="rId11" w:type="first"/>
          <w:headerReference r:id="rId8" w:type="default"/>
          <w:footerReference r:id="rId10" w:type="default"/>
          <w:pgSz w:w="11906" w:h="16838"/>
          <w:pgMar w:top="1440" w:right="1417" w:bottom="1440" w:left="1587" w:header="850" w:footer="992" w:gutter="0"/>
          <w:pgNumType w:start="1"/>
          <w:cols w:space="720" w:num="1"/>
          <w:titlePg/>
          <w:docGrid w:type="lines" w:linePitch="317" w:charSpace="0"/>
        </w:sectPr>
      </w:pPr>
    </w:p>
    <w:p w14:paraId="13357674">
      <w:pPr>
        <w:spacing w:after="100" w:afterAutospacing="1" w:line="360" w:lineRule="auto"/>
        <w:jc w:val="center"/>
        <w:outlineLvl w:val="0"/>
        <w:rPr>
          <w:rFonts w:ascii="仿宋" w:hAnsi="仿宋" w:eastAsia="仿宋" w:cs="仿宋"/>
          <w:b/>
          <w:kern w:val="0"/>
          <w:sz w:val="32"/>
          <w:szCs w:val="32"/>
        </w:rPr>
      </w:pPr>
      <w:bookmarkStart w:id="1" w:name="_Toc3084"/>
      <w:r>
        <w:rPr>
          <w:rFonts w:hint="eastAsia" w:ascii="仿宋" w:hAnsi="仿宋" w:eastAsia="仿宋" w:cs="仿宋"/>
          <w:b/>
          <w:sz w:val="32"/>
          <w:szCs w:val="32"/>
        </w:rPr>
        <w:t xml:space="preserve">第一章  </w:t>
      </w:r>
      <w:r>
        <w:rPr>
          <w:rFonts w:hint="eastAsia" w:ascii="仿宋" w:hAnsi="仿宋" w:eastAsia="仿宋" w:cs="仿宋"/>
          <w:b/>
          <w:kern w:val="0"/>
          <w:sz w:val="32"/>
          <w:szCs w:val="32"/>
        </w:rPr>
        <w:t>单一来源采购邀请书</w:t>
      </w:r>
      <w:bookmarkEnd w:id="1"/>
    </w:p>
    <w:p w14:paraId="2FE7228D">
      <w:pPr>
        <w:pBdr>
          <w:top w:val="single" w:color="auto" w:sz="4" w:space="0"/>
          <w:left w:val="single" w:color="auto" w:sz="4" w:space="0"/>
          <w:bottom w:val="single" w:color="auto" w:sz="4" w:space="0"/>
          <w:right w:val="single" w:color="auto" w:sz="4" w:space="0"/>
        </w:pBdr>
        <w:wordWrap w:val="0"/>
        <w:adjustRightInd w:val="0"/>
        <w:snapToGrid w:val="0"/>
        <w:spacing w:line="360" w:lineRule="auto"/>
        <w:ind w:firstLine="482" w:firstLineChars="200"/>
        <w:jc w:val="left"/>
        <w:rPr>
          <w:rFonts w:ascii="仿宋" w:hAnsi="仿宋" w:eastAsia="仿宋" w:cs="仿宋"/>
          <w:sz w:val="24"/>
          <w:szCs w:val="32"/>
        </w:rPr>
      </w:pPr>
      <w:r>
        <w:rPr>
          <w:rStyle w:val="28"/>
          <w:rFonts w:hint="eastAsia" w:ascii="仿宋" w:hAnsi="仿宋" w:eastAsia="仿宋" w:cs="仿宋"/>
          <w:sz w:val="24"/>
          <w:szCs w:val="32"/>
        </w:rPr>
        <w:t>项目概况</w:t>
      </w:r>
    </w:p>
    <w:p w14:paraId="5565272C">
      <w:pPr>
        <w:pStyle w:val="22"/>
        <w:widowControl w:val="0"/>
        <w:pBdr>
          <w:top w:val="single" w:color="auto" w:sz="4" w:space="0"/>
          <w:left w:val="single" w:color="auto" w:sz="4" w:space="0"/>
          <w:bottom w:val="single" w:color="auto" w:sz="4" w:space="0"/>
          <w:right w:val="single" w:color="auto" w:sz="4" w:space="0"/>
        </w:pBdr>
        <w:wordWrap w:val="0"/>
        <w:adjustRightInd w:val="0"/>
        <w:snapToGrid w:val="0"/>
        <w:spacing w:before="0" w:beforeAutospacing="0" w:after="0" w:afterAutospacing="0" w:line="360" w:lineRule="auto"/>
        <w:ind w:firstLine="480" w:firstLineChars="200"/>
        <w:jc w:val="both"/>
        <w:rPr>
          <w:rFonts w:ascii="仿宋" w:hAnsi="仿宋" w:eastAsia="仿宋" w:cs="仿宋"/>
        </w:rPr>
      </w:pPr>
      <w:r>
        <w:rPr>
          <w:rFonts w:hint="eastAsia" w:ascii="仿宋" w:hAnsi="仿宋" w:eastAsia="仿宋" w:cs="仿宋"/>
          <w:shd w:val="clear" w:color="auto" w:fill="FFFFFF"/>
        </w:rPr>
        <w:t>医院信息系统售后服务采购项目</w:t>
      </w:r>
      <w:r>
        <w:rPr>
          <w:rFonts w:hint="eastAsia" w:ascii="仿宋" w:hAnsi="仿宋" w:eastAsia="仿宋" w:cs="仿宋"/>
        </w:rPr>
        <w:t>的潜在供应商应在获取采购文件时间内，将单一来源邀请书</w:t>
      </w:r>
      <w:r>
        <w:rPr>
          <w:rFonts w:hint="eastAsia" w:ascii="仿宋" w:hAnsi="仿宋" w:eastAsia="仿宋" w:cs="仿宋"/>
          <w:lang w:eastAsia="zh-CN"/>
        </w:rPr>
        <w:t>、</w:t>
      </w:r>
      <w:r>
        <w:rPr>
          <w:rFonts w:hint="eastAsia" w:ascii="仿宋" w:hAnsi="仿宋" w:eastAsia="仿宋" w:cs="仿宋"/>
        </w:rPr>
        <w:t>单位介绍信或授权委托书（须注明项目名称及项目编号）、身份证复印件、完整填写的采购文件领取登记表及标书费转账凭证均加盖单位</w:t>
      </w:r>
      <w:r>
        <w:rPr>
          <w:rFonts w:hint="eastAsia" w:ascii="仿宋" w:hAnsi="仿宋" w:eastAsia="仿宋" w:cs="仿宋"/>
          <w:highlight w:val="none"/>
        </w:rPr>
        <w:t>公章发送至指定邮箱（具体内容详见其它补充事宜）获取采购文件，并于2026年</w:t>
      </w:r>
      <w:r>
        <w:rPr>
          <w:rFonts w:hint="eastAsia" w:ascii="仿宋" w:hAnsi="仿宋" w:eastAsia="仿宋" w:cs="仿宋"/>
          <w:highlight w:val="none"/>
          <w:lang w:val="en-US" w:eastAsia="zh-CN"/>
        </w:rPr>
        <w:t>8</w:t>
      </w:r>
      <w:r>
        <w:rPr>
          <w:rFonts w:hint="eastAsia" w:ascii="仿宋" w:hAnsi="仿宋" w:eastAsia="仿宋" w:cs="仿宋"/>
          <w:highlight w:val="none"/>
        </w:rPr>
        <w:t>月</w:t>
      </w:r>
      <w:r>
        <w:rPr>
          <w:rFonts w:hint="eastAsia" w:ascii="仿宋" w:hAnsi="仿宋" w:eastAsia="仿宋" w:cs="仿宋"/>
          <w:highlight w:val="none"/>
          <w:lang w:val="en-US" w:eastAsia="zh-CN"/>
        </w:rPr>
        <w:t>19</w:t>
      </w:r>
      <w:r>
        <w:rPr>
          <w:rFonts w:hint="eastAsia" w:ascii="仿宋" w:hAnsi="仿宋" w:eastAsia="仿宋" w:cs="仿宋"/>
          <w:highlight w:val="none"/>
        </w:rPr>
        <w:t>日09时00分</w:t>
      </w:r>
      <w:r>
        <w:rPr>
          <w:rFonts w:hint="eastAsia" w:ascii="仿宋" w:hAnsi="仿宋" w:eastAsia="仿宋" w:cs="仿宋"/>
        </w:rPr>
        <w:t>（北京时间）前提交响应文件。</w:t>
      </w:r>
    </w:p>
    <w:p w14:paraId="709F7CC1">
      <w:pPr>
        <w:pStyle w:val="22"/>
        <w:adjustRightInd w:val="0"/>
        <w:snapToGrid w:val="0"/>
        <w:spacing w:before="0" w:beforeAutospacing="0" w:after="0" w:afterAutospacing="0" w:line="360" w:lineRule="auto"/>
        <w:ind w:firstLine="482" w:firstLineChars="200"/>
        <w:rPr>
          <w:rFonts w:ascii="仿宋" w:hAnsi="仿宋" w:eastAsia="仿宋" w:cs="仿宋"/>
          <w:b/>
          <w:bCs/>
          <w:shd w:val="clear" w:color="auto" w:fill="FFFFFF"/>
        </w:rPr>
      </w:pPr>
      <w:r>
        <w:rPr>
          <w:rFonts w:hint="eastAsia" w:ascii="仿宋" w:hAnsi="仿宋" w:eastAsia="仿宋" w:cs="仿宋"/>
          <w:b/>
          <w:bCs/>
          <w:shd w:val="clear" w:color="auto" w:fill="FFFFFF"/>
        </w:rPr>
        <w:t>一、项目基本情况：</w:t>
      </w:r>
    </w:p>
    <w:p w14:paraId="6FCB61ED">
      <w:pPr>
        <w:pStyle w:val="22"/>
        <w:adjustRightInd w:val="0"/>
        <w:snapToGrid w:val="0"/>
        <w:spacing w:before="0" w:beforeAutospacing="0" w:after="0" w:afterAutospacing="0" w:line="360" w:lineRule="auto"/>
        <w:ind w:firstLine="480" w:firstLineChars="200"/>
        <w:rPr>
          <w:rFonts w:hint="eastAsia" w:ascii="仿宋" w:hAnsi="仿宋" w:eastAsia="仿宋" w:cs="仿宋"/>
          <w:shd w:val="clear" w:color="auto" w:fill="FFFFFF"/>
          <w:lang w:val="en-US" w:eastAsia="zh-CN"/>
        </w:rPr>
      </w:pPr>
      <w:r>
        <w:rPr>
          <w:rFonts w:hint="eastAsia" w:ascii="仿宋" w:hAnsi="仿宋" w:eastAsia="仿宋" w:cs="仿宋"/>
          <w:shd w:val="clear" w:color="auto" w:fill="FFFFFF"/>
        </w:rPr>
        <w:t>项目编号：DRZB2026-ZC-10</w:t>
      </w:r>
      <w:r>
        <w:rPr>
          <w:rFonts w:hint="eastAsia" w:ascii="仿宋" w:hAnsi="仿宋" w:eastAsia="仿宋" w:cs="仿宋"/>
          <w:shd w:val="clear" w:color="auto" w:fill="FFFFFF"/>
          <w:lang w:val="en-US" w:eastAsia="zh-CN"/>
        </w:rPr>
        <w:t>9</w:t>
      </w:r>
    </w:p>
    <w:p w14:paraId="3A17C18D">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项目名称：医院信息系统售后服务采购项目</w:t>
      </w:r>
    </w:p>
    <w:p w14:paraId="68CDBCEB">
      <w:pPr>
        <w:pStyle w:val="22"/>
        <w:adjustRightInd w:val="0"/>
        <w:snapToGrid w:val="0"/>
        <w:spacing w:before="0" w:beforeAutospacing="0" w:after="0" w:afterAutospacing="0" w:line="360" w:lineRule="auto"/>
        <w:ind w:firstLine="480" w:firstLineChars="200"/>
        <w:rPr>
          <w:rFonts w:hint="default" w:ascii="仿宋" w:hAnsi="仿宋" w:eastAsia="仿宋" w:cs="仿宋"/>
          <w:shd w:val="clear" w:color="auto" w:fill="FFFFFF"/>
          <w:lang w:val="en-US" w:eastAsia="zh-CN"/>
        </w:rPr>
      </w:pPr>
      <w:r>
        <w:rPr>
          <w:rFonts w:hint="eastAsia" w:ascii="仿宋" w:hAnsi="仿宋" w:eastAsia="仿宋" w:cs="仿宋"/>
          <w:shd w:val="clear" w:color="auto" w:fill="FFFFFF"/>
        </w:rPr>
        <w:t>采购方式：单一来源</w:t>
      </w:r>
      <w:r>
        <w:rPr>
          <w:rFonts w:hint="eastAsia" w:ascii="仿宋" w:hAnsi="仿宋" w:eastAsia="仿宋" w:cs="仿宋"/>
          <w:shd w:val="clear" w:color="auto" w:fill="FFFFFF"/>
          <w:lang w:val="en-US" w:eastAsia="zh-CN"/>
        </w:rPr>
        <w:t xml:space="preserve">   </w:t>
      </w:r>
    </w:p>
    <w:p w14:paraId="3C6135F6">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预算金额：498000.00元</w:t>
      </w:r>
    </w:p>
    <w:p w14:paraId="354A01CA">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采购需求：</w:t>
      </w:r>
    </w:p>
    <w:p w14:paraId="7BC841FB">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合同包1(特定(单)病种质量监测系统售后服务)：</w:t>
      </w:r>
    </w:p>
    <w:p w14:paraId="78CF4F9F">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合同包预算金额：35000.00元</w:t>
      </w:r>
    </w:p>
    <w:p w14:paraId="34031A61">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合同包最高限价：35000.00元</w:t>
      </w:r>
    </w:p>
    <w:tbl>
      <w:tblPr>
        <w:tblStyle w:val="25"/>
        <w:tblW w:w="4997" w:type="pct"/>
        <w:jc w:val="center"/>
        <w:tblLayout w:type="autofit"/>
        <w:tblCellMar>
          <w:top w:w="0" w:type="dxa"/>
          <w:left w:w="0" w:type="dxa"/>
          <w:bottom w:w="0" w:type="dxa"/>
          <w:right w:w="0" w:type="dxa"/>
        </w:tblCellMar>
      </w:tblPr>
      <w:tblGrid>
        <w:gridCol w:w="665"/>
        <w:gridCol w:w="1046"/>
        <w:gridCol w:w="1170"/>
        <w:gridCol w:w="984"/>
        <w:gridCol w:w="2667"/>
        <w:gridCol w:w="1380"/>
        <w:gridCol w:w="1225"/>
      </w:tblGrid>
      <w:tr w14:paraId="1B5AE5A6">
        <w:tblPrEx>
          <w:tblCellMar>
            <w:top w:w="0" w:type="dxa"/>
            <w:left w:w="0" w:type="dxa"/>
            <w:bottom w:w="0" w:type="dxa"/>
            <w:right w:w="0" w:type="dxa"/>
          </w:tblCellMar>
        </w:tblPrEx>
        <w:trPr>
          <w:trHeight w:val="812" w:hRule="atLeast"/>
          <w:tblHeader/>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98C779">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品目号</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64FC0C">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品目名称</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EC5CD2">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采购标的</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810ECC">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数量</w:t>
            </w:r>
          </w:p>
          <w:p w14:paraId="5A7A2ABB">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（单位）</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43FABF">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技术规格、参数及要求</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E195FD">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品目预算(元)</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018E93">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最高限价(元)</w:t>
            </w:r>
          </w:p>
        </w:tc>
      </w:tr>
      <w:tr w14:paraId="444A8745">
        <w:tblPrEx>
          <w:tblCellMar>
            <w:top w:w="0" w:type="dxa"/>
            <w:left w:w="0" w:type="dxa"/>
            <w:bottom w:w="0" w:type="dxa"/>
            <w:right w:w="0" w:type="dxa"/>
          </w:tblCellMar>
        </w:tblPrEx>
        <w:trPr>
          <w:trHeight w:val="1640" w:hRule="atLeast"/>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84DDD1">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kern w:val="0"/>
                <w:sz w:val="24"/>
                <w:lang w:bidi="ar"/>
              </w:rPr>
              <w:t>1-1</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D530A3">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软件运维服务</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7DB387">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特定(单)病种质量监测系统售后服务</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1C7767">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1(项)</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42387C">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详见单一来源采购文件</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520A26">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35000.00</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888257">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35000.00</w:t>
            </w:r>
          </w:p>
        </w:tc>
      </w:tr>
    </w:tbl>
    <w:p w14:paraId="7063F036">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本合同包不接受联合体投标</w:t>
      </w:r>
    </w:p>
    <w:p w14:paraId="1317B34A">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服务期限：本项目服务期限为1年，自合同签订之日起计算。服务期内，服务商服务质量持续不达标，采购人有权提前终止合同。</w:t>
      </w:r>
    </w:p>
    <w:p w14:paraId="4F45B18D">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合同包2(临床药学管理系统售后服务)：</w:t>
      </w:r>
    </w:p>
    <w:p w14:paraId="458626BF">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合同包预算金额：60000.00元</w:t>
      </w:r>
    </w:p>
    <w:p w14:paraId="20215ED8">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合同包最高限价：60000.00元</w:t>
      </w:r>
    </w:p>
    <w:tbl>
      <w:tblPr>
        <w:tblStyle w:val="25"/>
        <w:tblW w:w="4997" w:type="pct"/>
        <w:jc w:val="center"/>
        <w:tblLayout w:type="autofit"/>
        <w:tblCellMar>
          <w:top w:w="0" w:type="dxa"/>
          <w:left w:w="0" w:type="dxa"/>
          <w:bottom w:w="0" w:type="dxa"/>
          <w:right w:w="0" w:type="dxa"/>
        </w:tblCellMar>
      </w:tblPr>
      <w:tblGrid>
        <w:gridCol w:w="665"/>
        <w:gridCol w:w="1046"/>
        <w:gridCol w:w="1170"/>
        <w:gridCol w:w="984"/>
        <w:gridCol w:w="2667"/>
        <w:gridCol w:w="1380"/>
        <w:gridCol w:w="1225"/>
      </w:tblGrid>
      <w:tr w14:paraId="0E1DE56A">
        <w:tblPrEx>
          <w:tblCellMar>
            <w:top w:w="0" w:type="dxa"/>
            <w:left w:w="0" w:type="dxa"/>
            <w:bottom w:w="0" w:type="dxa"/>
            <w:right w:w="0" w:type="dxa"/>
          </w:tblCellMar>
        </w:tblPrEx>
        <w:trPr>
          <w:trHeight w:val="812" w:hRule="atLeast"/>
          <w:tblHeader/>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32B539">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品目号</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C7762F">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品目名称</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861988">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采购标的</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9C3732">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数量</w:t>
            </w:r>
          </w:p>
          <w:p w14:paraId="480D3DA4">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（单位）</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C194DE">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技术规格、参数及要求</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26B136">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品目预算(元)</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0A1138">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最高限价(元)</w:t>
            </w:r>
          </w:p>
        </w:tc>
      </w:tr>
      <w:tr w14:paraId="475AB529">
        <w:tblPrEx>
          <w:tblCellMar>
            <w:top w:w="0" w:type="dxa"/>
            <w:left w:w="0" w:type="dxa"/>
            <w:bottom w:w="0" w:type="dxa"/>
            <w:right w:w="0" w:type="dxa"/>
          </w:tblCellMar>
        </w:tblPrEx>
        <w:trPr>
          <w:trHeight w:val="1640" w:hRule="atLeast"/>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6A7C6D">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kern w:val="0"/>
                <w:sz w:val="24"/>
                <w:lang w:bidi="ar"/>
              </w:rPr>
              <w:t>2-1</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3C3B4C">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软件运维服务</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FC6C44">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临床药学管理系统售后服务</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C792BD">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1(项)</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AAF7BD">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详见单一来源采购文件</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619B66">
            <w:pPr>
              <w:widowControl/>
              <w:spacing w:line="360" w:lineRule="atLeast"/>
              <w:jc w:val="center"/>
              <w:textAlignment w:val="center"/>
              <w:rPr>
                <w:rFonts w:ascii="仿宋" w:hAnsi="仿宋" w:eastAsia="仿宋" w:cs="仿宋"/>
                <w:kern w:val="0"/>
                <w:sz w:val="24"/>
                <w:lang w:bidi="ar"/>
              </w:rPr>
            </w:pPr>
            <w:r>
              <w:rPr>
                <w:rFonts w:hint="eastAsia" w:ascii="仿宋" w:hAnsi="仿宋" w:eastAsia="仿宋" w:cs="仿宋"/>
                <w:sz w:val="24"/>
                <w:shd w:val="clear" w:color="auto" w:fill="FFFFFF"/>
              </w:rPr>
              <w:t>60000.00</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DFF389">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shd w:val="clear" w:color="auto" w:fill="FFFFFF"/>
              </w:rPr>
              <w:t>60000.00</w:t>
            </w:r>
          </w:p>
        </w:tc>
      </w:tr>
    </w:tbl>
    <w:p w14:paraId="7F96A880">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本合同包不接受联合体投标</w:t>
      </w:r>
    </w:p>
    <w:p w14:paraId="6A873332">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服务期限：本项目服务期限为1年，自合同签订之日起计算。服务期内，服务商服务质量持续不达标，采购人有权提前终止合同。</w:t>
      </w:r>
    </w:p>
    <w:p w14:paraId="2903E29A">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合同包3(电子票据管理系统售后服务)：</w:t>
      </w:r>
    </w:p>
    <w:p w14:paraId="6B25420A">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合同包预算金额：15000.00元</w:t>
      </w:r>
    </w:p>
    <w:p w14:paraId="36BC7C91">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合同包最高限价：15000.00元</w:t>
      </w:r>
    </w:p>
    <w:tbl>
      <w:tblPr>
        <w:tblStyle w:val="25"/>
        <w:tblW w:w="4997" w:type="pct"/>
        <w:jc w:val="center"/>
        <w:tblLayout w:type="autofit"/>
        <w:tblCellMar>
          <w:top w:w="0" w:type="dxa"/>
          <w:left w:w="0" w:type="dxa"/>
          <w:bottom w:w="0" w:type="dxa"/>
          <w:right w:w="0" w:type="dxa"/>
        </w:tblCellMar>
      </w:tblPr>
      <w:tblGrid>
        <w:gridCol w:w="665"/>
        <w:gridCol w:w="1046"/>
        <w:gridCol w:w="1170"/>
        <w:gridCol w:w="984"/>
        <w:gridCol w:w="2667"/>
        <w:gridCol w:w="1380"/>
        <w:gridCol w:w="1225"/>
      </w:tblGrid>
      <w:tr w14:paraId="5E25C8FA">
        <w:tblPrEx>
          <w:tblCellMar>
            <w:top w:w="0" w:type="dxa"/>
            <w:left w:w="0" w:type="dxa"/>
            <w:bottom w:w="0" w:type="dxa"/>
            <w:right w:w="0" w:type="dxa"/>
          </w:tblCellMar>
        </w:tblPrEx>
        <w:trPr>
          <w:trHeight w:val="812" w:hRule="atLeast"/>
          <w:tblHeader/>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95A744">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品目号</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8A34AB">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品目名称</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DE8CC7">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采购标的</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3FFB2F">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数量</w:t>
            </w:r>
          </w:p>
          <w:p w14:paraId="6731CCB7">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（单位）</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A52776">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技术规格、参数及要求</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3E985F">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品目预算(元)</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1492D6">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最高限价(元)</w:t>
            </w:r>
          </w:p>
        </w:tc>
      </w:tr>
      <w:tr w14:paraId="23AFD268">
        <w:tblPrEx>
          <w:tblCellMar>
            <w:top w:w="0" w:type="dxa"/>
            <w:left w:w="0" w:type="dxa"/>
            <w:bottom w:w="0" w:type="dxa"/>
            <w:right w:w="0" w:type="dxa"/>
          </w:tblCellMar>
        </w:tblPrEx>
        <w:trPr>
          <w:trHeight w:val="1640" w:hRule="atLeast"/>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2B7FB5">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kern w:val="0"/>
                <w:sz w:val="24"/>
                <w:lang w:bidi="ar"/>
              </w:rPr>
              <w:t>3-1</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0BDC88">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软件运维服务</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D6E0B6">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电子票据管理系统售后服务</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FD178C">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1(项)</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15E970">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详见单一来源采购文件</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43B4BF">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15000.00</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F30056">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15000.00</w:t>
            </w:r>
          </w:p>
        </w:tc>
      </w:tr>
    </w:tbl>
    <w:p w14:paraId="6C2DA003">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本合同包不接受联合体投标</w:t>
      </w:r>
    </w:p>
    <w:p w14:paraId="61157561">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服务期限：本项目服务期限为1年，自合同签订之日起计算。服务期内，服务商服务质量持续不达标，或出现重大数据安全事件、财政合规问题，采购人有权提前终止合同。</w:t>
      </w:r>
    </w:p>
    <w:p w14:paraId="4BC62EB0">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合同包4(手术麻醉系统售后服务)：</w:t>
      </w:r>
    </w:p>
    <w:p w14:paraId="37CBB3D7">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合同包预算金额：20000.00元</w:t>
      </w:r>
    </w:p>
    <w:p w14:paraId="2E5D6529">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合同包最高限价：20000.00元</w:t>
      </w:r>
    </w:p>
    <w:tbl>
      <w:tblPr>
        <w:tblStyle w:val="25"/>
        <w:tblW w:w="4997" w:type="pct"/>
        <w:jc w:val="center"/>
        <w:tblLayout w:type="autofit"/>
        <w:tblCellMar>
          <w:top w:w="0" w:type="dxa"/>
          <w:left w:w="0" w:type="dxa"/>
          <w:bottom w:w="0" w:type="dxa"/>
          <w:right w:w="0" w:type="dxa"/>
        </w:tblCellMar>
      </w:tblPr>
      <w:tblGrid>
        <w:gridCol w:w="665"/>
        <w:gridCol w:w="1046"/>
        <w:gridCol w:w="1170"/>
        <w:gridCol w:w="984"/>
        <w:gridCol w:w="2667"/>
        <w:gridCol w:w="1380"/>
        <w:gridCol w:w="1225"/>
      </w:tblGrid>
      <w:tr w14:paraId="254D68BF">
        <w:tblPrEx>
          <w:tblCellMar>
            <w:top w:w="0" w:type="dxa"/>
            <w:left w:w="0" w:type="dxa"/>
            <w:bottom w:w="0" w:type="dxa"/>
            <w:right w:w="0" w:type="dxa"/>
          </w:tblCellMar>
        </w:tblPrEx>
        <w:trPr>
          <w:trHeight w:val="812" w:hRule="atLeast"/>
          <w:tblHeader/>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7C8541">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品目号</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EF2F34">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品目名称</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8E935B">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采购标的</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1E142D">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数量</w:t>
            </w:r>
          </w:p>
          <w:p w14:paraId="6EC86E6F">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（单位）</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5196A7">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技术规格、参数及要求</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297E92">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品目预算(元)</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2C49E7">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最高限价(元)</w:t>
            </w:r>
          </w:p>
        </w:tc>
      </w:tr>
      <w:tr w14:paraId="1FF44CC3">
        <w:tblPrEx>
          <w:tblCellMar>
            <w:top w:w="0" w:type="dxa"/>
            <w:left w:w="0" w:type="dxa"/>
            <w:bottom w:w="0" w:type="dxa"/>
            <w:right w:w="0" w:type="dxa"/>
          </w:tblCellMar>
        </w:tblPrEx>
        <w:trPr>
          <w:trHeight w:val="1640" w:hRule="atLeast"/>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4F0B80">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kern w:val="0"/>
                <w:sz w:val="24"/>
                <w:lang w:bidi="ar"/>
              </w:rPr>
              <w:t>4-1</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D9345A">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软件运维服务</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C07F80">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手术麻醉系统售后服务</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C7BF1C">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1(项)</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426A65">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详见单一来源采购文件</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65E790">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20000.00</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B980C4">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20000.00</w:t>
            </w:r>
          </w:p>
        </w:tc>
      </w:tr>
    </w:tbl>
    <w:p w14:paraId="0C2278A5">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本合同包不接受联合体投标</w:t>
      </w:r>
    </w:p>
    <w:p w14:paraId="284E17D5">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服务期限：本项目服务期限为1年，自合同签订之日起计算。服务期内，服务商服务质量持续不达标，采购人有权提前终止合同。</w:t>
      </w:r>
    </w:p>
    <w:p w14:paraId="5F2F3BA0">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合同包5(电生理网络信息管理系统售后服务)：</w:t>
      </w:r>
    </w:p>
    <w:p w14:paraId="3136738B">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合同包预算金额：40000.00元</w:t>
      </w:r>
    </w:p>
    <w:p w14:paraId="57CAFAF3">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合同包最高限价：40000.00元</w:t>
      </w:r>
    </w:p>
    <w:tbl>
      <w:tblPr>
        <w:tblStyle w:val="25"/>
        <w:tblW w:w="4997" w:type="pct"/>
        <w:jc w:val="center"/>
        <w:tblLayout w:type="autofit"/>
        <w:tblCellMar>
          <w:top w:w="0" w:type="dxa"/>
          <w:left w:w="0" w:type="dxa"/>
          <w:bottom w:w="0" w:type="dxa"/>
          <w:right w:w="0" w:type="dxa"/>
        </w:tblCellMar>
      </w:tblPr>
      <w:tblGrid>
        <w:gridCol w:w="665"/>
        <w:gridCol w:w="1046"/>
        <w:gridCol w:w="1170"/>
        <w:gridCol w:w="984"/>
        <w:gridCol w:w="2667"/>
        <w:gridCol w:w="1380"/>
        <w:gridCol w:w="1225"/>
      </w:tblGrid>
      <w:tr w14:paraId="09BDF213">
        <w:tblPrEx>
          <w:tblCellMar>
            <w:top w:w="0" w:type="dxa"/>
            <w:left w:w="0" w:type="dxa"/>
            <w:bottom w:w="0" w:type="dxa"/>
            <w:right w:w="0" w:type="dxa"/>
          </w:tblCellMar>
        </w:tblPrEx>
        <w:trPr>
          <w:trHeight w:val="812" w:hRule="atLeast"/>
          <w:tblHeader/>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ECAA08">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品目号</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1B79CF">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品目名称</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B9F81F">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采购标的</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9FB197">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数量</w:t>
            </w:r>
          </w:p>
          <w:p w14:paraId="1A6D24EB">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（单位）</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F17E77">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技术规格、参数及要求</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C20725">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品目预算(元)</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2CCFA3">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最高限价(元)</w:t>
            </w:r>
          </w:p>
        </w:tc>
      </w:tr>
      <w:tr w14:paraId="57998B69">
        <w:tblPrEx>
          <w:tblCellMar>
            <w:top w:w="0" w:type="dxa"/>
            <w:left w:w="0" w:type="dxa"/>
            <w:bottom w:w="0" w:type="dxa"/>
            <w:right w:w="0" w:type="dxa"/>
          </w:tblCellMar>
        </w:tblPrEx>
        <w:trPr>
          <w:trHeight w:val="1640" w:hRule="atLeast"/>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BE9517">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kern w:val="0"/>
                <w:sz w:val="24"/>
                <w:lang w:bidi="ar"/>
              </w:rPr>
              <w:t>5-1</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6203EC">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软件运维服务</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E88550">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电生理网络信息管理系统售后服务</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8F563F">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1(项)</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F3E6CE">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详见单一来源采购文件</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62E28B">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40000.00</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89A93D">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40000.00</w:t>
            </w:r>
          </w:p>
        </w:tc>
      </w:tr>
    </w:tbl>
    <w:p w14:paraId="3D5F8D06">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本合同包不接受联合体投标</w:t>
      </w:r>
    </w:p>
    <w:p w14:paraId="22DE5236">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服务期限：本项目服务期限为1年，自合同签订之日起计算。服务期内，服务商服务质量持续不达标，采购人有权提前终止合同。</w:t>
      </w:r>
    </w:p>
    <w:p w14:paraId="3B795BB4">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合同包6(医院感染实时监测信息系统售后服务)：</w:t>
      </w:r>
    </w:p>
    <w:p w14:paraId="366BD910">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合同包预算金额：35000.00元</w:t>
      </w:r>
    </w:p>
    <w:p w14:paraId="54B67499">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合同包最高限价：35000.00元</w:t>
      </w:r>
    </w:p>
    <w:tbl>
      <w:tblPr>
        <w:tblStyle w:val="25"/>
        <w:tblW w:w="4997" w:type="pct"/>
        <w:jc w:val="center"/>
        <w:tblLayout w:type="autofit"/>
        <w:tblCellMar>
          <w:top w:w="0" w:type="dxa"/>
          <w:left w:w="0" w:type="dxa"/>
          <w:bottom w:w="0" w:type="dxa"/>
          <w:right w:w="0" w:type="dxa"/>
        </w:tblCellMar>
      </w:tblPr>
      <w:tblGrid>
        <w:gridCol w:w="665"/>
        <w:gridCol w:w="1046"/>
        <w:gridCol w:w="1170"/>
        <w:gridCol w:w="984"/>
        <w:gridCol w:w="2667"/>
        <w:gridCol w:w="1380"/>
        <w:gridCol w:w="1225"/>
      </w:tblGrid>
      <w:tr w14:paraId="064176D8">
        <w:tblPrEx>
          <w:tblCellMar>
            <w:top w:w="0" w:type="dxa"/>
            <w:left w:w="0" w:type="dxa"/>
            <w:bottom w:w="0" w:type="dxa"/>
            <w:right w:w="0" w:type="dxa"/>
          </w:tblCellMar>
        </w:tblPrEx>
        <w:trPr>
          <w:trHeight w:val="812" w:hRule="atLeast"/>
          <w:tblHeader/>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93125B">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品目号</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E4A2F7">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品目名称</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27249F">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采购标的</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FFEBFE">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数量</w:t>
            </w:r>
          </w:p>
          <w:p w14:paraId="4C94DEA0">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（单位）</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437315">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技术规格、参数及要求</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FFBBB1">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品目预算(元)</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EABCF4">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最高限价(元)</w:t>
            </w:r>
          </w:p>
        </w:tc>
      </w:tr>
      <w:tr w14:paraId="67203CFA">
        <w:tblPrEx>
          <w:tblCellMar>
            <w:top w:w="0" w:type="dxa"/>
            <w:left w:w="0" w:type="dxa"/>
            <w:bottom w:w="0" w:type="dxa"/>
            <w:right w:w="0" w:type="dxa"/>
          </w:tblCellMar>
        </w:tblPrEx>
        <w:trPr>
          <w:trHeight w:val="1640" w:hRule="atLeast"/>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5B52BA">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kern w:val="0"/>
                <w:sz w:val="24"/>
                <w:lang w:bidi="ar"/>
              </w:rPr>
              <w:t>6-1</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3F3E1E">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软件运维服务</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274CFE">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医院感染实时监测信息系统售后服务</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07D63F">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1(项)</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E67480">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详见单一来源采购文件</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82AABE">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35000.00</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FDCD66">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35000.00</w:t>
            </w:r>
          </w:p>
        </w:tc>
      </w:tr>
    </w:tbl>
    <w:p w14:paraId="4822CA88">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本合同包不接受联合体投标</w:t>
      </w:r>
    </w:p>
    <w:p w14:paraId="2F3CE12E">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服务期限：本项目服务期限为1年，自合同签订之日起计算。服务期内，服务商服务质量持续不达标，采购人有权提前终止合同。</w:t>
      </w:r>
    </w:p>
    <w:p w14:paraId="4F869B6C">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合同包7(医院感染实时监测信息系统配套系统(APP)售后服务)：</w:t>
      </w:r>
    </w:p>
    <w:p w14:paraId="43C340D3">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合同包预算金额：33000.00元</w:t>
      </w:r>
    </w:p>
    <w:p w14:paraId="5719D89F">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合同包最高限价：33000.00元</w:t>
      </w:r>
    </w:p>
    <w:tbl>
      <w:tblPr>
        <w:tblStyle w:val="25"/>
        <w:tblW w:w="4997" w:type="pct"/>
        <w:jc w:val="center"/>
        <w:tblLayout w:type="autofit"/>
        <w:tblCellMar>
          <w:top w:w="0" w:type="dxa"/>
          <w:left w:w="0" w:type="dxa"/>
          <w:bottom w:w="0" w:type="dxa"/>
          <w:right w:w="0" w:type="dxa"/>
        </w:tblCellMar>
      </w:tblPr>
      <w:tblGrid>
        <w:gridCol w:w="665"/>
        <w:gridCol w:w="1046"/>
        <w:gridCol w:w="1170"/>
        <w:gridCol w:w="984"/>
        <w:gridCol w:w="2667"/>
        <w:gridCol w:w="1380"/>
        <w:gridCol w:w="1225"/>
      </w:tblGrid>
      <w:tr w14:paraId="32367BB3">
        <w:tblPrEx>
          <w:tblCellMar>
            <w:top w:w="0" w:type="dxa"/>
            <w:left w:w="0" w:type="dxa"/>
            <w:bottom w:w="0" w:type="dxa"/>
            <w:right w:w="0" w:type="dxa"/>
          </w:tblCellMar>
        </w:tblPrEx>
        <w:trPr>
          <w:trHeight w:val="812" w:hRule="atLeast"/>
          <w:tblHeader/>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CC8D31">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品目号</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FD0142">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品目名称</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CEE7F4">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采购标的</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32025E">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数量</w:t>
            </w:r>
          </w:p>
          <w:p w14:paraId="71EFF7D5">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（单位）</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7CE14F">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技术规格、参数及要求</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5A0518">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品目预算(元)</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B74656">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最高限价(元)</w:t>
            </w:r>
          </w:p>
        </w:tc>
      </w:tr>
      <w:tr w14:paraId="309DA553">
        <w:tblPrEx>
          <w:tblCellMar>
            <w:top w:w="0" w:type="dxa"/>
            <w:left w:w="0" w:type="dxa"/>
            <w:bottom w:w="0" w:type="dxa"/>
            <w:right w:w="0" w:type="dxa"/>
          </w:tblCellMar>
        </w:tblPrEx>
        <w:trPr>
          <w:trHeight w:val="1640" w:hRule="atLeast"/>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E039A7">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kern w:val="0"/>
                <w:sz w:val="24"/>
                <w:lang w:bidi="ar"/>
              </w:rPr>
              <w:t>7-1</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7BFAAB">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软件运维服务</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EC10ED">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医院感染实时监测信息系统配套系统(APP)售后服务</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F94497">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1(项)</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A16539">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详见单一来源采购文件</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112ECD">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33000.00</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1ED8BC">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33000.00</w:t>
            </w:r>
          </w:p>
        </w:tc>
      </w:tr>
    </w:tbl>
    <w:p w14:paraId="77DB46EF">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本合同包不接受联合体投标</w:t>
      </w:r>
    </w:p>
    <w:p w14:paraId="52564EE4">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服务期限：本项目服务期限为1年，自合同签订之日起计算。服务期内，服务商服务质量持续不达标，采购人有权提前终止合同。</w:t>
      </w:r>
    </w:p>
    <w:p w14:paraId="137B0D94">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合同包8(健康体检信息系统售后服务)：</w:t>
      </w:r>
    </w:p>
    <w:p w14:paraId="591D0A09">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合同包预算金额：30000.00元</w:t>
      </w:r>
    </w:p>
    <w:p w14:paraId="23A708C5">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合同包最高限价：30000.00元</w:t>
      </w:r>
    </w:p>
    <w:tbl>
      <w:tblPr>
        <w:tblStyle w:val="25"/>
        <w:tblW w:w="4997" w:type="pct"/>
        <w:jc w:val="center"/>
        <w:tblLayout w:type="autofit"/>
        <w:tblCellMar>
          <w:top w:w="0" w:type="dxa"/>
          <w:left w:w="0" w:type="dxa"/>
          <w:bottom w:w="0" w:type="dxa"/>
          <w:right w:w="0" w:type="dxa"/>
        </w:tblCellMar>
      </w:tblPr>
      <w:tblGrid>
        <w:gridCol w:w="665"/>
        <w:gridCol w:w="1046"/>
        <w:gridCol w:w="1170"/>
        <w:gridCol w:w="984"/>
        <w:gridCol w:w="2667"/>
        <w:gridCol w:w="1380"/>
        <w:gridCol w:w="1225"/>
      </w:tblGrid>
      <w:tr w14:paraId="6135FD21">
        <w:tblPrEx>
          <w:tblCellMar>
            <w:top w:w="0" w:type="dxa"/>
            <w:left w:w="0" w:type="dxa"/>
            <w:bottom w:w="0" w:type="dxa"/>
            <w:right w:w="0" w:type="dxa"/>
          </w:tblCellMar>
        </w:tblPrEx>
        <w:trPr>
          <w:trHeight w:val="812" w:hRule="atLeast"/>
          <w:tblHeader/>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BF6176">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品目号</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4BC3C6">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品目名称</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A63331">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采购标的</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3CA4D7">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数量</w:t>
            </w:r>
          </w:p>
          <w:p w14:paraId="1D8FEC97">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（单位）</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AEDE11">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技术规格、参数及要求</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329A3B">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品目预算(元)</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555605">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最高限价(元)</w:t>
            </w:r>
          </w:p>
        </w:tc>
      </w:tr>
      <w:tr w14:paraId="73F11F03">
        <w:tblPrEx>
          <w:tblCellMar>
            <w:top w:w="0" w:type="dxa"/>
            <w:left w:w="0" w:type="dxa"/>
            <w:bottom w:w="0" w:type="dxa"/>
            <w:right w:w="0" w:type="dxa"/>
          </w:tblCellMar>
        </w:tblPrEx>
        <w:trPr>
          <w:trHeight w:val="1640" w:hRule="atLeast"/>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436307">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kern w:val="0"/>
                <w:sz w:val="24"/>
                <w:lang w:bidi="ar"/>
              </w:rPr>
              <w:t>8-1</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191123">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软件运维服务</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9E046C">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健康体检信息系统售后服务</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A6FBF6">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1(项)</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DF9479">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详见单一来源采购文件</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816908">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30000.00</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5DB3FD">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30000.00</w:t>
            </w:r>
          </w:p>
        </w:tc>
      </w:tr>
    </w:tbl>
    <w:p w14:paraId="215F3C71">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本合同包不接受联合体投标</w:t>
      </w:r>
    </w:p>
    <w:p w14:paraId="25FA43D3">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服务期限：本项目服务期限为1年，自合同签订之日起计算。服务期内，服务商服务质量持续不达标，采购人有权提前终止合同。</w:t>
      </w:r>
    </w:p>
    <w:p w14:paraId="05AEABC5">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合同包9(智能导检系统与门诊叫号系统售后服务)：</w:t>
      </w:r>
    </w:p>
    <w:p w14:paraId="0F4454D3">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合同包预算金额：35000.00元</w:t>
      </w:r>
    </w:p>
    <w:p w14:paraId="16A4ECCA">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合同包最高限价：35000.00元</w:t>
      </w:r>
    </w:p>
    <w:tbl>
      <w:tblPr>
        <w:tblStyle w:val="25"/>
        <w:tblW w:w="4997" w:type="pct"/>
        <w:jc w:val="center"/>
        <w:tblLayout w:type="autofit"/>
        <w:tblCellMar>
          <w:top w:w="0" w:type="dxa"/>
          <w:left w:w="0" w:type="dxa"/>
          <w:bottom w:w="0" w:type="dxa"/>
          <w:right w:w="0" w:type="dxa"/>
        </w:tblCellMar>
      </w:tblPr>
      <w:tblGrid>
        <w:gridCol w:w="665"/>
        <w:gridCol w:w="1046"/>
        <w:gridCol w:w="1170"/>
        <w:gridCol w:w="984"/>
        <w:gridCol w:w="2667"/>
        <w:gridCol w:w="1380"/>
        <w:gridCol w:w="1225"/>
      </w:tblGrid>
      <w:tr w14:paraId="3D4D25AE">
        <w:tblPrEx>
          <w:tblCellMar>
            <w:top w:w="0" w:type="dxa"/>
            <w:left w:w="0" w:type="dxa"/>
            <w:bottom w:w="0" w:type="dxa"/>
            <w:right w:w="0" w:type="dxa"/>
          </w:tblCellMar>
        </w:tblPrEx>
        <w:trPr>
          <w:trHeight w:val="812" w:hRule="atLeast"/>
          <w:tblHeader/>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880369">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品目号</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6BDA56">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品目名称</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8CF71D">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采购标的</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BB81B7">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数量</w:t>
            </w:r>
          </w:p>
          <w:p w14:paraId="525281E7">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（单位）</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7843D9">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技术规格、参数及要求</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74CABD">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品目预算(元)</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8D244F">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最高限价(元)</w:t>
            </w:r>
          </w:p>
        </w:tc>
      </w:tr>
      <w:tr w14:paraId="0525BB6C">
        <w:tblPrEx>
          <w:tblCellMar>
            <w:top w:w="0" w:type="dxa"/>
            <w:left w:w="0" w:type="dxa"/>
            <w:bottom w:w="0" w:type="dxa"/>
            <w:right w:w="0" w:type="dxa"/>
          </w:tblCellMar>
        </w:tblPrEx>
        <w:trPr>
          <w:trHeight w:val="1640" w:hRule="atLeast"/>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593A93">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kern w:val="0"/>
                <w:sz w:val="24"/>
                <w:lang w:bidi="ar"/>
              </w:rPr>
              <w:t>9-1</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6DF9F4">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软件运维服务</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7961C5">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智能导检系统与门诊叫号系统售后服务</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B3FF6F">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1(项)</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FF1400">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详见单一来源采购文件</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BC8873">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35000.00</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F4A2C4">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35000.00</w:t>
            </w:r>
          </w:p>
        </w:tc>
      </w:tr>
    </w:tbl>
    <w:p w14:paraId="12FA13E2">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本合同包不接受联合体投标</w:t>
      </w:r>
    </w:p>
    <w:p w14:paraId="1652163C">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服务期限：本项目服务期限为1年，自合同签订之日起计算。服务期内，服务商服务质量持续不达标，采购人有权提前终止合同。</w:t>
      </w:r>
    </w:p>
    <w:p w14:paraId="26946C73">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合同包10(廉洁风险防控系统售后服务)：</w:t>
      </w:r>
    </w:p>
    <w:p w14:paraId="71D342A2">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合同包预算金额：30000.00元</w:t>
      </w:r>
    </w:p>
    <w:p w14:paraId="25A6D43F">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合同包最高限价：30000.00元</w:t>
      </w:r>
    </w:p>
    <w:tbl>
      <w:tblPr>
        <w:tblStyle w:val="25"/>
        <w:tblW w:w="4997" w:type="pct"/>
        <w:jc w:val="center"/>
        <w:tblLayout w:type="autofit"/>
        <w:tblCellMar>
          <w:top w:w="0" w:type="dxa"/>
          <w:left w:w="0" w:type="dxa"/>
          <w:bottom w:w="0" w:type="dxa"/>
          <w:right w:w="0" w:type="dxa"/>
        </w:tblCellMar>
      </w:tblPr>
      <w:tblGrid>
        <w:gridCol w:w="665"/>
        <w:gridCol w:w="1046"/>
        <w:gridCol w:w="1170"/>
        <w:gridCol w:w="984"/>
        <w:gridCol w:w="2667"/>
        <w:gridCol w:w="1380"/>
        <w:gridCol w:w="1225"/>
      </w:tblGrid>
      <w:tr w14:paraId="2536F35E">
        <w:trPr>
          <w:trHeight w:val="812" w:hRule="atLeast"/>
          <w:tblHeader/>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F8B181">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品目号</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FF0705">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品目名称</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01CE0B">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采购标的</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ADE4AA">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数量</w:t>
            </w:r>
          </w:p>
          <w:p w14:paraId="1C294E01">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（单位）</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CB3207">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技术规格、参数及要求</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9B1A22">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品目预算(元)</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612CB2">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最高限价(元)</w:t>
            </w:r>
          </w:p>
        </w:tc>
      </w:tr>
      <w:tr w14:paraId="056A4FF0">
        <w:tblPrEx>
          <w:tblCellMar>
            <w:top w:w="0" w:type="dxa"/>
            <w:left w:w="0" w:type="dxa"/>
            <w:bottom w:w="0" w:type="dxa"/>
            <w:right w:w="0" w:type="dxa"/>
          </w:tblCellMar>
        </w:tblPrEx>
        <w:trPr>
          <w:trHeight w:val="1640" w:hRule="atLeast"/>
          <w:jc w:val="center"/>
        </w:trPr>
        <w:tc>
          <w:tcPr>
            <w:tcW w:w="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4B72F4">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kern w:val="0"/>
                <w:sz w:val="24"/>
                <w:lang w:bidi="ar"/>
              </w:rPr>
              <w:t>10-1</w:t>
            </w:r>
          </w:p>
        </w:tc>
        <w:tc>
          <w:tcPr>
            <w:tcW w:w="57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EF84DF">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软件运维服务</w:t>
            </w:r>
          </w:p>
        </w:tc>
        <w:tc>
          <w:tcPr>
            <w:tcW w:w="6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1A63B6">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廉洁风险防控系统售后服务</w:t>
            </w:r>
          </w:p>
        </w:tc>
        <w:tc>
          <w:tcPr>
            <w:tcW w:w="5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355F9E">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1(项)</w:t>
            </w:r>
          </w:p>
        </w:tc>
        <w:tc>
          <w:tcPr>
            <w:tcW w:w="14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08B7C0">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详见单一来源采购文件</w:t>
            </w:r>
          </w:p>
        </w:tc>
        <w:tc>
          <w:tcPr>
            <w:tcW w:w="7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BF366F">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30000.00</w:t>
            </w:r>
          </w:p>
        </w:tc>
        <w:tc>
          <w:tcPr>
            <w:tcW w:w="67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18DF07">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30000.00</w:t>
            </w:r>
          </w:p>
        </w:tc>
      </w:tr>
    </w:tbl>
    <w:p w14:paraId="2FFE8DFF">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本合同包不接受联合体投标</w:t>
      </w:r>
    </w:p>
    <w:p w14:paraId="7E8D7740">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服务期限：本项目服务期限为1年，自合同签订之日起计算。服务期内，服务商服务质量持续不达标，采购人有权提前终止合同。</w:t>
      </w:r>
    </w:p>
    <w:p w14:paraId="3A9463D3">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合同包11(数字化认证信息系统售后服务)：</w:t>
      </w:r>
    </w:p>
    <w:p w14:paraId="16B7E66E">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合同包预算金额：165000.00元</w:t>
      </w:r>
    </w:p>
    <w:p w14:paraId="739585E2">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合同包最高限价：165000.00元</w:t>
      </w:r>
    </w:p>
    <w:tbl>
      <w:tblPr>
        <w:tblStyle w:val="25"/>
        <w:tblW w:w="5050" w:type="pct"/>
        <w:jc w:val="center"/>
        <w:tblLayout w:type="autofit"/>
        <w:tblCellMar>
          <w:top w:w="0" w:type="dxa"/>
          <w:left w:w="0" w:type="dxa"/>
          <w:bottom w:w="0" w:type="dxa"/>
          <w:right w:w="0" w:type="dxa"/>
        </w:tblCellMar>
      </w:tblPr>
      <w:tblGrid>
        <w:gridCol w:w="663"/>
        <w:gridCol w:w="1046"/>
        <w:gridCol w:w="1169"/>
        <w:gridCol w:w="894"/>
        <w:gridCol w:w="2671"/>
        <w:gridCol w:w="1380"/>
        <w:gridCol w:w="1410"/>
      </w:tblGrid>
      <w:tr w14:paraId="4DAF9A1B">
        <w:tblPrEx>
          <w:tblCellMar>
            <w:top w:w="0" w:type="dxa"/>
            <w:left w:w="0" w:type="dxa"/>
            <w:bottom w:w="0" w:type="dxa"/>
            <w:right w:w="0" w:type="dxa"/>
          </w:tblCellMar>
        </w:tblPrEx>
        <w:trPr>
          <w:trHeight w:val="812" w:hRule="atLeast"/>
          <w:tblHeader/>
          <w:jc w:val="center"/>
        </w:trPr>
        <w:tc>
          <w:tcPr>
            <w:tcW w:w="3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D7A3C7">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品目号</w:t>
            </w:r>
          </w:p>
        </w:tc>
        <w:tc>
          <w:tcPr>
            <w:tcW w:w="56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3A370F">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品目名称</w:t>
            </w:r>
          </w:p>
        </w:tc>
        <w:tc>
          <w:tcPr>
            <w:tcW w:w="63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DAACB7">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采购标的</w:t>
            </w:r>
          </w:p>
        </w:tc>
        <w:tc>
          <w:tcPr>
            <w:tcW w:w="48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CB0280">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数量</w:t>
            </w:r>
          </w:p>
          <w:p w14:paraId="412E75D0">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（单位）</w:t>
            </w:r>
          </w:p>
        </w:tc>
        <w:tc>
          <w:tcPr>
            <w:tcW w:w="14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57C237">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技术规格、参数及要求</w:t>
            </w:r>
          </w:p>
        </w:tc>
        <w:tc>
          <w:tcPr>
            <w:tcW w:w="7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0C23E9">
            <w:pPr>
              <w:widowControl/>
              <w:wordWrap w:val="0"/>
              <w:spacing w:line="360" w:lineRule="atLeast"/>
              <w:jc w:val="center"/>
              <w:textAlignment w:val="center"/>
              <w:rPr>
                <w:rFonts w:ascii="仿宋" w:hAnsi="仿宋" w:eastAsia="仿宋" w:cs="仿宋"/>
                <w:b/>
                <w:bCs/>
                <w:kern w:val="0"/>
                <w:sz w:val="24"/>
                <w:lang w:bidi="ar"/>
              </w:rPr>
            </w:pPr>
            <w:r>
              <w:rPr>
                <w:rFonts w:hint="eastAsia" w:ascii="仿宋" w:hAnsi="仿宋" w:eastAsia="仿宋" w:cs="仿宋"/>
                <w:b/>
                <w:bCs/>
                <w:kern w:val="0"/>
                <w:sz w:val="24"/>
                <w:lang w:bidi="ar"/>
              </w:rPr>
              <w:t>品目预算(元)</w:t>
            </w:r>
          </w:p>
        </w:tc>
        <w:tc>
          <w:tcPr>
            <w:tcW w:w="7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6320F1">
            <w:pPr>
              <w:widowControl/>
              <w:wordWrap w:val="0"/>
              <w:spacing w:line="360" w:lineRule="atLeast"/>
              <w:jc w:val="center"/>
              <w:textAlignment w:val="center"/>
              <w:rPr>
                <w:rFonts w:ascii="仿宋" w:hAnsi="仿宋" w:eastAsia="仿宋" w:cs="仿宋"/>
                <w:b/>
                <w:bCs/>
                <w:sz w:val="24"/>
              </w:rPr>
            </w:pPr>
            <w:r>
              <w:rPr>
                <w:rFonts w:hint="eastAsia" w:ascii="仿宋" w:hAnsi="仿宋" w:eastAsia="仿宋" w:cs="仿宋"/>
                <w:b/>
                <w:bCs/>
                <w:kern w:val="0"/>
                <w:sz w:val="24"/>
                <w:lang w:bidi="ar"/>
              </w:rPr>
              <w:t>最高限价(元)</w:t>
            </w:r>
          </w:p>
        </w:tc>
      </w:tr>
      <w:tr w14:paraId="70EB42FA">
        <w:tblPrEx>
          <w:tblCellMar>
            <w:top w:w="0" w:type="dxa"/>
            <w:left w:w="0" w:type="dxa"/>
            <w:bottom w:w="0" w:type="dxa"/>
            <w:right w:w="0" w:type="dxa"/>
          </w:tblCellMar>
        </w:tblPrEx>
        <w:trPr>
          <w:trHeight w:val="1640" w:hRule="atLeast"/>
          <w:jc w:val="center"/>
        </w:trPr>
        <w:tc>
          <w:tcPr>
            <w:tcW w:w="35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71698F">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kern w:val="0"/>
                <w:sz w:val="24"/>
                <w:lang w:bidi="ar"/>
              </w:rPr>
              <w:t>11-1</w:t>
            </w:r>
          </w:p>
        </w:tc>
        <w:tc>
          <w:tcPr>
            <w:tcW w:w="56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C25C9B">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软件运维服务</w:t>
            </w:r>
          </w:p>
        </w:tc>
        <w:tc>
          <w:tcPr>
            <w:tcW w:w="63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C733D3">
            <w:pPr>
              <w:widowControl/>
              <w:wordWrap w:val="0"/>
              <w:spacing w:line="360" w:lineRule="atLeast"/>
              <w:jc w:val="center"/>
              <w:textAlignment w:val="center"/>
              <w:rPr>
                <w:rFonts w:ascii="仿宋" w:hAnsi="仿宋" w:eastAsia="仿宋" w:cs="仿宋"/>
                <w:sz w:val="24"/>
              </w:rPr>
            </w:pPr>
            <w:r>
              <w:rPr>
                <w:rFonts w:hint="eastAsia" w:ascii="仿宋" w:hAnsi="仿宋" w:eastAsia="仿宋" w:cs="仿宋"/>
                <w:sz w:val="24"/>
              </w:rPr>
              <w:t>数字化认证信息系统售后服务</w:t>
            </w:r>
          </w:p>
        </w:tc>
        <w:tc>
          <w:tcPr>
            <w:tcW w:w="48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CA9D61">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1(项)</w:t>
            </w:r>
          </w:p>
        </w:tc>
        <w:tc>
          <w:tcPr>
            <w:tcW w:w="14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C6A7D3">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详见单一来源采购文件</w:t>
            </w:r>
          </w:p>
        </w:tc>
        <w:tc>
          <w:tcPr>
            <w:tcW w:w="7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11F28B">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165000.00</w:t>
            </w:r>
          </w:p>
        </w:tc>
        <w:tc>
          <w:tcPr>
            <w:tcW w:w="7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4EDF58">
            <w:pPr>
              <w:widowControl/>
              <w:wordWrap w:val="0"/>
              <w:spacing w:line="360" w:lineRule="atLeast"/>
              <w:jc w:val="center"/>
              <w:textAlignment w:val="center"/>
              <w:rPr>
                <w:rFonts w:ascii="仿宋" w:hAnsi="仿宋" w:eastAsia="仿宋" w:cs="仿宋"/>
                <w:kern w:val="0"/>
                <w:sz w:val="24"/>
                <w:lang w:bidi="ar"/>
              </w:rPr>
            </w:pPr>
            <w:r>
              <w:rPr>
                <w:rFonts w:hint="eastAsia" w:ascii="仿宋" w:hAnsi="仿宋" w:eastAsia="仿宋" w:cs="仿宋"/>
                <w:kern w:val="0"/>
                <w:sz w:val="24"/>
                <w:lang w:bidi="ar"/>
              </w:rPr>
              <w:t>165000.00</w:t>
            </w:r>
          </w:p>
        </w:tc>
      </w:tr>
    </w:tbl>
    <w:p w14:paraId="7FCE5E30">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本合同包不接受联合体投标</w:t>
      </w:r>
    </w:p>
    <w:p w14:paraId="09767B2A">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服务期限：本项目服务期限为1年，自合同签订之日起计算。服务期内，服务商服务质量持续不达标，采购人有权提前终止合同。</w:t>
      </w:r>
    </w:p>
    <w:p w14:paraId="3CEFDAD9">
      <w:pPr>
        <w:pStyle w:val="22"/>
        <w:adjustRightInd w:val="0"/>
        <w:snapToGrid w:val="0"/>
        <w:spacing w:before="0" w:beforeAutospacing="0" w:after="0" w:afterAutospacing="0" w:line="360" w:lineRule="auto"/>
        <w:ind w:firstLine="482" w:firstLineChars="200"/>
        <w:rPr>
          <w:rFonts w:ascii="仿宋" w:hAnsi="仿宋" w:eastAsia="仿宋" w:cs="仿宋"/>
          <w:b/>
          <w:bCs/>
          <w:shd w:val="clear" w:color="auto" w:fill="FFFFFF"/>
        </w:rPr>
      </w:pPr>
      <w:r>
        <w:rPr>
          <w:rFonts w:hint="eastAsia" w:ascii="仿宋" w:hAnsi="仿宋" w:eastAsia="仿宋" w:cs="仿宋"/>
          <w:b/>
          <w:bCs/>
          <w:shd w:val="clear" w:color="auto" w:fill="FFFFFF"/>
        </w:rPr>
        <w:t>二、 申请人的资格要求</w:t>
      </w:r>
    </w:p>
    <w:p w14:paraId="4DB6BAA9">
      <w:pPr>
        <w:pStyle w:val="22"/>
        <w:widowControl w:val="0"/>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1.满足《中华人民共和国政府采购法》第二十二条规定；</w:t>
      </w:r>
    </w:p>
    <w:p w14:paraId="274CAC0D">
      <w:pPr>
        <w:pStyle w:val="22"/>
        <w:widowControl w:val="0"/>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2.落实政府采购政策需满足的资格要求：</w:t>
      </w:r>
    </w:p>
    <w:p w14:paraId="1CD53BE1">
      <w:pPr>
        <w:pStyle w:val="22"/>
        <w:widowControl w:val="0"/>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合同包1、2、4、5、6、7、8、9、10、11落实政府采购政策需满足的资格要求如下:本项目专门面向中小企业采购。</w:t>
      </w:r>
    </w:p>
    <w:p w14:paraId="3BCEE8B0">
      <w:pPr>
        <w:pStyle w:val="22"/>
        <w:widowControl w:val="0"/>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合同包3落实政府采购政策需满足的资格要求如下:本项目非专门面向中小企业采购。</w:t>
      </w:r>
    </w:p>
    <w:p w14:paraId="11AD2A63">
      <w:pPr>
        <w:pStyle w:val="22"/>
        <w:widowControl w:val="0"/>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3、合同包1、2、4、5、6、7、8、9、10、11特定资格要求如下：</w:t>
      </w:r>
    </w:p>
    <w:p w14:paraId="5143F6D5">
      <w:pPr>
        <w:pStyle w:val="22"/>
        <w:wordWrap w:val="0"/>
        <w:adjustRightInd w:val="0"/>
        <w:snapToGrid w:val="0"/>
        <w:spacing w:beforeAutospacing="0" w:after="0" w:afterAutospacing="0" w:line="360" w:lineRule="auto"/>
        <w:ind w:firstLine="480"/>
        <w:jc w:val="both"/>
        <w:rPr>
          <w:rFonts w:ascii="仿宋" w:hAnsi="仿宋" w:eastAsia="仿宋" w:cs="仿宋"/>
        </w:rPr>
      </w:pPr>
      <w:r>
        <w:rPr>
          <w:rFonts w:hint="eastAsia" w:ascii="仿宋" w:hAnsi="仿宋" w:eastAsia="仿宋" w:cs="仿宋"/>
        </w:rPr>
        <w:t>1、营业执照等主体资格证明文件：具有独立承担民事责任能力的法人、其他组织或自然人，提供合法有效的统一社会信用代码营业执照（事业单位法人证书/专业服务机构执业许可证/民办非企业单位登记证书，自然人提供身份证）；</w:t>
      </w:r>
    </w:p>
    <w:p w14:paraId="447ABE82">
      <w:pPr>
        <w:pStyle w:val="22"/>
        <w:wordWrap w:val="0"/>
        <w:adjustRightInd w:val="0"/>
        <w:snapToGrid w:val="0"/>
        <w:spacing w:beforeAutospacing="0" w:after="0" w:afterAutospacing="0" w:line="360" w:lineRule="auto"/>
        <w:ind w:firstLine="480"/>
        <w:jc w:val="both"/>
        <w:rPr>
          <w:rFonts w:ascii="仿宋" w:hAnsi="仿宋" w:eastAsia="仿宋" w:cs="仿宋"/>
        </w:rPr>
      </w:pPr>
      <w:r>
        <w:rPr>
          <w:rFonts w:hint="eastAsia" w:ascii="仿宋" w:hAnsi="仿宋" w:eastAsia="仿宋" w:cs="仿宋"/>
        </w:rPr>
        <w:t>2、财务状况报告：提供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投标担保函（以上三种形式的资料提供任何一种即可）；</w:t>
      </w:r>
    </w:p>
    <w:p w14:paraId="5507D334">
      <w:pPr>
        <w:pStyle w:val="22"/>
        <w:wordWrap w:val="0"/>
        <w:adjustRightInd w:val="0"/>
        <w:snapToGrid w:val="0"/>
        <w:spacing w:beforeAutospacing="0" w:after="0" w:afterAutospacing="0" w:line="360" w:lineRule="auto"/>
        <w:ind w:firstLine="480"/>
        <w:jc w:val="both"/>
        <w:rPr>
          <w:rFonts w:ascii="仿宋" w:hAnsi="仿宋" w:eastAsia="仿宋" w:cs="仿宋"/>
        </w:rPr>
      </w:pPr>
      <w:r>
        <w:rPr>
          <w:rFonts w:hint="eastAsia" w:ascii="仿宋" w:hAnsi="仿宋" w:eastAsia="仿宋" w:cs="仿宋"/>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6288D52E">
      <w:pPr>
        <w:pStyle w:val="22"/>
        <w:wordWrap w:val="0"/>
        <w:adjustRightInd w:val="0"/>
        <w:snapToGrid w:val="0"/>
        <w:spacing w:beforeAutospacing="0" w:after="0" w:afterAutospacing="0" w:line="360" w:lineRule="auto"/>
        <w:ind w:firstLine="480"/>
        <w:jc w:val="both"/>
        <w:rPr>
          <w:rFonts w:ascii="仿宋" w:hAnsi="仿宋" w:eastAsia="仿宋" w:cs="仿宋"/>
        </w:rPr>
      </w:pPr>
      <w:r>
        <w:rPr>
          <w:rFonts w:hint="eastAsia" w:ascii="仿宋" w:hAnsi="仿宋" w:eastAsia="仿宋" w:cs="仿宋"/>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55A95B6E">
      <w:pPr>
        <w:pStyle w:val="22"/>
        <w:wordWrap w:val="0"/>
        <w:adjustRightInd w:val="0"/>
        <w:snapToGrid w:val="0"/>
        <w:spacing w:beforeAutospacing="0" w:after="0" w:afterAutospacing="0" w:line="360" w:lineRule="auto"/>
        <w:ind w:firstLine="480"/>
        <w:jc w:val="both"/>
        <w:rPr>
          <w:rFonts w:ascii="仿宋" w:hAnsi="仿宋" w:eastAsia="仿宋" w:cs="仿宋"/>
        </w:rPr>
      </w:pPr>
      <w:r>
        <w:rPr>
          <w:rFonts w:hint="eastAsia" w:ascii="仿宋" w:hAnsi="仿宋" w:eastAsia="仿宋" w:cs="仿宋"/>
        </w:rPr>
        <w:t>5、书面声明：提供具有履行本合同所必需的专业技术能力的书面声明；</w:t>
      </w:r>
    </w:p>
    <w:p w14:paraId="7B6B92AB">
      <w:pPr>
        <w:pStyle w:val="22"/>
        <w:wordWrap w:val="0"/>
        <w:adjustRightInd w:val="0"/>
        <w:snapToGrid w:val="0"/>
        <w:spacing w:beforeAutospacing="0" w:after="0" w:afterAutospacing="0" w:line="360" w:lineRule="auto"/>
        <w:ind w:firstLine="480"/>
        <w:jc w:val="both"/>
        <w:rPr>
          <w:rFonts w:ascii="仿宋" w:hAnsi="仿宋" w:eastAsia="仿宋" w:cs="仿宋"/>
        </w:rPr>
      </w:pPr>
      <w:r>
        <w:rPr>
          <w:rFonts w:hint="eastAsia" w:ascii="仿宋" w:hAnsi="仿宋" w:eastAsia="仿宋" w:cs="仿宋"/>
        </w:rPr>
        <w:t>6、无重大违法记录声明：参加本次政府采购活动前 3 年内在经营活动中没有重大违纪，以及未被列入失信被执行人、重大税收违法失信主体、政府采购严重违法失信行为记录名单的书面声明；</w:t>
      </w:r>
    </w:p>
    <w:p w14:paraId="7BD5DBF1">
      <w:pPr>
        <w:pStyle w:val="22"/>
        <w:wordWrap w:val="0"/>
        <w:adjustRightInd w:val="0"/>
        <w:snapToGrid w:val="0"/>
        <w:spacing w:beforeAutospacing="0" w:after="0" w:afterAutospacing="0" w:line="360" w:lineRule="auto"/>
        <w:ind w:firstLine="480"/>
        <w:jc w:val="both"/>
        <w:rPr>
          <w:rFonts w:ascii="仿宋" w:hAnsi="仿宋" w:eastAsia="仿宋" w:cs="仿宋"/>
        </w:rPr>
      </w:pPr>
      <w:r>
        <w:rPr>
          <w:rFonts w:hint="eastAsia" w:ascii="仿宋" w:hAnsi="仿宋" w:eastAsia="仿宋" w:cs="仿宋"/>
        </w:rPr>
        <w:t>7、法定代表人授权委托书：法定代表人直接参加协商的，须出具法定代表人身份证明书及身份证；授权代表参加协商的，须出具法定代表人授权书及授权代表身份证；</w:t>
      </w:r>
    </w:p>
    <w:p w14:paraId="775FEFED">
      <w:pPr>
        <w:pStyle w:val="22"/>
        <w:wordWrap w:val="0"/>
        <w:adjustRightInd w:val="0"/>
        <w:snapToGrid w:val="0"/>
        <w:spacing w:beforeAutospacing="0" w:after="0" w:afterAutospacing="0" w:line="360" w:lineRule="auto"/>
        <w:ind w:firstLine="480"/>
        <w:jc w:val="both"/>
        <w:rPr>
          <w:rFonts w:ascii="仿宋" w:hAnsi="仿宋" w:eastAsia="仿宋" w:cs="仿宋"/>
        </w:rPr>
      </w:pPr>
      <w:r>
        <w:rPr>
          <w:rFonts w:hint="eastAsia" w:ascii="仿宋" w:hAnsi="仿宋" w:eastAsia="仿宋" w:cs="仿宋"/>
        </w:rPr>
        <w:t>8、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703C0719">
      <w:pPr>
        <w:pStyle w:val="22"/>
        <w:wordWrap w:val="0"/>
        <w:adjustRightInd w:val="0"/>
        <w:snapToGrid w:val="0"/>
        <w:spacing w:beforeAutospacing="0" w:after="0" w:afterAutospacing="0" w:line="360" w:lineRule="auto"/>
        <w:ind w:firstLine="480"/>
        <w:jc w:val="both"/>
        <w:rPr>
          <w:rFonts w:hint="eastAsia" w:ascii="仿宋" w:hAnsi="仿宋" w:eastAsia="仿宋" w:cs="仿宋"/>
        </w:rPr>
      </w:pPr>
      <w:r>
        <w:rPr>
          <w:rFonts w:hint="eastAsia" w:ascii="仿宋" w:hAnsi="仿宋" w:eastAsia="仿宋" w:cs="仿宋"/>
        </w:rPr>
        <w:t>9、中小企业声明函：本项目专门面向中小企业采购，供应商须提供中小企业声明函；</w:t>
      </w:r>
    </w:p>
    <w:p w14:paraId="0FE8A57F">
      <w:pPr>
        <w:pStyle w:val="22"/>
        <w:wordWrap w:val="0"/>
        <w:adjustRightInd w:val="0"/>
        <w:snapToGrid w:val="0"/>
        <w:spacing w:beforeAutospacing="0" w:after="0" w:afterAutospacing="0" w:line="360" w:lineRule="auto"/>
        <w:ind w:firstLine="480"/>
        <w:jc w:val="both"/>
        <w:rPr>
          <w:rFonts w:hint="eastAsia" w:ascii="仿宋" w:hAnsi="仿宋" w:eastAsia="仿宋" w:cs="仿宋"/>
        </w:rPr>
      </w:pPr>
      <w:r>
        <w:rPr>
          <w:rFonts w:hint="eastAsia" w:ascii="仿宋" w:hAnsi="仿宋" w:eastAsia="仿宋" w:cs="仿宋"/>
          <w:lang w:val="en-US" w:eastAsia="zh-CN"/>
        </w:rPr>
        <w:t>10、</w:t>
      </w:r>
      <w:r>
        <w:rPr>
          <w:rFonts w:hint="eastAsia" w:ascii="仿宋" w:hAnsi="仿宋" w:eastAsia="仿宋" w:cs="仿宋"/>
        </w:rPr>
        <w:t>非联合体声明：本项目不接受联合体协商。</w:t>
      </w:r>
    </w:p>
    <w:p w14:paraId="3D93BEBA">
      <w:pPr>
        <w:pStyle w:val="22"/>
        <w:wordWrap w:val="0"/>
        <w:adjustRightInd w:val="0"/>
        <w:snapToGrid w:val="0"/>
        <w:spacing w:beforeAutospacing="0" w:after="0" w:afterAutospacing="0" w:line="360" w:lineRule="auto"/>
        <w:ind w:firstLine="480"/>
        <w:jc w:val="both"/>
        <w:rPr>
          <w:rFonts w:hint="eastAsia" w:ascii="仿宋" w:hAnsi="仿宋" w:eastAsia="仿宋" w:cs="仿宋"/>
          <w:shd w:val="clear" w:color="auto" w:fill="FFFFFF"/>
        </w:rPr>
      </w:pPr>
      <w:r>
        <w:rPr>
          <w:rFonts w:hint="eastAsia" w:ascii="仿宋" w:hAnsi="仿宋" w:eastAsia="仿宋" w:cs="仿宋"/>
          <w:lang w:val="en-US" w:eastAsia="zh-CN"/>
        </w:rPr>
        <w:t>4、</w:t>
      </w:r>
      <w:r>
        <w:rPr>
          <w:rFonts w:hint="eastAsia" w:ascii="仿宋" w:hAnsi="仿宋" w:eastAsia="仿宋" w:cs="仿宋"/>
          <w:shd w:val="clear" w:color="auto" w:fill="FFFFFF"/>
        </w:rPr>
        <w:t>合同包3特定资格要求如下：</w:t>
      </w:r>
    </w:p>
    <w:p w14:paraId="032F3A70">
      <w:pPr>
        <w:pStyle w:val="22"/>
        <w:wordWrap w:val="0"/>
        <w:adjustRightInd w:val="0"/>
        <w:snapToGrid w:val="0"/>
        <w:spacing w:beforeAutospacing="0" w:after="0" w:afterAutospacing="0" w:line="360" w:lineRule="auto"/>
        <w:ind w:firstLine="480"/>
        <w:jc w:val="both"/>
        <w:rPr>
          <w:rFonts w:ascii="仿宋" w:hAnsi="仿宋" w:eastAsia="仿宋" w:cs="仿宋"/>
        </w:rPr>
      </w:pPr>
      <w:r>
        <w:rPr>
          <w:rFonts w:hint="eastAsia" w:ascii="仿宋" w:hAnsi="仿宋" w:eastAsia="仿宋" w:cs="仿宋"/>
        </w:rPr>
        <w:t>1、营业执照等主体资格证明文件：具有独立承担民事责任能力的法人、其他组织或自然人，提供合法有效的统一社会信用代码营业执照（事业单位法人证书/专业服务机构执业许可证/民办非企业单位登记证书，自然人提供身份证）；</w:t>
      </w:r>
    </w:p>
    <w:p w14:paraId="26A314F3">
      <w:pPr>
        <w:pStyle w:val="22"/>
        <w:wordWrap w:val="0"/>
        <w:adjustRightInd w:val="0"/>
        <w:snapToGrid w:val="0"/>
        <w:spacing w:beforeAutospacing="0" w:after="0" w:afterAutospacing="0" w:line="360" w:lineRule="auto"/>
        <w:ind w:firstLine="480"/>
        <w:jc w:val="both"/>
        <w:rPr>
          <w:rFonts w:ascii="仿宋" w:hAnsi="仿宋" w:eastAsia="仿宋" w:cs="仿宋"/>
        </w:rPr>
      </w:pPr>
      <w:r>
        <w:rPr>
          <w:rFonts w:hint="eastAsia" w:ascii="仿宋" w:hAnsi="仿宋" w:eastAsia="仿宋" w:cs="仿宋"/>
        </w:rPr>
        <w:t>2、财务状况报告：提供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投标担保函（以上三种形式的资料提供任何一种即可）；</w:t>
      </w:r>
    </w:p>
    <w:p w14:paraId="6BEF9A42">
      <w:pPr>
        <w:pStyle w:val="22"/>
        <w:wordWrap w:val="0"/>
        <w:adjustRightInd w:val="0"/>
        <w:snapToGrid w:val="0"/>
        <w:spacing w:beforeAutospacing="0" w:after="0" w:afterAutospacing="0" w:line="360" w:lineRule="auto"/>
        <w:ind w:firstLine="480"/>
        <w:jc w:val="both"/>
        <w:rPr>
          <w:rFonts w:ascii="仿宋" w:hAnsi="仿宋" w:eastAsia="仿宋" w:cs="仿宋"/>
        </w:rPr>
      </w:pPr>
      <w:r>
        <w:rPr>
          <w:rFonts w:hint="eastAsia" w:ascii="仿宋" w:hAnsi="仿宋" w:eastAsia="仿宋" w:cs="仿宋"/>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53ED46E0">
      <w:pPr>
        <w:pStyle w:val="22"/>
        <w:wordWrap w:val="0"/>
        <w:adjustRightInd w:val="0"/>
        <w:snapToGrid w:val="0"/>
        <w:spacing w:beforeAutospacing="0" w:after="0" w:afterAutospacing="0" w:line="360" w:lineRule="auto"/>
        <w:ind w:firstLine="480"/>
        <w:jc w:val="both"/>
        <w:rPr>
          <w:rFonts w:ascii="仿宋" w:hAnsi="仿宋" w:eastAsia="仿宋" w:cs="仿宋"/>
        </w:rPr>
      </w:pPr>
      <w:r>
        <w:rPr>
          <w:rFonts w:hint="eastAsia" w:ascii="仿宋" w:hAnsi="仿宋" w:eastAsia="仿宋" w:cs="仿宋"/>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107524DA">
      <w:pPr>
        <w:pStyle w:val="22"/>
        <w:wordWrap w:val="0"/>
        <w:adjustRightInd w:val="0"/>
        <w:snapToGrid w:val="0"/>
        <w:spacing w:beforeAutospacing="0" w:after="0" w:afterAutospacing="0" w:line="360" w:lineRule="auto"/>
        <w:ind w:firstLine="480"/>
        <w:jc w:val="both"/>
        <w:rPr>
          <w:rFonts w:ascii="仿宋" w:hAnsi="仿宋" w:eastAsia="仿宋" w:cs="仿宋"/>
        </w:rPr>
      </w:pPr>
      <w:r>
        <w:rPr>
          <w:rFonts w:hint="eastAsia" w:ascii="仿宋" w:hAnsi="仿宋" w:eastAsia="仿宋" w:cs="仿宋"/>
        </w:rPr>
        <w:t>5、书面声明：提供具有履行本合同所必需的专业技术能力的书面声明；</w:t>
      </w:r>
    </w:p>
    <w:p w14:paraId="76504B67">
      <w:pPr>
        <w:pStyle w:val="22"/>
        <w:wordWrap w:val="0"/>
        <w:adjustRightInd w:val="0"/>
        <w:snapToGrid w:val="0"/>
        <w:spacing w:beforeAutospacing="0" w:after="0" w:afterAutospacing="0" w:line="360" w:lineRule="auto"/>
        <w:ind w:firstLine="480"/>
        <w:jc w:val="both"/>
        <w:rPr>
          <w:rFonts w:ascii="仿宋" w:hAnsi="仿宋" w:eastAsia="仿宋" w:cs="仿宋"/>
        </w:rPr>
      </w:pPr>
      <w:r>
        <w:rPr>
          <w:rFonts w:hint="eastAsia" w:ascii="仿宋" w:hAnsi="仿宋" w:eastAsia="仿宋" w:cs="仿宋"/>
        </w:rPr>
        <w:t>6、无重大违法记录声明：参加本次政府采购活动前 3 年内在经营活动中没有重大违纪，以及未被列入失信被执行人、重大税收违法失信主体、政府采购严重违法失信行为记录名单的书面声明；</w:t>
      </w:r>
    </w:p>
    <w:p w14:paraId="754F11BA">
      <w:pPr>
        <w:pStyle w:val="22"/>
        <w:wordWrap w:val="0"/>
        <w:adjustRightInd w:val="0"/>
        <w:snapToGrid w:val="0"/>
        <w:spacing w:beforeAutospacing="0" w:after="0" w:afterAutospacing="0" w:line="360" w:lineRule="auto"/>
        <w:ind w:firstLine="480"/>
        <w:jc w:val="both"/>
        <w:rPr>
          <w:rFonts w:ascii="仿宋" w:hAnsi="仿宋" w:eastAsia="仿宋" w:cs="仿宋"/>
        </w:rPr>
      </w:pPr>
      <w:r>
        <w:rPr>
          <w:rFonts w:hint="eastAsia" w:ascii="仿宋" w:hAnsi="仿宋" w:eastAsia="仿宋" w:cs="仿宋"/>
        </w:rPr>
        <w:t>7、法定代表人授权委托书：法定代表人直接参加协商的，须出具法定代表人身份证明书及身份证；授权代表参加协商的，须出具法定代表人授权书及授权代表身份证；</w:t>
      </w:r>
    </w:p>
    <w:p w14:paraId="03184A54">
      <w:pPr>
        <w:pStyle w:val="22"/>
        <w:wordWrap w:val="0"/>
        <w:adjustRightInd w:val="0"/>
        <w:snapToGrid w:val="0"/>
        <w:spacing w:beforeAutospacing="0" w:after="0" w:afterAutospacing="0" w:line="360" w:lineRule="auto"/>
        <w:ind w:firstLine="480"/>
        <w:jc w:val="both"/>
        <w:rPr>
          <w:rFonts w:ascii="仿宋" w:hAnsi="仿宋" w:eastAsia="仿宋" w:cs="仿宋"/>
        </w:rPr>
      </w:pPr>
      <w:r>
        <w:rPr>
          <w:rFonts w:hint="eastAsia" w:ascii="仿宋" w:hAnsi="仿宋" w:eastAsia="仿宋" w:cs="仿宋"/>
        </w:rPr>
        <w:t>8、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1DA270F3">
      <w:pPr>
        <w:pStyle w:val="22"/>
        <w:wordWrap w:val="0"/>
        <w:adjustRightInd w:val="0"/>
        <w:snapToGrid w:val="0"/>
        <w:spacing w:beforeAutospacing="0" w:after="0" w:afterAutospacing="0" w:line="360" w:lineRule="auto"/>
        <w:ind w:firstLine="480"/>
        <w:jc w:val="both"/>
        <w:rPr>
          <w:rFonts w:hint="eastAsia" w:ascii="仿宋" w:hAnsi="仿宋" w:eastAsia="仿宋" w:cs="仿宋"/>
        </w:rPr>
      </w:pPr>
      <w:r>
        <w:rPr>
          <w:rFonts w:hint="eastAsia" w:ascii="仿宋" w:hAnsi="仿宋" w:eastAsia="仿宋" w:cs="仿宋"/>
        </w:rPr>
        <w:t>9、非联合体声明：本项目不接受联合体协商。</w:t>
      </w:r>
    </w:p>
    <w:p w14:paraId="6D0535B2">
      <w:pPr>
        <w:pStyle w:val="22"/>
        <w:spacing w:before="0" w:beforeAutospacing="0" w:after="0" w:afterAutospacing="0" w:line="360" w:lineRule="auto"/>
        <w:ind w:firstLine="420"/>
        <w:rPr>
          <w:rFonts w:ascii="仿宋" w:hAnsi="仿宋" w:eastAsia="仿宋" w:cs="仿宋"/>
          <w:b/>
          <w:bCs/>
          <w:shd w:val="clear" w:color="auto" w:fill="FFFFFF"/>
        </w:rPr>
      </w:pPr>
      <w:r>
        <w:rPr>
          <w:rFonts w:hint="eastAsia" w:ascii="仿宋" w:hAnsi="仿宋" w:eastAsia="仿宋" w:cs="仿宋"/>
          <w:b/>
          <w:bCs/>
          <w:shd w:val="clear" w:color="auto" w:fill="FFFFFF"/>
        </w:rPr>
        <w:t>三、 获取单一来源采购文件</w:t>
      </w:r>
    </w:p>
    <w:p w14:paraId="32307A5D">
      <w:pPr>
        <w:pStyle w:val="22"/>
        <w:spacing w:before="0" w:beforeAutospacing="0" w:after="0" w:afterAutospacing="0" w:line="360" w:lineRule="auto"/>
        <w:ind w:firstLine="420"/>
        <w:rPr>
          <w:rFonts w:ascii="仿宋" w:hAnsi="仿宋" w:eastAsia="仿宋" w:cs="仿宋"/>
          <w:shd w:val="clear" w:color="auto" w:fill="FFFFFF"/>
        </w:rPr>
      </w:pPr>
      <w:r>
        <w:rPr>
          <w:rFonts w:hint="eastAsia" w:ascii="仿宋" w:hAnsi="仿宋" w:eastAsia="仿宋" w:cs="仿宋"/>
          <w:highlight w:val="none"/>
          <w:shd w:val="clear" w:color="auto" w:fill="FFFFFF"/>
        </w:rPr>
        <w:t>时间：2026年</w:t>
      </w:r>
      <w:r>
        <w:rPr>
          <w:rFonts w:hint="eastAsia" w:ascii="仿宋" w:hAnsi="仿宋" w:eastAsia="仿宋" w:cs="仿宋"/>
          <w:highlight w:val="none"/>
          <w:shd w:val="clear" w:color="auto" w:fill="FFFFFF"/>
          <w:lang w:val="en-US" w:eastAsia="zh-CN"/>
        </w:rPr>
        <w:t>08</w:t>
      </w:r>
      <w:r>
        <w:rPr>
          <w:rFonts w:hint="eastAsia" w:ascii="仿宋" w:hAnsi="仿宋" w:eastAsia="仿宋" w:cs="仿宋"/>
          <w:highlight w:val="none"/>
          <w:shd w:val="clear" w:color="auto" w:fill="FFFFFF"/>
        </w:rPr>
        <w:t>月</w:t>
      </w:r>
      <w:r>
        <w:rPr>
          <w:rFonts w:hint="eastAsia" w:ascii="仿宋" w:hAnsi="仿宋" w:eastAsia="仿宋" w:cs="仿宋"/>
          <w:highlight w:val="none"/>
          <w:shd w:val="clear" w:color="auto" w:fill="FFFFFF"/>
          <w:lang w:val="en-US" w:eastAsia="zh-CN"/>
        </w:rPr>
        <w:t>10</w:t>
      </w:r>
      <w:r>
        <w:rPr>
          <w:rFonts w:hint="eastAsia" w:ascii="仿宋" w:hAnsi="仿宋" w:eastAsia="仿宋" w:cs="仿宋"/>
          <w:highlight w:val="none"/>
          <w:shd w:val="clear" w:color="auto" w:fill="FFFFFF"/>
        </w:rPr>
        <w:t>日至2026年</w:t>
      </w:r>
      <w:r>
        <w:rPr>
          <w:rFonts w:hint="eastAsia" w:ascii="仿宋" w:hAnsi="仿宋" w:eastAsia="仿宋" w:cs="仿宋"/>
          <w:highlight w:val="none"/>
          <w:shd w:val="clear" w:color="auto" w:fill="FFFFFF"/>
          <w:lang w:val="en-US" w:eastAsia="zh-CN"/>
        </w:rPr>
        <w:t>08</w:t>
      </w:r>
      <w:r>
        <w:rPr>
          <w:rFonts w:hint="eastAsia" w:ascii="仿宋" w:hAnsi="仿宋" w:eastAsia="仿宋" w:cs="仿宋"/>
          <w:highlight w:val="none"/>
          <w:shd w:val="clear" w:color="auto" w:fill="FFFFFF"/>
        </w:rPr>
        <w:t>月</w:t>
      </w:r>
      <w:r>
        <w:rPr>
          <w:rFonts w:hint="eastAsia" w:ascii="仿宋" w:hAnsi="仿宋" w:eastAsia="仿宋" w:cs="仿宋"/>
          <w:highlight w:val="none"/>
          <w:shd w:val="clear" w:color="auto" w:fill="FFFFFF"/>
          <w:lang w:val="en-US" w:eastAsia="zh-CN"/>
        </w:rPr>
        <w:t>14</w:t>
      </w:r>
      <w:r>
        <w:rPr>
          <w:rFonts w:hint="eastAsia" w:ascii="仿宋" w:hAnsi="仿宋" w:eastAsia="仿宋" w:cs="仿宋"/>
          <w:highlight w:val="none"/>
          <w:shd w:val="clear" w:color="auto" w:fill="FFFFFF"/>
        </w:rPr>
        <w:t>日，每天</w:t>
      </w:r>
      <w:r>
        <w:rPr>
          <w:rFonts w:hint="eastAsia" w:ascii="仿宋" w:hAnsi="仿宋" w:eastAsia="仿宋" w:cs="仿宋"/>
          <w:shd w:val="clear" w:color="auto" w:fill="FFFFFF"/>
        </w:rPr>
        <w:t>上午 09:00:00 至 12:00:00 ，下午 14:00:00 至 17:00:00 （北京时间,法定节假日除外）</w:t>
      </w:r>
    </w:p>
    <w:p w14:paraId="5A311147">
      <w:pPr>
        <w:pStyle w:val="22"/>
        <w:spacing w:before="0" w:beforeAutospacing="0" w:after="0" w:afterAutospacing="0" w:line="360" w:lineRule="auto"/>
        <w:ind w:firstLine="420"/>
        <w:rPr>
          <w:rFonts w:ascii="仿宋" w:hAnsi="仿宋" w:eastAsia="仿宋" w:cs="仿宋"/>
          <w:shd w:val="clear" w:color="auto" w:fill="FFFFFF"/>
        </w:rPr>
      </w:pPr>
      <w:r>
        <w:rPr>
          <w:rFonts w:hint="eastAsia" w:ascii="仿宋" w:hAnsi="仿宋" w:eastAsia="仿宋" w:cs="仿宋"/>
          <w:shd w:val="clear" w:color="auto" w:fill="FFFFFF"/>
        </w:rPr>
        <w:t>地点：</w:t>
      </w:r>
      <w:r>
        <w:rPr>
          <w:rFonts w:hint="eastAsia" w:ascii="仿宋" w:hAnsi="仿宋" w:eastAsia="仿宋" w:cs="仿宋"/>
          <w:sz w:val="24"/>
          <w:szCs w:val="24"/>
          <w:highlight w:val="none"/>
        </w:rPr>
        <w:t>获取采购文件时间内，将</w:t>
      </w:r>
      <w:r>
        <w:rPr>
          <w:rFonts w:hint="eastAsia" w:ascii="仿宋" w:hAnsi="仿宋" w:eastAsia="仿宋" w:cs="仿宋"/>
        </w:rPr>
        <w:t>单一来源邀请书</w:t>
      </w:r>
      <w:r>
        <w:rPr>
          <w:rFonts w:hint="eastAsia" w:ascii="仿宋" w:hAnsi="仿宋" w:eastAsia="仿宋" w:cs="仿宋"/>
          <w:lang w:eastAsia="zh-CN"/>
        </w:rPr>
        <w:t>、</w:t>
      </w:r>
      <w:r>
        <w:rPr>
          <w:rFonts w:hint="eastAsia" w:ascii="仿宋" w:hAnsi="仿宋" w:eastAsia="仿宋" w:cs="仿宋"/>
          <w:sz w:val="24"/>
          <w:szCs w:val="24"/>
          <w:highlight w:val="none"/>
        </w:rPr>
        <w:t>单位介绍信或授权委托书（须注明项目名称及项目编号）、身份证复印件、</w:t>
      </w:r>
      <w:r>
        <w:rPr>
          <w:rFonts w:hint="eastAsia" w:ascii="仿宋" w:hAnsi="仿宋" w:eastAsia="仿宋" w:cs="仿宋"/>
        </w:rPr>
        <w:t>完整填写的采购文件领取登记表及标书费转账凭证</w:t>
      </w:r>
      <w:r>
        <w:rPr>
          <w:rFonts w:hint="eastAsia" w:ascii="仿宋" w:hAnsi="仿宋" w:eastAsia="仿宋" w:cs="仿宋"/>
          <w:sz w:val="24"/>
          <w:szCs w:val="24"/>
          <w:highlight w:val="none"/>
        </w:rPr>
        <w:t>均加盖单位公章发送至指定邮箱（具体内容详见其它补充事宜）</w:t>
      </w:r>
    </w:p>
    <w:p w14:paraId="0A64C5B0">
      <w:pPr>
        <w:pStyle w:val="22"/>
        <w:spacing w:before="0" w:beforeAutospacing="0" w:after="0" w:afterAutospacing="0" w:line="360" w:lineRule="auto"/>
        <w:ind w:firstLine="420"/>
        <w:rPr>
          <w:rFonts w:ascii="仿宋" w:hAnsi="仿宋" w:eastAsia="仿宋" w:cs="仿宋"/>
          <w:shd w:val="clear" w:color="auto" w:fill="FFFFFF"/>
        </w:rPr>
      </w:pPr>
      <w:r>
        <w:rPr>
          <w:rFonts w:hint="eastAsia" w:ascii="仿宋" w:hAnsi="仿宋" w:eastAsia="仿宋" w:cs="仿宋"/>
          <w:shd w:val="clear" w:color="auto" w:fill="FFFFFF"/>
        </w:rPr>
        <w:t>方式：现场获取</w:t>
      </w:r>
    </w:p>
    <w:p w14:paraId="4EF7D90A">
      <w:pPr>
        <w:pStyle w:val="22"/>
        <w:spacing w:before="0" w:beforeAutospacing="0" w:after="0" w:afterAutospacing="0" w:line="360" w:lineRule="auto"/>
        <w:ind w:firstLine="420"/>
        <w:rPr>
          <w:rFonts w:ascii="仿宋" w:hAnsi="仿宋" w:eastAsia="仿宋" w:cs="仿宋"/>
          <w:shd w:val="clear" w:color="auto" w:fill="FFFFFF"/>
        </w:rPr>
      </w:pPr>
      <w:r>
        <w:rPr>
          <w:rFonts w:hint="eastAsia" w:ascii="仿宋" w:hAnsi="仿宋" w:eastAsia="仿宋" w:cs="仿宋"/>
          <w:shd w:val="clear" w:color="auto" w:fill="FFFFFF"/>
        </w:rPr>
        <w:t>售价：300元/合同包</w:t>
      </w:r>
    </w:p>
    <w:p w14:paraId="46A78363">
      <w:pPr>
        <w:pStyle w:val="22"/>
        <w:spacing w:before="0" w:beforeAutospacing="0" w:after="0" w:afterAutospacing="0" w:line="360" w:lineRule="auto"/>
        <w:ind w:firstLine="420"/>
        <w:rPr>
          <w:rFonts w:ascii="仿宋" w:hAnsi="仿宋" w:eastAsia="仿宋" w:cs="仿宋"/>
          <w:b/>
          <w:bCs/>
          <w:shd w:val="clear" w:color="auto" w:fill="FFFFFF"/>
        </w:rPr>
      </w:pPr>
      <w:r>
        <w:rPr>
          <w:rFonts w:hint="eastAsia" w:ascii="仿宋" w:hAnsi="仿宋" w:eastAsia="仿宋" w:cs="仿宋"/>
          <w:b/>
          <w:bCs/>
          <w:shd w:val="clear" w:color="auto" w:fill="FFFFFF"/>
        </w:rPr>
        <w:t>四、 提交单一来源采购文件截止时间、开标时间和地点</w:t>
      </w:r>
    </w:p>
    <w:p w14:paraId="4F61C4F7">
      <w:pPr>
        <w:pStyle w:val="22"/>
        <w:spacing w:before="0" w:beforeAutospacing="0" w:after="0" w:afterAutospacing="0" w:line="360" w:lineRule="auto"/>
        <w:ind w:firstLine="420"/>
        <w:rPr>
          <w:rFonts w:ascii="仿宋" w:hAnsi="仿宋" w:eastAsia="仿宋" w:cs="仿宋"/>
          <w:highlight w:val="none"/>
          <w:shd w:val="clear" w:color="auto" w:fill="FFFFFF"/>
        </w:rPr>
      </w:pPr>
      <w:r>
        <w:rPr>
          <w:rFonts w:hint="eastAsia" w:ascii="仿宋" w:hAnsi="仿宋" w:eastAsia="仿宋" w:cs="仿宋"/>
          <w:shd w:val="clear" w:color="auto" w:fill="FFFFFF"/>
        </w:rPr>
        <w:t>截止时</w:t>
      </w:r>
      <w:r>
        <w:rPr>
          <w:rFonts w:hint="eastAsia" w:ascii="仿宋" w:hAnsi="仿宋" w:eastAsia="仿宋" w:cs="仿宋"/>
          <w:highlight w:val="none"/>
          <w:shd w:val="clear" w:color="auto" w:fill="FFFFFF"/>
        </w:rPr>
        <w:t>间：</w:t>
      </w:r>
      <w:r>
        <w:rPr>
          <w:rFonts w:hint="eastAsia" w:ascii="仿宋" w:hAnsi="仿宋" w:eastAsia="仿宋" w:cs="仿宋"/>
          <w:highlight w:val="none"/>
        </w:rPr>
        <w:t>2026年</w:t>
      </w:r>
      <w:r>
        <w:rPr>
          <w:rFonts w:hint="eastAsia" w:ascii="仿宋" w:hAnsi="仿宋" w:eastAsia="仿宋" w:cs="仿宋"/>
          <w:highlight w:val="none"/>
          <w:lang w:val="en-US" w:eastAsia="zh-CN"/>
        </w:rPr>
        <w:t>08</w:t>
      </w:r>
      <w:r>
        <w:rPr>
          <w:rFonts w:hint="eastAsia" w:ascii="仿宋" w:hAnsi="仿宋" w:eastAsia="仿宋" w:cs="仿宋"/>
          <w:highlight w:val="none"/>
        </w:rPr>
        <w:t>月</w:t>
      </w:r>
      <w:r>
        <w:rPr>
          <w:rFonts w:hint="eastAsia" w:ascii="仿宋" w:hAnsi="仿宋" w:eastAsia="仿宋" w:cs="仿宋"/>
          <w:highlight w:val="none"/>
          <w:lang w:val="en-US" w:eastAsia="zh-CN"/>
        </w:rPr>
        <w:t>19</w:t>
      </w:r>
      <w:r>
        <w:rPr>
          <w:rFonts w:hint="eastAsia" w:ascii="仿宋" w:hAnsi="仿宋" w:eastAsia="仿宋" w:cs="仿宋"/>
          <w:highlight w:val="none"/>
        </w:rPr>
        <w:t>日09时00分00秒 （北京时间）</w:t>
      </w:r>
    </w:p>
    <w:p w14:paraId="6FBCA34D">
      <w:pPr>
        <w:pStyle w:val="22"/>
        <w:spacing w:before="0" w:beforeAutospacing="0" w:after="0" w:afterAutospacing="0" w:line="360" w:lineRule="auto"/>
        <w:ind w:firstLine="420"/>
        <w:rPr>
          <w:rFonts w:ascii="仿宋" w:hAnsi="仿宋" w:eastAsia="仿宋" w:cs="仿宋"/>
          <w:shd w:val="clear" w:color="auto" w:fill="FFFFFF"/>
        </w:rPr>
      </w:pPr>
      <w:r>
        <w:rPr>
          <w:rFonts w:hint="eastAsia" w:ascii="仿宋" w:hAnsi="仿宋" w:eastAsia="仿宋" w:cs="仿宋"/>
          <w:highlight w:val="none"/>
          <w:shd w:val="clear" w:color="auto" w:fill="FFFFFF"/>
        </w:rPr>
        <w:t>地点：西安市唐延路37号class公馆B栋1103室</w:t>
      </w:r>
      <w:r>
        <w:rPr>
          <w:rFonts w:hint="eastAsia" w:ascii="仿宋" w:hAnsi="仿宋" w:eastAsia="仿宋" w:cs="仿宋"/>
          <w:shd w:val="clear" w:color="auto" w:fill="FFFFFF"/>
        </w:rPr>
        <w:t>会议室</w:t>
      </w:r>
    </w:p>
    <w:p w14:paraId="4C822471">
      <w:pPr>
        <w:pStyle w:val="22"/>
        <w:adjustRightInd w:val="0"/>
        <w:snapToGrid w:val="0"/>
        <w:spacing w:before="0" w:beforeAutospacing="0" w:after="0" w:afterAutospacing="0" w:line="360" w:lineRule="auto"/>
        <w:ind w:firstLine="482" w:firstLineChars="200"/>
        <w:rPr>
          <w:rFonts w:ascii="仿宋" w:hAnsi="仿宋" w:eastAsia="仿宋" w:cs="仿宋"/>
          <w:b/>
          <w:bCs/>
          <w:shd w:val="clear" w:color="auto" w:fill="FFFFFF"/>
        </w:rPr>
      </w:pPr>
      <w:r>
        <w:rPr>
          <w:rFonts w:hint="eastAsia" w:ascii="仿宋" w:hAnsi="仿宋" w:eastAsia="仿宋" w:cs="仿宋"/>
          <w:b/>
          <w:bCs/>
          <w:shd w:val="clear" w:color="auto" w:fill="FFFFFF"/>
        </w:rPr>
        <w:t>五、其他补充事宜</w:t>
      </w:r>
    </w:p>
    <w:p w14:paraId="3EA35136">
      <w:pPr>
        <w:pStyle w:val="22"/>
        <w:wordWrap w:val="0"/>
        <w:adjustRightInd w:val="0"/>
        <w:snapToGrid w:val="0"/>
        <w:spacing w:beforeAutospacing="0" w:afterAutospacing="0" w:line="360" w:lineRule="auto"/>
        <w:ind w:firstLine="480" w:firstLineChars="200"/>
        <w:jc w:val="both"/>
        <w:rPr>
          <w:rFonts w:ascii="仿宋" w:hAnsi="仿宋" w:eastAsia="仿宋" w:cs="仿宋"/>
          <w:shd w:val="clear" w:color="auto" w:fill="FFFFFF"/>
        </w:rPr>
      </w:pPr>
      <w:r>
        <w:rPr>
          <w:rFonts w:hint="eastAsia" w:ascii="仿宋" w:hAnsi="仿宋" w:eastAsia="仿宋" w:cs="仿宋"/>
          <w:shd w:val="clear" w:color="auto" w:fill="FFFFFF"/>
        </w:rPr>
        <w:t>1、</w:t>
      </w:r>
      <w:r>
        <w:rPr>
          <w:rFonts w:hint="eastAsia" w:ascii="仿宋" w:hAnsi="仿宋" w:eastAsia="仿宋" w:cs="仿宋"/>
        </w:rPr>
        <w:t>供应商获取文件时需将单一来源邀请书</w:t>
      </w:r>
      <w:r>
        <w:rPr>
          <w:rFonts w:hint="eastAsia" w:ascii="仿宋" w:hAnsi="仿宋" w:eastAsia="仿宋" w:cs="仿宋"/>
          <w:lang w:eastAsia="zh-CN"/>
        </w:rPr>
        <w:t>、</w:t>
      </w:r>
      <w:r>
        <w:rPr>
          <w:rFonts w:hint="eastAsia" w:ascii="仿宋" w:hAnsi="仿宋" w:eastAsia="仿宋" w:cs="仿宋"/>
        </w:rPr>
        <w:t>单位介绍信或授权委托书及被授权人身份证复印件（所有资料均须加盖单位公章）、完整填写的采购文件领取登记表及标书费转账凭证（</w:t>
      </w:r>
      <w:r>
        <w:rPr>
          <w:rFonts w:hint="eastAsia" w:ascii="仿宋" w:hAnsi="仿宋" w:eastAsia="仿宋" w:cs="仿宋"/>
          <w:lang w:val="en-US" w:eastAsia="zh-CN"/>
        </w:rPr>
        <w:t>必须公对公转账，</w:t>
      </w:r>
      <w:r>
        <w:rPr>
          <w:rFonts w:hint="eastAsia" w:ascii="仿宋" w:hAnsi="仿宋" w:eastAsia="仿宋" w:cs="仿宋"/>
        </w:rPr>
        <w:t>标书费转账银行户名：陕西德仁招标有限公司、开户银行：招商银行股份有限公司西安城南支行、账号：1299 0904 6810 901）扫描件发送至1172109359@qq.com。磋商文件每合同包售价300元，售后不退。</w:t>
      </w:r>
    </w:p>
    <w:p w14:paraId="7A21CB94">
      <w:pPr>
        <w:pStyle w:val="22"/>
        <w:wordWrap w:val="0"/>
        <w:adjustRightInd w:val="0"/>
        <w:snapToGrid w:val="0"/>
        <w:spacing w:beforeAutospacing="0" w:afterAutospacing="0" w:line="360" w:lineRule="auto"/>
        <w:ind w:firstLine="480" w:firstLineChars="200"/>
        <w:jc w:val="both"/>
        <w:rPr>
          <w:rFonts w:ascii="仿宋" w:hAnsi="仿宋" w:eastAsia="仿宋" w:cs="仿宋"/>
          <w:shd w:val="clear" w:color="auto" w:fill="FFFFFF"/>
        </w:rPr>
      </w:pPr>
      <w:r>
        <w:rPr>
          <w:rFonts w:hint="eastAsia" w:ascii="仿宋" w:hAnsi="仿宋" w:eastAsia="仿宋" w:cs="仿宋"/>
          <w:shd w:val="clear" w:color="auto" w:fill="FFFFFF"/>
        </w:rPr>
        <w:t>2、请供应商按照陕西省财政厅关于政府采购供应商注册登记有关事项的通知中的要求，通过陕西省政府采购网注册登记入库。</w:t>
      </w:r>
    </w:p>
    <w:p w14:paraId="6CAD0E78">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3、落实政府采购政策需满足的政策要求：（1）《国务院办公厅关于建立政府强制采购节能产品制度的通知》（国办发〔2007〕51号）；（2）《财政部、司法部关于政府采购支持监狱企业发展有关问题的通知》（财库〔2014〕68号）；（3）残疾人福利性单位应符合《财政部、民政部、中国残疾人联合会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市场监管总局关于发布参与实施政府采购节能产品、环境标志产品认证机构名录的公告》—2019年第16号；（7）《关于印发环境标志产品政府采购品目清单的通知》（财库〔2019〕18号）；（8）《关于印发节能产品政府采购品目清单的通知》（财库〔2019〕19号）；（9）《陕西省财政厅关于加快推进我省中小企业政府采购信用融资工作的通知》（陕财办采〔2020〕15号）；（10）《政府采购促进中小企业发展管理办法》（财库〔2020〕46号）；（11）《财政部农业农村部国家乡村振兴局关于运用政府采购政策支持乡村产业振兴的通知》（财库〔2021〕19号）；（12）《关于进一步加强政府绿色采购有关问题的通知》（陕财办采〔2021〕29号）；（13）《陕西省财政厅关于进一步加大政府采购支持中小企业力度的通知》（陕财办采〔2022〕5号）；（14）其他需要落实的政府采购政策。注：若享受以上政策优惠的企业，提供相应声明函或品目范围内产品有效认证证书。</w:t>
      </w:r>
    </w:p>
    <w:p w14:paraId="06C91FB2">
      <w:pPr>
        <w:pStyle w:val="22"/>
        <w:adjustRightInd w:val="0"/>
        <w:snapToGrid w:val="0"/>
        <w:spacing w:before="0" w:beforeAutospacing="0" w:after="0" w:afterAutospacing="0" w:line="360" w:lineRule="auto"/>
        <w:ind w:firstLine="482" w:firstLineChars="200"/>
        <w:rPr>
          <w:rFonts w:ascii="仿宋" w:hAnsi="仿宋" w:eastAsia="仿宋" w:cs="仿宋"/>
          <w:shd w:val="clear" w:color="auto" w:fill="FFFFFF"/>
        </w:rPr>
      </w:pPr>
      <w:r>
        <w:rPr>
          <w:rFonts w:hint="eastAsia" w:ascii="仿宋" w:hAnsi="仿宋" w:eastAsia="仿宋" w:cs="仿宋"/>
          <w:b/>
          <w:bCs/>
          <w:shd w:val="clear" w:color="auto" w:fill="FFFFFF"/>
        </w:rPr>
        <w:t>六、对本次招标提出询问，请按以下方式联系</w:t>
      </w:r>
      <w:r>
        <w:rPr>
          <w:rFonts w:hint="eastAsia" w:ascii="仿宋" w:hAnsi="仿宋" w:eastAsia="仿宋" w:cs="仿宋"/>
          <w:shd w:val="clear" w:color="auto" w:fill="FFFFFF"/>
        </w:rPr>
        <w:t>。</w:t>
      </w:r>
    </w:p>
    <w:p w14:paraId="46E848B0">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1、采购人信息</w:t>
      </w:r>
    </w:p>
    <w:p w14:paraId="62664BD3">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名  称：陕西省交通医院</w:t>
      </w:r>
    </w:p>
    <w:p w14:paraId="5830EEC8">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地  址：西安市大学南路276号</w:t>
      </w:r>
    </w:p>
    <w:p w14:paraId="2567106B">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电  话：029-88496852</w:t>
      </w:r>
    </w:p>
    <w:p w14:paraId="75B022BC">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2、采购代理机构信息</w:t>
      </w:r>
    </w:p>
    <w:p w14:paraId="33035773">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名  称：陕西德仁招标有限公司</w:t>
      </w:r>
    </w:p>
    <w:p w14:paraId="741CC886">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地  址：西安市唐延路37号class公馆B栋1103室</w:t>
      </w:r>
    </w:p>
    <w:p w14:paraId="10344263">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联系方式：029-85565073</w:t>
      </w:r>
    </w:p>
    <w:p w14:paraId="3DEBCAED">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3、项目联系方式</w:t>
      </w:r>
    </w:p>
    <w:p w14:paraId="440C6455">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项目联系人：贺培文、赵璐、曹静、任红欠、张昕玥</w:t>
      </w:r>
    </w:p>
    <w:p w14:paraId="56000FAE">
      <w:pPr>
        <w:pStyle w:val="22"/>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电 话：029-85565073</w:t>
      </w:r>
    </w:p>
    <w:p w14:paraId="716F8450">
      <w:pPr>
        <w:pStyle w:val="2"/>
        <w:keepNext w:val="0"/>
        <w:tabs>
          <w:tab w:val="center" w:pos="4876"/>
        </w:tabs>
        <w:spacing w:before="158" w:after="158" w:line="360" w:lineRule="auto"/>
        <w:rPr>
          <w:rFonts w:ascii="仿宋" w:hAnsi="仿宋" w:eastAsia="仿宋" w:cs="仿宋"/>
          <w:sz w:val="32"/>
          <w:szCs w:val="32"/>
        </w:rPr>
      </w:pPr>
      <w:r>
        <w:rPr>
          <w:rFonts w:hint="eastAsia" w:ascii="仿宋" w:hAnsi="仿宋" w:eastAsia="仿宋" w:cs="仿宋"/>
          <w:sz w:val="32"/>
          <w:szCs w:val="32"/>
        </w:rPr>
        <w:br w:type="page"/>
      </w:r>
      <w:bookmarkStart w:id="2" w:name="_Toc24046"/>
      <w:r>
        <w:rPr>
          <w:rFonts w:hint="eastAsia" w:ascii="仿宋" w:hAnsi="仿宋" w:eastAsia="仿宋" w:cs="仿宋"/>
          <w:sz w:val="32"/>
          <w:szCs w:val="32"/>
        </w:rPr>
        <w:t>第二章  供应商须知</w:t>
      </w:r>
      <w:bookmarkEnd w:id="2"/>
    </w:p>
    <w:p w14:paraId="10900632">
      <w:pPr>
        <w:spacing w:line="360" w:lineRule="auto"/>
        <w:jc w:val="center"/>
        <w:rPr>
          <w:rFonts w:ascii="仿宋" w:hAnsi="仿宋" w:eastAsia="仿宋" w:cs="仿宋"/>
          <w:b/>
          <w:sz w:val="32"/>
          <w:szCs w:val="32"/>
        </w:rPr>
      </w:pPr>
      <w:r>
        <w:rPr>
          <w:rFonts w:hint="eastAsia" w:ascii="仿宋" w:hAnsi="仿宋" w:eastAsia="仿宋" w:cs="仿宋"/>
          <w:b/>
          <w:sz w:val="32"/>
          <w:szCs w:val="32"/>
        </w:rPr>
        <w:t>须知前附表</w:t>
      </w:r>
    </w:p>
    <w:tbl>
      <w:tblPr>
        <w:tblStyle w:val="25"/>
        <w:tblW w:w="499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898"/>
        <w:gridCol w:w="1555"/>
        <w:gridCol w:w="6500"/>
      </w:tblGrid>
      <w:tr w14:paraId="00B95A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2" w:hRule="atLeast"/>
          <w:tblHeader/>
          <w:jc w:val="center"/>
        </w:trPr>
        <w:tc>
          <w:tcPr>
            <w:tcW w:w="502" w:type="pct"/>
          </w:tcPr>
          <w:p w14:paraId="1815921F">
            <w:pPr>
              <w:spacing w:line="360" w:lineRule="auto"/>
              <w:jc w:val="center"/>
              <w:rPr>
                <w:rFonts w:ascii="仿宋" w:hAnsi="仿宋" w:eastAsia="仿宋" w:cs="仿宋"/>
                <w:b/>
                <w:sz w:val="24"/>
              </w:rPr>
            </w:pPr>
            <w:r>
              <w:rPr>
                <w:rFonts w:hint="eastAsia" w:ascii="仿宋" w:hAnsi="仿宋" w:eastAsia="仿宋" w:cs="仿宋"/>
                <w:b/>
                <w:sz w:val="24"/>
              </w:rPr>
              <w:t>条款号</w:t>
            </w:r>
          </w:p>
        </w:tc>
        <w:tc>
          <w:tcPr>
            <w:tcW w:w="868" w:type="pct"/>
          </w:tcPr>
          <w:p w14:paraId="3F41CFB1">
            <w:pPr>
              <w:spacing w:line="360" w:lineRule="auto"/>
              <w:jc w:val="center"/>
              <w:rPr>
                <w:rFonts w:ascii="仿宋" w:hAnsi="仿宋" w:eastAsia="仿宋" w:cs="仿宋"/>
                <w:b/>
                <w:sz w:val="24"/>
              </w:rPr>
            </w:pPr>
            <w:r>
              <w:rPr>
                <w:rFonts w:hint="eastAsia" w:ascii="仿宋" w:hAnsi="仿宋" w:eastAsia="仿宋" w:cs="仿宋"/>
                <w:b/>
                <w:sz w:val="24"/>
              </w:rPr>
              <w:t>条款内容</w:t>
            </w:r>
          </w:p>
        </w:tc>
        <w:tc>
          <w:tcPr>
            <w:tcW w:w="3629" w:type="pct"/>
          </w:tcPr>
          <w:p w14:paraId="7E16BCDD">
            <w:pPr>
              <w:spacing w:line="360" w:lineRule="auto"/>
              <w:jc w:val="center"/>
              <w:rPr>
                <w:rFonts w:ascii="仿宋" w:hAnsi="仿宋" w:eastAsia="仿宋" w:cs="仿宋"/>
                <w:b/>
                <w:sz w:val="24"/>
              </w:rPr>
            </w:pPr>
            <w:r>
              <w:rPr>
                <w:rFonts w:hint="eastAsia" w:ascii="仿宋" w:hAnsi="仿宋" w:eastAsia="仿宋" w:cs="仿宋"/>
                <w:b/>
                <w:sz w:val="24"/>
              </w:rPr>
              <w:t>编 列 内 容</w:t>
            </w:r>
          </w:p>
        </w:tc>
      </w:tr>
      <w:tr w14:paraId="61F5CC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51" w:hRule="atLeast"/>
          <w:jc w:val="center"/>
        </w:trPr>
        <w:tc>
          <w:tcPr>
            <w:tcW w:w="502" w:type="pct"/>
            <w:vAlign w:val="center"/>
          </w:tcPr>
          <w:p w14:paraId="406E34CE">
            <w:pPr>
              <w:spacing w:line="360" w:lineRule="auto"/>
              <w:jc w:val="center"/>
              <w:rPr>
                <w:rFonts w:ascii="仿宋" w:hAnsi="仿宋" w:eastAsia="仿宋" w:cs="仿宋"/>
                <w:sz w:val="24"/>
              </w:rPr>
            </w:pPr>
            <w:r>
              <w:rPr>
                <w:rFonts w:hint="eastAsia" w:ascii="仿宋" w:hAnsi="仿宋" w:eastAsia="仿宋" w:cs="仿宋"/>
                <w:sz w:val="24"/>
              </w:rPr>
              <w:t>1</w:t>
            </w:r>
          </w:p>
        </w:tc>
        <w:tc>
          <w:tcPr>
            <w:tcW w:w="868" w:type="pct"/>
            <w:vAlign w:val="center"/>
          </w:tcPr>
          <w:p w14:paraId="05D667C6">
            <w:pPr>
              <w:spacing w:line="360" w:lineRule="auto"/>
              <w:jc w:val="center"/>
              <w:rPr>
                <w:rFonts w:ascii="仿宋" w:hAnsi="仿宋" w:eastAsia="仿宋" w:cs="仿宋"/>
                <w:sz w:val="24"/>
              </w:rPr>
            </w:pPr>
            <w:r>
              <w:rPr>
                <w:rFonts w:hint="eastAsia" w:ascii="仿宋" w:hAnsi="仿宋" w:eastAsia="仿宋" w:cs="仿宋"/>
                <w:sz w:val="24"/>
              </w:rPr>
              <w:t>采购人</w:t>
            </w:r>
          </w:p>
        </w:tc>
        <w:tc>
          <w:tcPr>
            <w:tcW w:w="3629" w:type="pct"/>
            <w:vAlign w:val="center"/>
          </w:tcPr>
          <w:p w14:paraId="18EE9322">
            <w:pPr>
              <w:spacing w:line="360" w:lineRule="auto"/>
              <w:jc w:val="left"/>
              <w:rPr>
                <w:rFonts w:ascii="仿宋" w:hAnsi="仿宋" w:eastAsia="仿宋" w:cs="仿宋"/>
                <w:sz w:val="24"/>
              </w:rPr>
            </w:pPr>
            <w:r>
              <w:rPr>
                <w:rFonts w:hint="eastAsia" w:ascii="仿宋" w:hAnsi="仿宋" w:eastAsia="仿宋" w:cs="仿宋"/>
                <w:sz w:val="24"/>
              </w:rPr>
              <w:t>名  称：陕西省交通医院</w:t>
            </w:r>
          </w:p>
          <w:p w14:paraId="306BB40E">
            <w:pPr>
              <w:spacing w:line="360" w:lineRule="auto"/>
              <w:jc w:val="left"/>
              <w:rPr>
                <w:rFonts w:ascii="仿宋" w:hAnsi="仿宋" w:eastAsia="仿宋" w:cs="仿宋"/>
                <w:sz w:val="24"/>
              </w:rPr>
            </w:pPr>
            <w:r>
              <w:rPr>
                <w:rFonts w:hint="eastAsia" w:ascii="仿宋" w:hAnsi="仿宋" w:eastAsia="仿宋" w:cs="仿宋"/>
                <w:sz w:val="24"/>
              </w:rPr>
              <w:t>地  址：西安市大学南路276号</w:t>
            </w:r>
          </w:p>
          <w:p w14:paraId="0CB6E6ED">
            <w:pPr>
              <w:spacing w:line="360" w:lineRule="auto"/>
              <w:jc w:val="left"/>
              <w:rPr>
                <w:rFonts w:ascii="仿宋" w:hAnsi="仿宋" w:eastAsia="仿宋" w:cs="仿宋"/>
                <w:sz w:val="24"/>
              </w:rPr>
            </w:pPr>
            <w:r>
              <w:rPr>
                <w:rFonts w:hint="eastAsia" w:ascii="仿宋" w:hAnsi="仿宋" w:eastAsia="仿宋" w:cs="仿宋"/>
                <w:sz w:val="24"/>
              </w:rPr>
              <w:t>联系人：师宏钟</w:t>
            </w:r>
          </w:p>
          <w:p w14:paraId="3D7207FF">
            <w:pPr>
              <w:spacing w:line="360" w:lineRule="auto"/>
              <w:jc w:val="left"/>
              <w:rPr>
                <w:rFonts w:ascii="仿宋" w:hAnsi="仿宋" w:eastAsia="仿宋" w:cs="仿宋"/>
                <w:sz w:val="24"/>
              </w:rPr>
            </w:pPr>
            <w:r>
              <w:rPr>
                <w:rFonts w:hint="eastAsia" w:ascii="仿宋" w:hAnsi="仿宋" w:eastAsia="仿宋" w:cs="仿宋"/>
                <w:sz w:val="24"/>
              </w:rPr>
              <w:t>电  话：029-88496852</w:t>
            </w:r>
          </w:p>
        </w:tc>
      </w:tr>
      <w:tr w14:paraId="4C59E8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502" w:type="pct"/>
            <w:vAlign w:val="center"/>
          </w:tcPr>
          <w:p w14:paraId="721C69A1">
            <w:pPr>
              <w:spacing w:line="360" w:lineRule="auto"/>
              <w:jc w:val="center"/>
              <w:rPr>
                <w:rFonts w:ascii="仿宋" w:hAnsi="仿宋" w:eastAsia="仿宋" w:cs="仿宋"/>
                <w:sz w:val="24"/>
              </w:rPr>
            </w:pPr>
            <w:r>
              <w:rPr>
                <w:rFonts w:hint="eastAsia" w:ascii="仿宋" w:hAnsi="仿宋" w:eastAsia="仿宋" w:cs="仿宋"/>
                <w:sz w:val="24"/>
              </w:rPr>
              <w:t>2</w:t>
            </w:r>
          </w:p>
        </w:tc>
        <w:tc>
          <w:tcPr>
            <w:tcW w:w="868" w:type="pct"/>
            <w:vAlign w:val="center"/>
          </w:tcPr>
          <w:p w14:paraId="164A2014">
            <w:pPr>
              <w:spacing w:line="360" w:lineRule="auto"/>
              <w:jc w:val="center"/>
              <w:rPr>
                <w:rFonts w:ascii="仿宋" w:hAnsi="仿宋" w:eastAsia="仿宋" w:cs="仿宋"/>
                <w:sz w:val="24"/>
              </w:rPr>
            </w:pPr>
            <w:r>
              <w:rPr>
                <w:rFonts w:hint="eastAsia" w:ascii="仿宋" w:hAnsi="仿宋" w:eastAsia="仿宋" w:cs="仿宋"/>
                <w:sz w:val="24"/>
              </w:rPr>
              <w:t>采购代理机构</w:t>
            </w:r>
          </w:p>
        </w:tc>
        <w:tc>
          <w:tcPr>
            <w:tcW w:w="3629" w:type="pct"/>
            <w:vAlign w:val="center"/>
          </w:tcPr>
          <w:p w14:paraId="1FFCC52E">
            <w:pPr>
              <w:spacing w:line="360" w:lineRule="auto"/>
              <w:jc w:val="left"/>
              <w:rPr>
                <w:rFonts w:ascii="仿宋" w:hAnsi="仿宋" w:eastAsia="仿宋" w:cs="仿宋"/>
                <w:sz w:val="24"/>
              </w:rPr>
            </w:pPr>
            <w:r>
              <w:rPr>
                <w:rFonts w:hint="eastAsia" w:ascii="仿宋" w:hAnsi="仿宋" w:eastAsia="仿宋" w:cs="仿宋"/>
                <w:sz w:val="24"/>
              </w:rPr>
              <w:t>名  称：陕西德仁招标有限公司</w:t>
            </w:r>
          </w:p>
          <w:p w14:paraId="60D1DA17">
            <w:pPr>
              <w:spacing w:line="360" w:lineRule="auto"/>
              <w:jc w:val="left"/>
              <w:rPr>
                <w:rFonts w:ascii="仿宋" w:hAnsi="仿宋" w:eastAsia="仿宋" w:cs="仿宋"/>
                <w:sz w:val="24"/>
              </w:rPr>
            </w:pPr>
            <w:r>
              <w:rPr>
                <w:rFonts w:hint="eastAsia" w:ascii="仿宋" w:hAnsi="仿宋" w:eastAsia="仿宋" w:cs="仿宋"/>
                <w:sz w:val="24"/>
              </w:rPr>
              <w:t>地  址：西安市唐延路37号class公馆B栋1103室</w:t>
            </w:r>
          </w:p>
          <w:p w14:paraId="002163EE">
            <w:pPr>
              <w:spacing w:line="360" w:lineRule="auto"/>
              <w:jc w:val="left"/>
              <w:rPr>
                <w:rFonts w:ascii="仿宋" w:hAnsi="仿宋" w:eastAsia="仿宋" w:cs="仿宋"/>
                <w:sz w:val="24"/>
              </w:rPr>
            </w:pPr>
            <w:r>
              <w:rPr>
                <w:rFonts w:hint="eastAsia" w:ascii="仿宋" w:hAnsi="仿宋" w:eastAsia="仿宋" w:cs="仿宋"/>
                <w:sz w:val="24"/>
              </w:rPr>
              <w:t>联系人：贺培文、赵璐、曹静、任红欠、张昕玥</w:t>
            </w:r>
          </w:p>
          <w:p w14:paraId="7A5DFC20">
            <w:pPr>
              <w:spacing w:line="360" w:lineRule="auto"/>
              <w:jc w:val="left"/>
              <w:rPr>
                <w:rFonts w:ascii="仿宋" w:hAnsi="仿宋" w:eastAsia="仿宋" w:cs="仿宋"/>
                <w:sz w:val="24"/>
              </w:rPr>
            </w:pPr>
            <w:r>
              <w:rPr>
                <w:rFonts w:hint="eastAsia" w:ascii="仿宋" w:hAnsi="仿宋" w:eastAsia="仿宋" w:cs="仿宋"/>
                <w:sz w:val="24"/>
              </w:rPr>
              <w:t>电  话：029-85565073</w:t>
            </w:r>
          </w:p>
          <w:p w14:paraId="5FD88811">
            <w:pPr>
              <w:spacing w:line="360" w:lineRule="auto"/>
              <w:jc w:val="left"/>
              <w:rPr>
                <w:rFonts w:ascii="仿宋" w:hAnsi="仿宋" w:eastAsia="仿宋" w:cs="仿宋"/>
                <w:sz w:val="24"/>
              </w:rPr>
            </w:pPr>
            <w:r>
              <w:rPr>
                <w:rFonts w:hint="eastAsia" w:ascii="仿宋" w:hAnsi="仿宋" w:eastAsia="仿宋" w:cs="仿宋"/>
                <w:sz w:val="24"/>
              </w:rPr>
              <w:t>邮  箱：1172109359@qq.com</w:t>
            </w:r>
          </w:p>
        </w:tc>
      </w:tr>
      <w:tr w14:paraId="2C6709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7" w:hRule="atLeast"/>
          <w:jc w:val="center"/>
        </w:trPr>
        <w:tc>
          <w:tcPr>
            <w:tcW w:w="502" w:type="pct"/>
            <w:shd w:val="clear" w:color="auto" w:fill="auto"/>
            <w:vAlign w:val="center"/>
          </w:tcPr>
          <w:p w14:paraId="4103D310">
            <w:pPr>
              <w:widowControl/>
              <w:jc w:val="center"/>
              <w:textAlignment w:val="center"/>
              <w:rPr>
                <w:rFonts w:ascii="仿宋" w:hAnsi="仿宋" w:eastAsia="仿宋" w:cs="仿宋"/>
                <w:sz w:val="24"/>
              </w:rPr>
            </w:pPr>
            <w:r>
              <w:rPr>
                <w:rFonts w:hint="eastAsia" w:ascii="仿宋" w:hAnsi="仿宋" w:eastAsia="仿宋" w:cs="仿宋"/>
                <w:color w:val="000000"/>
                <w:kern w:val="0"/>
                <w:sz w:val="24"/>
                <w:lang w:bidi="ar"/>
              </w:rPr>
              <w:t>3</w:t>
            </w:r>
          </w:p>
        </w:tc>
        <w:tc>
          <w:tcPr>
            <w:tcW w:w="868" w:type="pct"/>
            <w:shd w:val="clear" w:color="auto" w:fill="auto"/>
            <w:vAlign w:val="center"/>
          </w:tcPr>
          <w:p w14:paraId="4F46346A">
            <w:pPr>
              <w:spacing w:line="396" w:lineRule="exact"/>
              <w:jc w:val="center"/>
              <w:rPr>
                <w:rFonts w:ascii="仿宋" w:hAnsi="仿宋" w:eastAsia="仿宋" w:cs="仿宋"/>
                <w:sz w:val="24"/>
              </w:rPr>
            </w:pPr>
            <w:r>
              <w:rPr>
                <w:rFonts w:hint="eastAsia" w:ascii="仿宋" w:hAnsi="仿宋" w:eastAsia="仿宋" w:cs="仿宋"/>
                <w:sz w:val="24"/>
              </w:rPr>
              <w:t>采购预算</w:t>
            </w:r>
          </w:p>
        </w:tc>
        <w:tc>
          <w:tcPr>
            <w:tcW w:w="3629" w:type="pct"/>
            <w:shd w:val="clear" w:color="auto" w:fill="auto"/>
            <w:vAlign w:val="center"/>
          </w:tcPr>
          <w:p w14:paraId="320D42BC">
            <w:pPr>
              <w:spacing w:line="360" w:lineRule="auto"/>
              <w:jc w:val="left"/>
              <w:rPr>
                <w:rFonts w:ascii="仿宋" w:hAnsi="仿宋" w:eastAsia="仿宋" w:cs="仿宋"/>
                <w:sz w:val="24"/>
              </w:rPr>
            </w:pPr>
            <w:r>
              <w:rPr>
                <w:rFonts w:hint="eastAsia" w:ascii="仿宋" w:hAnsi="仿宋" w:eastAsia="仿宋" w:cs="仿宋"/>
                <w:sz w:val="24"/>
              </w:rPr>
              <w:t>合同包1采购预算：35000.00元</w:t>
            </w:r>
          </w:p>
          <w:p w14:paraId="11FDFBDD">
            <w:pPr>
              <w:spacing w:line="360" w:lineRule="auto"/>
              <w:jc w:val="left"/>
              <w:rPr>
                <w:rFonts w:ascii="仿宋" w:hAnsi="仿宋" w:eastAsia="仿宋" w:cs="仿宋"/>
                <w:sz w:val="24"/>
              </w:rPr>
            </w:pPr>
            <w:r>
              <w:rPr>
                <w:rFonts w:hint="eastAsia" w:ascii="仿宋" w:hAnsi="仿宋" w:eastAsia="仿宋" w:cs="仿宋"/>
                <w:sz w:val="24"/>
              </w:rPr>
              <w:t>合同包2采购预算：</w:t>
            </w:r>
            <w:r>
              <w:rPr>
                <w:rFonts w:hint="eastAsia" w:ascii="仿宋" w:hAnsi="仿宋" w:eastAsia="仿宋" w:cs="仿宋"/>
                <w:sz w:val="24"/>
                <w:shd w:val="clear" w:color="auto" w:fill="FFFFFF"/>
              </w:rPr>
              <w:t>60000.00</w:t>
            </w:r>
            <w:r>
              <w:rPr>
                <w:rFonts w:hint="eastAsia" w:ascii="仿宋" w:hAnsi="仿宋" w:eastAsia="仿宋" w:cs="仿宋"/>
                <w:sz w:val="24"/>
              </w:rPr>
              <w:t>元</w:t>
            </w:r>
          </w:p>
          <w:p w14:paraId="693F55B0">
            <w:pPr>
              <w:spacing w:line="360" w:lineRule="auto"/>
              <w:jc w:val="left"/>
              <w:rPr>
                <w:rFonts w:ascii="仿宋" w:hAnsi="仿宋" w:eastAsia="仿宋" w:cs="仿宋"/>
                <w:sz w:val="24"/>
              </w:rPr>
            </w:pPr>
            <w:r>
              <w:rPr>
                <w:rFonts w:hint="eastAsia" w:ascii="仿宋" w:hAnsi="仿宋" w:eastAsia="仿宋" w:cs="仿宋"/>
                <w:sz w:val="24"/>
              </w:rPr>
              <w:t>合同包3采购预算：</w:t>
            </w:r>
            <w:r>
              <w:rPr>
                <w:rFonts w:hint="eastAsia" w:ascii="仿宋" w:hAnsi="仿宋" w:eastAsia="仿宋" w:cs="仿宋"/>
                <w:kern w:val="0"/>
                <w:sz w:val="24"/>
                <w:lang w:bidi="ar"/>
              </w:rPr>
              <w:t>15000.00</w:t>
            </w:r>
            <w:r>
              <w:rPr>
                <w:rFonts w:hint="eastAsia" w:ascii="仿宋" w:hAnsi="仿宋" w:eastAsia="仿宋" w:cs="仿宋"/>
                <w:sz w:val="24"/>
              </w:rPr>
              <w:t>元</w:t>
            </w:r>
          </w:p>
          <w:p w14:paraId="5F828E03">
            <w:pPr>
              <w:spacing w:line="360" w:lineRule="auto"/>
              <w:jc w:val="left"/>
              <w:rPr>
                <w:rFonts w:ascii="仿宋" w:hAnsi="仿宋" w:eastAsia="仿宋" w:cs="仿宋"/>
                <w:sz w:val="24"/>
              </w:rPr>
            </w:pPr>
            <w:r>
              <w:rPr>
                <w:rFonts w:hint="eastAsia" w:ascii="仿宋" w:hAnsi="仿宋" w:eastAsia="仿宋" w:cs="仿宋"/>
                <w:sz w:val="24"/>
              </w:rPr>
              <w:t>合同包4采购预算：</w:t>
            </w:r>
            <w:r>
              <w:rPr>
                <w:rFonts w:hint="eastAsia" w:ascii="仿宋" w:hAnsi="仿宋" w:eastAsia="仿宋" w:cs="仿宋"/>
                <w:kern w:val="0"/>
                <w:sz w:val="24"/>
                <w:lang w:bidi="ar"/>
              </w:rPr>
              <w:t>20000.00</w:t>
            </w:r>
            <w:r>
              <w:rPr>
                <w:rFonts w:hint="eastAsia" w:ascii="仿宋" w:hAnsi="仿宋" w:eastAsia="仿宋" w:cs="仿宋"/>
                <w:sz w:val="24"/>
              </w:rPr>
              <w:t>元</w:t>
            </w:r>
          </w:p>
          <w:p w14:paraId="738A7748">
            <w:pPr>
              <w:spacing w:line="360" w:lineRule="auto"/>
              <w:jc w:val="left"/>
              <w:rPr>
                <w:rFonts w:ascii="仿宋" w:hAnsi="仿宋" w:eastAsia="仿宋" w:cs="仿宋"/>
                <w:sz w:val="24"/>
              </w:rPr>
            </w:pPr>
            <w:r>
              <w:rPr>
                <w:rFonts w:hint="eastAsia" w:ascii="仿宋" w:hAnsi="仿宋" w:eastAsia="仿宋" w:cs="仿宋"/>
                <w:sz w:val="24"/>
              </w:rPr>
              <w:t>合同包5采购预算：</w:t>
            </w:r>
            <w:r>
              <w:rPr>
                <w:rFonts w:hint="eastAsia" w:ascii="仿宋" w:hAnsi="仿宋" w:eastAsia="仿宋" w:cs="仿宋"/>
                <w:kern w:val="0"/>
                <w:sz w:val="24"/>
                <w:lang w:bidi="ar"/>
              </w:rPr>
              <w:t>40000.00</w:t>
            </w:r>
            <w:r>
              <w:rPr>
                <w:rFonts w:hint="eastAsia" w:ascii="仿宋" w:hAnsi="仿宋" w:eastAsia="仿宋" w:cs="仿宋"/>
                <w:sz w:val="24"/>
              </w:rPr>
              <w:t>元</w:t>
            </w:r>
          </w:p>
          <w:p w14:paraId="6A427A1C">
            <w:pPr>
              <w:spacing w:line="360" w:lineRule="auto"/>
              <w:jc w:val="left"/>
              <w:rPr>
                <w:rFonts w:ascii="仿宋" w:hAnsi="仿宋" w:eastAsia="仿宋" w:cs="仿宋"/>
                <w:sz w:val="24"/>
              </w:rPr>
            </w:pPr>
            <w:r>
              <w:rPr>
                <w:rFonts w:hint="eastAsia" w:ascii="仿宋" w:hAnsi="仿宋" w:eastAsia="仿宋" w:cs="仿宋"/>
                <w:sz w:val="24"/>
              </w:rPr>
              <w:t>合同包6采购预算：</w:t>
            </w:r>
            <w:r>
              <w:rPr>
                <w:rFonts w:hint="eastAsia" w:ascii="仿宋" w:hAnsi="仿宋" w:eastAsia="仿宋" w:cs="仿宋"/>
                <w:kern w:val="0"/>
                <w:sz w:val="24"/>
                <w:lang w:bidi="ar"/>
              </w:rPr>
              <w:t>35000.00</w:t>
            </w:r>
            <w:r>
              <w:rPr>
                <w:rFonts w:hint="eastAsia" w:ascii="仿宋" w:hAnsi="仿宋" w:eastAsia="仿宋" w:cs="仿宋"/>
                <w:sz w:val="24"/>
              </w:rPr>
              <w:t>元</w:t>
            </w:r>
          </w:p>
          <w:p w14:paraId="03A9D804">
            <w:pPr>
              <w:spacing w:line="360" w:lineRule="auto"/>
              <w:jc w:val="left"/>
              <w:rPr>
                <w:rFonts w:ascii="仿宋" w:hAnsi="仿宋" w:eastAsia="仿宋" w:cs="仿宋"/>
                <w:sz w:val="24"/>
              </w:rPr>
            </w:pPr>
            <w:r>
              <w:rPr>
                <w:rFonts w:hint="eastAsia" w:ascii="仿宋" w:hAnsi="仿宋" w:eastAsia="仿宋" w:cs="仿宋"/>
                <w:sz w:val="24"/>
              </w:rPr>
              <w:t>合同包7采购预算：</w:t>
            </w:r>
            <w:r>
              <w:rPr>
                <w:rFonts w:hint="eastAsia" w:ascii="仿宋" w:hAnsi="仿宋" w:eastAsia="仿宋" w:cs="仿宋"/>
                <w:kern w:val="0"/>
                <w:sz w:val="24"/>
                <w:lang w:bidi="ar"/>
              </w:rPr>
              <w:t>33000.00</w:t>
            </w:r>
            <w:r>
              <w:rPr>
                <w:rFonts w:hint="eastAsia" w:ascii="仿宋" w:hAnsi="仿宋" w:eastAsia="仿宋" w:cs="仿宋"/>
                <w:sz w:val="24"/>
              </w:rPr>
              <w:t>元</w:t>
            </w:r>
          </w:p>
          <w:p w14:paraId="6C0AD2E7">
            <w:pPr>
              <w:spacing w:line="360" w:lineRule="auto"/>
              <w:jc w:val="left"/>
              <w:rPr>
                <w:rFonts w:ascii="仿宋" w:hAnsi="仿宋" w:eastAsia="仿宋" w:cs="仿宋"/>
                <w:sz w:val="24"/>
              </w:rPr>
            </w:pPr>
            <w:r>
              <w:rPr>
                <w:rFonts w:hint="eastAsia" w:ascii="仿宋" w:hAnsi="仿宋" w:eastAsia="仿宋" w:cs="仿宋"/>
                <w:sz w:val="24"/>
              </w:rPr>
              <w:t>合同包8采购预算：</w:t>
            </w:r>
            <w:r>
              <w:rPr>
                <w:rFonts w:hint="eastAsia" w:ascii="仿宋" w:hAnsi="仿宋" w:eastAsia="仿宋" w:cs="仿宋"/>
                <w:kern w:val="0"/>
                <w:sz w:val="24"/>
                <w:lang w:bidi="ar"/>
              </w:rPr>
              <w:t>30000.00</w:t>
            </w:r>
            <w:r>
              <w:rPr>
                <w:rFonts w:hint="eastAsia" w:ascii="仿宋" w:hAnsi="仿宋" w:eastAsia="仿宋" w:cs="仿宋"/>
                <w:sz w:val="24"/>
              </w:rPr>
              <w:t>元</w:t>
            </w:r>
          </w:p>
          <w:p w14:paraId="1B3E3F68">
            <w:pPr>
              <w:spacing w:line="360" w:lineRule="auto"/>
              <w:jc w:val="left"/>
              <w:rPr>
                <w:rFonts w:ascii="仿宋" w:hAnsi="仿宋" w:eastAsia="仿宋" w:cs="仿宋"/>
                <w:sz w:val="24"/>
              </w:rPr>
            </w:pPr>
            <w:r>
              <w:rPr>
                <w:rFonts w:hint="eastAsia" w:ascii="仿宋" w:hAnsi="仿宋" w:eastAsia="仿宋" w:cs="仿宋"/>
                <w:sz w:val="24"/>
              </w:rPr>
              <w:t>合同包9采购预算：</w:t>
            </w:r>
            <w:r>
              <w:rPr>
                <w:rFonts w:hint="eastAsia" w:ascii="仿宋" w:hAnsi="仿宋" w:eastAsia="仿宋" w:cs="仿宋"/>
                <w:kern w:val="0"/>
                <w:sz w:val="24"/>
                <w:lang w:bidi="ar"/>
              </w:rPr>
              <w:t>35000.00</w:t>
            </w:r>
            <w:r>
              <w:rPr>
                <w:rFonts w:hint="eastAsia" w:ascii="仿宋" w:hAnsi="仿宋" w:eastAsia="仿宋" w:cs="仿宋"/>
                <w:sz w:val="24"/>
              </w:rPr>
              <w:t>元</w:t>
            </w:r>
          </w:p>
          <w:p w14:paraId="767A1ED5">
            <w:pPr>
              <w:spacing w:line="360" w:lineRule="auto"/>
              <w:jc w:val="left"/>
              <w:rPr>
                <w:rFonts w:ascii="仿宋" w:hAnsi="仿宋" w:eastAsia="仿宋" w:cs="仿宋"/>
                <w:sz w:val="24"/>
              </w:rPr>
            </w:pPr>
            <w:r>
              <w:rPr>
                <w:rFonts w:hint="eastAsia" w:ascii="仿宋" w:hAnsi="仿宋" w:eastAsia="仿宋" w:cs="仿宋"/>
                <w:sz w:val="24"/>
              </w:rPr>
              <w:t>合同包10采购预算：</w:t>
            </w:r>
            <w:r>
              <w:rPr>
                <w:rFonts w:hint="eastAsia" w:ascii="仿宋" w:hAnsi="仿宋" w:eastAsia="仿宋" w:cs="仿宋"/>
                <w:kern w:val="0"/>
                <w:sz w:val="24"/>
                <w:lang w:bidi="ar"/>
              </w:rPr>
              <w:t>30000.00</w:t>
            </w:r>
            <w:r>
              <w:rPr>
                <w:rFonts w:hint="eastAsia" w:ascii="仿宋" w:hAnsi="仿宋" w:eastAsia="仿宋" w:cs="仿宋"/>
                <w:sz w:val="24"/>
              </w:rPr>
              <w:t>元</w:t>
            </w:r>
          </w:p>
          <w:p w14:paraId="6294F7AE">
            <w:pPr>
              <w:spacing w:line="360" w:lineRule="auto"/>
              <w:jc w:val="left"/>
            </w:pPr>
            <w:r>
              <w:rPr>
                <w:rFonts w:hint="eastAsia" w:ascii="仿宋" w:hAnsi="仿宋" w:eastAsia="仿宋" w:cs="仿宋"/>
                <w:sz w:val="24"/>
              </w:rPr>
              <w:t>合同包11采购预算：</w:t>
            </w:r>
            <w:r>
              <w:rPr>
                <w:rFonts w:hint="eastAsia" w:ascii="仿宋" w:hAnsi="仿宋" w:eastAsia="仿宋" w:cs="仿宋"/>
                <w:kern w:val="0"/>
                <w:sz w:val="24"/>
                <w:lang w:bidi="ar"/>
              </w:rPr>
              <w:t>165000.00</w:t>
            </w:r>
            <w:r>
              <w:rPr>
                <w:rFonts w:hint="eastAsia" w:ascii="仿宋" w:hAnsi="仿宋" w:eastAsia="仿宋" w:cs="仿宋"/>
                <w:sz w:val="24"/>
              </w:rPr>
              <w:t>元</w:t>
            </w:r>
          </w:p>
        </w:tc>
      </w:tr>
      <w:tr w14:paraId="39E4CC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7" w:hRule="atLeast"/>
          <w:jc w:val="center"/>
        </w:trPr>
        <w:tc>
          <w:tcPr>
            <w:tcW w:w="502" w:type="pct"/>
            <w:shd w:val="clear" w:color="auto" w:fill="auto"/>
            <w:vAlign w:val="center"/>
          </w:tcPr>
          <w:p w14:paraId="64B3A91B">
            <w:pPr>
              <w:widowControl/>
              <w:jc w:val="center"/>
              <w:textAlignment w:val="center"/>
              <w:rPr>
                <w:rFonts w:ascii="仿宋" w:hAnsi="仿宋" w:eastAsia="仿宋" w:cs="仿宋"/>
                <w:sz w:val="24"/>
              </w:rPr>
            </w:pPr>
            <w:r>
              <w:rPr>
                <w:rFonts w:hint="eastAsia" w:ascii="仿宋" w:hAnsi="仿宋" w:eastAsia="仿宋" w:cs="仿宋"/>
                <w:color w:val="000000"/>
                <w:kern w:val="0"/>
                <w:sz w:val="24"/>
                <w:lang w:bidi="ar"/>
              </w:rPr>
              <w:t>4</w:t>
            </w:r>
          </w:p>
        </w:tc>
        <w:tc>
          <w:tcPr>
            <w:tcW w:w="868" w:type="pct"/>
            <w:shd w:val="clear" w:color="auto" w:fill="auto"/>
            <w:vAlign w:val="center"/>
          </w:tcPr>
          <w:p w14:paraId="60F8DCCC">
            <w:pPr>
              <w:spacing w:line="396" w:lineRule="exact"/>
              <w:jc w:val="center"/>
              <w:rPr>
                <w:rFonts w:ascii="仿宋" w:hAnsi="仿宋" w:eastAsia="仿宋" w:cs="仿宋"/>
                <w:sz w:val="24"/>
              </w:rPr>
            </w:pPr>
            <w:r>
              <w:rPr>
                <w:rFonts w:hint="eastAsia" w:ascii="仿宋" w:hAnsi="仿宋" w:eastAsia="仿宋" w:cs="仿宋"/>
                <w:sz w:val="24"/>
              </w:rPr>
              <w:t>采购内容</w:t>
            </w:r>
          </w:p>
        </w:tc>
        <w:tc>
          <w:tcPr>
            <w:tcW w:w="3629" w:type="pct"/>
            <w:shd w:val="clear" w:color="auto" w:fill="auto"/>
            <w:vAlign w:val="center"/>
          </w:tcPr>
          <w:p w14:paraId="44F54E42">
            <w:pPr>
              <w:spacing w:line="360" w:lineRule="auto"/>
              <w:jc w:val="left"/>
              <w:rPr>
                <w:rFonts w:ascii="仿宋" w:hAnsi="仿宋" w:eastAsia="仿宋" w:cs="仿宋"/>
                <w:sz w:val="24"/>
              </w:rPr>
            </w:pPr>
            <w:r>
              <w:rPr>
                <w:rFonts w:hint="eastAsia" w:ascii="仿宋" w:hAnsi="仿宋" w:eastAsia="仿宋" w:cs="仿宋"/>
                <w:kern w:val="0"/>
                <w:sz w:val="24"/>
              </w:rPr>
              <w:t>详见单一来源采购文件第三章协商要求。</w:t>
            </w:r>
          </w:p>
        </w:tc>
      </w:tr>
      <w:tr w14:paraId="1887C0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7" w:hRule="atLeast"/>
          <w:jc w:val="center"/>
        </w:trPr>
        <w:tc>
          <w:tcPr>
            <w:tcW w:w="502" w:type="pct"/>
            <w:shd w:val="clear" w:color="auto" w:fill="auto"/>
            <w:vAlign w:val="center"/>
          </w:tcPr>
          <w:p w14:paraId="6B6EAC10">
            <w:pPr>
              <w:widowControl/>
              <w:jc w:val="center"/>
              <w:textAlignment w:val="center"/>
              <w:rPr>
                <w:rFonts w:ascii="仿宋" w:hAnsi="仿宋" w:eastAsia="仿宋" w:cs="仿宋"/>
                <w:sz w:val="24"/>
              </w:rPr>
            </w:pPr>
            <w:r>
              <w:rPr>
                <w:rFonts w:hint="eastAsia" w:ascii="仿宋" w:hAnsi="仿宋" w:eastAsia="仿宋" w:cs="仿宋"/>
                <w:color w:val="000000"/>
                <w:kern w:val="0"/>
                <w:sz w:val="24"/>
                <w:lang w:bidi="ar"/>
              </w:rPr>
              <w:t>5</w:t>
            </w:r>
          </w:p>
        </w:tc>
        <w:tc>
          <w:tcPr>
            <w:tcW w:w="868" w:type="pct"/>
            <w:shd w:val="clear" w:color="auto" w:fill="auto"/>
            <w:vAlign w:val="center"/>
          </w:tcPr>
          <w:p w14:paraId="1405E9FC">
            <w:pPr>
              <w:spacing w:line="396" w:lineRule="exact"/>
              <w:jc w:val="center"/>
              <w:rPr>
                <w:rFonts w:ascii="仿宋" w:hAnsi="仿宋" w:eastAsia="仿宋" w:cs="仿宋"/>
                <w:sz w:val="24"/>
              </w:rPr>
            </w:pPr>
            <w:r>
              <w:rPr>
                <w:rFonts w:hint="eastAsia" w:ascii="仿宋" w:hAnsi="仿宋" w:eastAsia="仿宋" w:cs="仿宋"/>
                <w:sz w:val="24"/>
              </w:rPr>
              <w:t>公告媒体</w:t>
            </w:r>
          </w:p>
        </w:tc>
        <w:tc>
          <w:tcPr>
            <w:tcW w:w="3629" w:type="pct"/>
            <w:shd w:val="clear" w:color="auto" w:fill="auto"/>
            <w:vAlign w:val="center"/>
          </w:tcPr>
          <w:p w14:paraId="4E2515A9">
            <w:pPr>
              <w:spacing w:line="396" w:lineRule="exact"/>
              <w:jc w:val="left"/>
              <w:rPr>
                <w:rFonts w:ascii="仿宋" w:hAnsi="仿宋" w:eastAsia="仿宋" w:cs="仿宋"/>
                <w:sz w:val="24"/>
              </w:rPr>
            </w:pPr>
            <w:r>
              <w:rPr>
                <w:rFonts w:hint="eastAsia" w:ascii="仿宋" w:hAnsi="仿宋" w:eastAsia="仿宋" w:cs="仿宋"/>
                <w:sz w:val="24"/>
              </w:rPr>
              <w:t>陕西省政府采购网</w:t>
            </w:r>
          </w:p>
        </w:tc>
      </w:tr>
      <w:tr w14:paraId="2317C7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7" w:hRule="atLeast"/>
          <w:jc w:val="center"/>
        </w:trPr>
        <w:tc>
          <w:tcPr>
            <w:tcW w:w="502" w:type="pct"/>
            <w:shd w:val="clear" w:color="auto" w:fill="auto"/>
            <w:vAlign w:val="center"/>
          </w:tcPr>
          <w:p w14:paraId="25066D6C">
            <w:pPr>
              <w:widowControl/>
              <w:jc w:val="center"/>
              <w:textAlignment w:val="center"/>
              <w:rPr>
                <w:rFonts w:ascii="仿宋" w:hAnsi="仿宋" w:eastAsia="仿宋" w:cs="仿宋"/>
                <w:sz w:val="24"/>
              </w:rPr>
            </w:pPr>
            <w:r>
              <w:rPr>
                <w:rFonts w:hint="eastAsia" w:ascii="仿宋" w:hAnsi="仿宋" w:eastAsia="仿宋" w:cs="仿宋"/>
                <w:color w:val="000000"/>
                <w:kern w:val="0"/>
                <w:sz w:val="24"/>
                <w:lang w:bidi="ar"/>
              </w:rPr>
              <w:t>6</w:t>
            </w:r>
          </w:p>
        </w:tc>
        <w:tc>
          <w:tcPr>
            <w:tcW w:w="868" w:type="pct"/>
            <w:shd w:val="clear" w:color="auto" w:fill="auto"/>
            <w:vAlign w:val="center"/>
          </w:tcPr>
          <w:p w14:paraId="429A5C63">
            <w:pPr>
              <w:spacing w:line="500" w:lineRule="exact"/>
              <w:jc w:val="center"/>
              <w:rPr>
                <w:rFonts w:ascii="仿宋" w:hAnsi="仿宋" w:eastAsia="仿宋" w:cs="仿宋"/>
                <w:sz w:val="24"/>
              </w:rPr>
            </w:pPr>
            <w:r>
              <w:rPr>
                <w:rFonts w:hint="eastAsia" w:ascii="仿宋" w:hAnsi="仿宋" w:eastAsia="仿宋" w:cs="仿宋"/>
                <w:sz w:val="24"/>
              </w:rPr>
              <w:t>项目属性</w:t>
            </w:r>
          </w:p>
        </w:tc>
        <w:tc>
          <w:tcPr>
            <w:tcW w:w="3629" w:type="pct"/>
            <w:shd w:val="clear" w:color="auto" w:fill="auto"/>
            <w:vAlign w:val="center"/>
          </w:tcPr>
          <w:p w14:paraId="3B9135AD">
            <w:pPr>
              <w:pStyle w:val="22"/>
              <w:spacing w:beforeAutospacing="0" w:afterAutospacing="0" w:line="360" w:lineRule="auto"/>
              <w:rPr>
                <w:rFonts w:ascii="仿宋" w:hAnsi="仿宋" w:eastAsia="仿宋" w:cs="仿宋"/>
              </w:rPr>
            </w:pPr>
            <w:r>
              <w:rPr>
                <w:rFonts w:hint="eastAsia" w:ascii="仿宋" w:hAnsi="仿宋" w:eastAsia="仿宋" w:cs="仿宋"/>
                <w:kern w:val="2"/>
              </w:rPr>
              <w:t>服务类</w:t>
            </w:r>
          </w:p>
        </w:tc>
      </w:tr>
      <w:tr w14:paraId="54C433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7" w:hRule="atLeast"/>
          <w:jc w:val="center"/>
        </w:trPr>
        <w:tc>
          <w:tcPr>
            <w:tcW w:w="502" w:type="pct"/>
            <w:shd w:val="clear" w:color="auto" w:fill="auto"/>
            <w:vAlign w:val="center"/>
          </w:tcPr>
          <w:p w14:paraId="2211E57C">
            <w:pPr>
              <w:widowControl/>
              <w:jc w:val="center"/>
              <w:textAlignment w:val="center"/>
              <w:rPr>
                <w:rFonts w:ascii="仿宋" w:hAnsi="仿宋" w:eastAsia="仿宋" w:cs="仿宋"/>
                <w:sz w:val="24"/>
              </w:rPr>
            </w:pPr>
            <w:r>
              <w:rPr>
                <w:rFonts w:hint="eastAsia" w:ascii="仿宋" w:hAnsi="仿宋" w:eastAsia="仿宋" w:cs="仿宋"/>
                <w:color w:val="000000"/>
                <w:kern w:val="0"/>
                <w:sz w:val="24"/>
                <w:lang w:bidi="ar"/>
              </w:rPr>
              <w:t>7</w:t>
            </w:r>
          </w:p>
        </w:tc>
        <w:tc>
          <w:tcPr>
            <w:tcW w:w="868" w:type="pct"/>
            <w:shd w:val="clear" w:color="auto" w:fill="auto"/>
            <w:vAlign w:val="center"/>
          </w:tcPr>
          <w:p w14:paraId="19494514">
            <w:pPr>
              <w:pStyle w:val="13"/>
              <w:jc w:val="center"/>
              <w:rPr>
                <w:rFonts w:ascii="仿宋" w:hAnsi="仿宋" w:eastAsia="仿宋" w:cs="仿宋"/>
                <w:sz w:val="24"/>
                <w:szCs w:val="24"/>
              </w:rPr>
            </w:pPr>
            <w:r>
              <w:rPr>
                <w:rFonts w:hint="eastAsia" w:ascii="仿宋" w:hAnsi="仿宋" w:eastAsia="仿宋" w:cs="仿宋"/>
                <w:sz w:val="24"/>
                <w:szCs w:val="24"/>
              </w:rPr>
              <w:t>采购标的所属行业</w:t>
            </w:r>
          </w:p>
        </w:tc>
        <w:tc>
          <w:tcPr>
            <w:tcW w:w="3629" w:type="pct"/>
            <w:shd w:val="clear" w:color="auto" w:fill="auto"/>
            <w:vAlign w:val="center"/>
          </w:tcPr>
          <w:p w14:paraId="0F079B0C">
            <w:pPr>
              <w:pStyle w:val="22"/>
              <w:spacing w:beforeAutospacing="0" w:afterAutospacing="0" w:line="360" w:lineRule="auto"/>
              <w:rPr>
                <w:rFonts w:ascii="仿宋" w:hAnsi="仿宋" w:eastAsia="仿宋" w:cs="仿宋"/>
              </w:rPr>
            </w:pPr>
            <w:r>
              <w:rPr>
                <w:rFonts w:hint="eastAsia" w:ascii="仿宋" w:hAnsi="仿宋" w:eastAsia="仿宋" w:cs="仿宋"/>
              </w:rPr>
              <w:t>软件和信息技术服务业</w:t>
            </w:r>
          </w:p>
        </w:tc>
      </w:tr>
      <w:tr w14:paraId="032FD4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7" w:hRule="atLeast"/>
          <w:jc w:val="center"/>
        </w:trPr>
        <w:tc>
          <w:tcPr>
            <w:tcW w:w="502" w:type="pct"/>
            <w:shd w:val="clear" w:color="auto" w:fill="auto"/>
            <w:vAlign w:val="center"/>
          </w:tcPr>
          <w:p w14:paraId="40A2C1B9">
            <w:pPr>
              <w:widowControl/>
              <w:jc w:val="center"/>
              <w:textAlignment w:val="center"/>
              <w:rPr>
                <w:rFonts w:ascii="仿宋" w:hAnsi="仿宋" w:eastAsia="仿宋" w:cs="仿宋"/>
                <w:sz w:val="24"/>
              </w:rPr>
            </w:pPr>
            <w:r>
              <w:rPr>
                <w:rFonts w:hint="eastAsia" w:ascii="仿宋" w:hAnsi="仿宋" w:eastAsia="仿宋" w:cs="仿宋"/>
                <w:color w:val="000000"/>
                <w:kern w:val="0"/>
                <w:sz w:val="24"/>
                <w:lang w:bidi="ar"/>
              </w:rPr>
              <w:t>8</w:t>
            </w:r>
          </w:p>
        </w:tc>
        <w:tc>
          <w:tcPr>
            <w:tcW w:w="868" w:type="pct"/>
            <w:shd w:val="clear" w:color="auto" w:fill="auto"/>
            <w:vAlign w:val="center"/>
          </w:tcPr>
          <w:p w14:paraId="52107745">
            <w:pPr>
              <w:pStyle w:val="13"/>
              <w:spacing w:line="500" w:lineRule="exact"/>
              <w:jc w:val="center"/>
              <w:rPr>
                <w:rFonts w:ascii="仿宋" w:hAnsi="仿宋" w:eastAsia="仿宋" w:cs="仿宋"/>
                <w:sz w:val="24"/>
                <w:szCs w:val="24"/>
              </w:rPr>
            </w:pPr>
            <w:r>
              <w:rPr>
                <w:rFonts w:hint="eastAsia" w:ascii="仿宋" w:hAnsi="仿宋" w:eastAsia="仿宋" w:cs="仿宋"/>
                <w:sz w:val="24"/>
                <w:szCs w:val="24"/>
              </w:rPr>
              <w:t>是否为专门面向中小企业采购</w:t>
            </w:r>
          </w:p>
        </w:tc>
        <w:tc>
          <w:tcPr>
            <w:tcW w:w="3629" w:type="pct"/>
            <w:shd w:val="clear" w:color="auto" w:fill="auto"/>
            <w:vAlign w:val="center"/>
          </w:tcPr>
          <w:p w14:paraId="52B182CD">
            <w:pPr>
              <w:pStyle w:val="13"/>
              <w:spacing w:line="500" w:lineRule="exact"/>
              <w:jc w:val="left"/>
              <w:rPr>
                <w:rFonts w:ascii="仿宋" w:hAnsi="仿宋" w:eastAsia="仿宋" w:cs="仿宋"/>
                <w:sz w:val="24"/>
                <w:szCs w:val="24"/>
              </w:rPr>
            </w:pPr>
            <w:r>
              <w:rPr>
                <w:rFonts w:hint="eastAsia" w:ascii="仿宋" w:hAnsi="仿宋" w:eastAsia="仿宋" w:cs="仿宋"/>
                <w:sz w:val="24"/>
                <w:szCs w:val="24"/>
              </w:rPr>
              <w:t>合同包1、2、4、5、6、7、8、9、10、11专门面向中小企业采购。</w:t>
            </w:r>
          </w:p>
          <w:p w14:paraId="40627178">
            <w:pPr>
              <w:pStyle w:val="13"/>
              <w:spacing w:line="500" w:lineRule="exact"/>
              <w:jc w:val="left"/>
              <w:rPr>
                <w:rFonts w:ascii="仿宋" w:hAnsi="仿宋" w:eastAsia="仿宋" w:cs="仿宋"/>
                <w:sz w:val="24"/>
                <w:szCs w:val="24"/>
              </w:rPr>
            </w:pPr>
            <w:r>
              <w:rPr>
                <w:rFonts w:hint="eastAsia" w:ascii="仿宋" w:hAnsi="仿宋" w:eastAsia="仿宋" w:cs="仿宋"/>
                <w:sz w:val="24"/>
                <w:szCs w:val="24"/>
              </w:rPr>
              <w:t>合同包3非专门面向中小企业采购。</w:t>
            </w:r>
          </w:p>
        </w:tc>
      </w:tr>
      <w:tr w14:paraId="37DCB9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7" w:hRule="atLeast"/>
          <w:jc w:val="center"/>
        </w:trPr>
        <w:tc>
          <w:tcPr>
            <w:tcW w:w="502" w:type="pct"/>
            <w:shd w:val="clear" w:color="auto" w:fill="auto"/>
            <w:vAlign w:val="center"/>
          </w:tcPr>
          <w:p w14:paraId="38703EC7">
            <w:pPr>
              <w:widowControl/>
              <w:jc w:val="center"/>
              <w:textAlignment w:val="center"/>
              <w:rPr>
                <w:rFonts w:ascii="仿宋" w:hAnsi="仿宋" w:eastAsia="仿宋" w:cs="仿宋"/>
                <w:sz w:val="24"/>
              </w:rPr>
            </w:pPr>
            <w:r>
              <w:rPr>
                <w:rFonts w:hint="eastAsia" w:ascii="仿宋" w:hAnsi="仿宋" w:eastAsia="仿宋" w:cs="仿宋"/>
                <w:color w:val="000000"/>
                <w:kern w:val="0"/>
                <w:sz w:val="24"/>
                <w:lang w:bidi="ar"/>
              </w:rPr>
              <w:t>9</w:t>
            </w:r>
          </w:p>
        </w:tc>
        <w:tc>
          <w:tcPr>
            <w:tcW w:w="868" w:type="pct"/>
            <w:shd w:val="clear" w:color="auto" w:fill="auto"/>
            <w:vAlign w:val="center"/>
          </w:tcPr>
          <w:p w14:paraId="0810FDFC">
            <w:pPr>
              <w:spacing w:line="500" w:lineRule="exact"/>
              <w:jc w:val="center"/>
              <w:rPr>
                <w:rFonts w:ascii="仿宋" w:hAnsi="仿宋" w:eastAsia="仿宋" w:cs="仿宋"/>
                <w:sz w:val="24"/>
              </w:rPr>
            </w:pPr>
            <w:r>
              <w:rPr>
                <w:rFonts w:hint="eastAsia" w:ascii="仿宋" w:hAnsi="仿宋" w:eastAsia="仿宋" w:cs="仿宋"/>
                <w:sz w:val="24"/>
              </w:rPr>
              <w:t>资金来源及资金落实情况</w:t>
            </w:r>
          </w:p>
        </w:tc>
        <w:tc>
          <w:tcPr>
            <w:tcW w:w="3629" w:type="pct"/>
            <w:shd w:val="clear" w:color="auto" w:fill="auto"/>
            <w:vAlign w:val="center"/>
          </w:tcPr>
          <w:p w14:paraId="1EC2BF2E">
            <w:pPr>
              <w:spacing w:line="500" w:lineRule="exact"/>
              <w:jc w:val="left"/>
              <w:rPr>
                <w:rFonts w:ascii="仿宋" w:hAnsi="仿宋" w:eastAsia="仿宋" w:cs="仿宋"/>
                <w:sz w:val="24"/>
              </w:rPr>
            </w:pPr>
            <w:r>
              <w:rPr>
                <w:rFonts w:hint="eastAsia" w:ascii="仿宋" w:hAnsi="仿宋" w:eastAsia="仿宋" w:cs="仿宋"/>
                <w:sz w:val="24"/>
              </w:rPr>
              <w:t>财政资金已落实</w:t>
            </w:r>
          </w:p>
        </w:tc>
      </w:tr>
      <w:tr w14:paraId="269A5B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7" w:hRule="atLeast"/>
          <w:jc w:val="center"/>
        </w:trPr>
        <w:tc>
          <w:tcPr>
            <w:tcW w:w="502" w:type="pct"/>
            <w:shd w:val="clear" w:color="auto" w:fill="auto"/>
            <w:vAlign w:val="center"/>
          </w:tcPr>
          <w:p w14:paraId="4FF2E919">
            <w:pPr>
              <w:widowControl/>
              <w:jc w:val="center"/>
              <w:textAlignment w:val="center"/>
              <w:rPr>
                <w:rFonts w:ascii="仿宋" w:hAnsi="仿宋" w:eastAsia="仿宋" w:cs="仿宋"/>
                <w:sz w:val="24"/>
              </w:rPr>
            </w:pPr>
            <w:r>
              <w:rPr>
                <w:rFonts w:hint="eastAsia" w:ascii="仿宋" w:hAnsi="仿宋" w:eastAsia="仿宋" w:cs="仿宋"/>
                <w:color w:val="000000"/>
                <w:kern w:val="0"/>
                <w:sz w:val="24"/>
                <w:lang w:bidi="ar"/>
              </w:rPr>
              <w:t>10</w:t>
            </w:r>
          </w:p>
        </w:tc>
        <w:tc>
          <w:tcPr>
            <w:tcW w:w="868" w:type="pct"/>
            <w:shd w:val="clear" w:color="auto" w:fill="auto"/>
            <w:vAlign w:val="center"/>
          </w:tcPr>
          <w:p w14:paraId="795DCA3F">
            <w:pPr>
              <w:spacing w:line="500" w:lineRule="exact"/>
              <w:jc w:val="center"/>
              <w:rPr>
                <w:rFonts w:ascii="仿宋" w:hAnsi="仿宋" w:eastAsia="仿宋" w:cs="仿宋"/>
                <w:sz w:val="24"/>
              </w:rPr>
            </w:pPr>
            <w:r>
              <w:rPr>
                <w:rFonts w:hint="eastAsia" w:ascii="仿宋" w:hAnsi="仿宋" w:eastAsia="仿宋" w:cs="仿宋"/>
                <w:sz w:val="24"/>
              </w:rPr>
              <w:t>质量标准</w:t>
            </w:r>
          </w:p>
        </w:tc>
        <w:tc>
          <w:tcPr>
            <w:tcW w:w="3629" w:type="pct"/>
            <w:shd w:val="clear" w:color="auto" w:fill="auto"/>
            <w:vAlign w:val="center"/>
          </w:tcPr>
          <w:p w14:paraId="17A6E41F">
            <w:pPr>
              <w:spacing w:line="500" w:lineRule="exact"/>
              <w:jc w:val="left"/>
              <w:rPr>
                <w:rFonts w:ascii="仿宋" w:hAnsi="仿宋" w:eastAsia="仿宋" w:cs="仿宋"/>
                <w:sz w:val="24"/>
              </w:rPr>
            </w:pPr>
            <w:r>
              <w:rPr>
                <w:rFonts w:hint="eastAsia" w:ascii="仿宋" w:hAnsi="仿宋" w:eastAsia="仿宋" w:cs="仿宋"/>
                <w:sz w:val="24"/>
              </w:rPr>
              <w:t>合格</w:t>
            </w:r>
          </w:p>
        </w:tc>
      </w:tr>
      <w:tr w14:paraId="4047A5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7" w:hRule="atLeast"/>
          <w:jc w:val="center"/>
        </w:trPr>
        <w:tc>
          <w:tcPr>
            <w:tcW w:w="502" w:type="pct"/>
            <w:shd w:val="clear" w:color="auto" w:fill="auto"/>
            <w:vAlign w:val="center"/>
          </w:tcPr>
          <w:p w14:paraId="19B8F17B">
            <w:pPr>
              <w:widowControl/>
              <w:jc w:val="center"/>
              <w:textAlignment w:val="center"/>
              <w:rPr>
                <w:rFonts w:ascii="仿宋" w:hAnsi="仿宋" w:eastAsia="仿宋" w:cs="仿宋"/>
                <w:sz w:val="24"/>
              </w:rPr>
            </w:pPr>
            <w:r>
              <w:rPr>
                <w:rFonts w:hint="eastAsia" w:ascii="仿宋" w:hAnsi="仿宋" w:eastAsia="仿宋" w:cs="仿宋"/>
                <w:color w:val="000000"/>
                <w:kern w:val="0"/>
                <w:sz w:val="24"/>
                <w:lang w:bidi="ar"/>
              </w:rPr>
              <w:t>11</w:t>
            </w:r>
          </w:p>
        </w:tc>
        <w:tc>
          <w:tcPr>
            <w:tcW w:w="868" w:type="pct"/>
            <w:shd w:val="clear" w:color="auto" w:fill="auto"/>
            <w:vAlign w:val="center"/>
          </w:tcPr>
          <w:p w14:paraId="2DE4B840">
            <w:pPr>
              <w:pStyle w:val="13"/>
              <w:spacing w:line="500" w:lineRule="exact"/>
              <w:jc w:val="center"/>
              <w:rPr>
                <w:rFonts w:ascii="仿宋" w:hAnsi="仿宋" w:eastAsia="仿宋" w:cs="仿宋"/>
                <w:sz w:val="24"/>
                <w:szCs w:val="24"/>
              </w:rPr>
            </w:pPr>
            <w:r>
              <w:rPr>
                <w:rFonts w:hint="eastAsia" w:ascii="仿宋" w:hAnsi="仿宋" w:eastAsia="仿宋" w:cs="仿宋"/>
                <w:sz w:val="24"/>
                <w:szCs w:val="24"/>
              </w:rPr>
              <w:t>现场踏勘</w:t>
            </w:r>
          </w:p>
        </w:tc>
        <w:tc>
          <w:tcPr>
            <w:tcW w:w="3629" w:type="pct"/>
            <w:shd w:val="clear" w:color="auto" w:fill="auto"/>
            <w:vAlign w:val="center"/>
          </w:tcPr>
          <w:p w14:paraId="3F5A4C47">
            <w:pPr>
              <w:pStyle w:val="13"/>
              <w:spacing w:line="500" w:lineRule="exact"/>
              <w:jc w:val="left"/>
              <w:rPr>
                <w:rFonts w:ascii="仿宋" w:hAnsi="仿宋" w:eastAsia="仿宋" w:cs="仿宋"/>
                <w:sz w:val="24"/>
                <w:szCs w:val="24"/>
              </w:rPr>
            </w:pPr>
            <w:r>
              <w:rPr>
                <w:rFonts w:hint="eastAsia" w:ascii="仿宋" w:hAnsi="仿宋" w:eastAsia="仿宋" w:cs="仿宋"/>
                <w:sz w:val="24"/>
                <w:szCs w:val="24"/>
              </w:rPr>
              <w:t>不组织</w:t>
            </w:r>
          </w:p>
        </w:tc>
      </w:tr>
      <w:tr w14:paraId="3FABD7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7" w:hRule="atLeast"/>
          <w:jc w:val="center"/>
        </w:trPr>
        <w:tc>
          <w:tcPr>
            <w:tcW w:w="502" w:type="pct"/>
            <w:shd w:val="clear" w:color="auto" w:fill="auto"/>
            <w:vAlign w:val="center"/>
          </w:tcPr>
          <w:p w14:paraId="27F6421D">
            <w:pPr>
              <w:widowControl/>
              <w:jc w:val="center"/>
              <w:textAlignment w:val="center"/>
              <w:rPr>
                <w:rFonts w:ascii="仿宋" w:hAnsi="仿宋" w:eastAsia="仿宋" w:cs="仿宋"/>
                <w:sz w:val="24"/>
              </w:rPr>
            </w:pPr>
            <w:r>
              <w:rPr>
                <w:rFonts w:hint="eastAsia" w:ascii="仿宋" w:hAnsi="仿宋" w:eastAsia="仿宋" w:cs="仿宋"/>
                <w:color w:val="000000"/>
                <w:kern w:val="0"/>
                <w:sz w:val="24"/>
                <w:lang w:bidi="ar"/>
              </w:rPr>
              <w:t>12</w:t>
            </w:r>
          </w:p>
        </w:tc>
        <w:tc>
          <w:tcPr>
            <w:tcW w:w="868" w:type="pct"/>
            <w:shd w:val="clear" w:color="auto" w:fill="auto"/>
            <w:vAlign w:val="center"/>
          </w:tcPr>
          <w:p w14:paraId="46DAF641">
            <w:pPr>
              <w:spacing w:line="396" w:lineRule="exact"/>
              <w:jc w:val="center"/>
              <w:rPr>
                <w:rFonts w:ascii="仿宋" w:hAnsi="仿宋" w:eastAsia="仿宋" w:cs="仿宋"/>
                <w:sz w:val="24"/>
              </w:rPr>
            </w:pPr>
            <w:r>
              <w:rPr>
                <w:rFonts w:hint="eastAsia" w:ascii="仿宋" w:hAnsi="仿宋" w:eastAsia="仿宋" w:cs="仿宋"/>
                <w:sz w:val="24"/>
              </w:rPr>
              <w:t>分包/转包</w:t>
            </w:r>
          </w:p>
        </w:tc>
        <w:tc>
          <w:tcPr>
            <w:tcW w:w="3629" w:type="pct"/>
            <w:shd w:val="clear" w:color="auto" w:fill="auto"/>
            <w:vAlign w:val="center"/>
          </w:tcPr>
          <w:p w14:paraId="30E809ED">
            <w:pPr>
              <w:spacing w:line="396" w:lineRule="exact"/>
              <w:jc w:val="left"/>
              <w:rPr>
                <w:rFonts w:ascii="仿宋" w:hAnsi="仿宋" w:eastAsia="仿宋" w:cs="仿宋"/>
                <w:sz w:val="24"/>
              </w:rPr>
            </w:pPr>
            <w:r>
              <w:rPr>
                <w:rFonts w:hint="eastAsia" w:ascii="仿宋" w:hAnsi="仿宋" w:eastAsia="仿宋" w:cs="仿宋"/>
                <w:sz w:val="24"/>
              </w:rPr>
              <w:t>不允许</w:t>
            </w:r>
          </w:p>
        </w:tc>
      </w:tr>
      <w:tr w14:paraId="63AA04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7" w:hRule="atLeast"/>
          <w:jc w:val="center"/>
        </w:trPr>
        <w:tc>
          <w:tcPr>
            <w:tcW w:w="502" w:type="pct"/>
            <w:shd w:val="clear" w:color="auto" w:fill="auto"/>
            <w:vAlign w:val="center"/>
          </w:tcPr>
          <w:p w14:paraId="5964DC95">
            <w:pPr>
              <w:widowControl/>
              <w:jc w:val="center"/>
              <w:textAlignment w:val="center"/>
              <w:rPr>
                <w:rFonts w:ascii="仿宋" w:hAnsi="仿宋" w:eastAsia="仿宋" w:cs="仿宋"/>
                <w:sz w:val="24"/>
              </w:rPr>
            </w:pPr>
            <w:r>
              <w:rPr>
                <w:rFonts w:hint="eastAsia" w:ascii="仿宋" w:hAnsi="仿宋" w:eastAsia="仿宋" w:cs="仿宋"/>
                <w:color w:val="000000"/>
                <w:kern w:val="0"/>
                <w:sz w:val="24"/>
                <w:lang w:bidi="ar"/>
              </w:rPr>
              <w:t>13</w:t>
            </w:r>
          </w:p>
        </w:tc>
        <w:tc>
          <w:tcPr>
            <w:tcW w:w="868" w:type="pct"/>
            <w:shd w:val="clear" w:color="auto" w:fill="auto"/>
            <w:vAlign w:val="center"/>
          </w:tcPr>
          <w:p w14:paraId="6F3CC58D">
            <w:pPr>
              <w:spacing w:line="396" w:lineRule="exact"/>
              <w:jc w:val="center"/>
              <w:rPr>
                <w:rFonts w:ascii="仿宋" w:hAnsi="仿宋" w:eastAsia="仿宋" w:cs="仿宋"/>
                <w:sz w:val="24"/>
              </w:rPr>
            </w:pPr>
            <w:r>
              <w:rPr>
                <w:rFonts w:hint="eastAsia" w:ascii="仿宋" w:hAnsi="仿宋" w:eastAsia="仿宋" w:cs="仿宋"/>
                <w:sz w:val="24"/>
              </w:rPr>
              <w:t>服务期限</w:t>
            </w:r>
          </w:p>
        </w:tc>
        <w:tc>
          <w:tcPr>
            <w:tcW w:w="3629" w:type="pct"/>
            <w:shd w:val="clear" w:color="auto" w:fill="auto"/>
            <w:vAlign w:val="center"/>
          </w:tcPr>
          <w:p w14:paraId="3643F201">
            <w:pPr>
              <w:pStyle w:val="13"/>
              <w:spacing w:line="500" w:lineRule="exact"/>
              <w:jc w:val="left"/>
              <w:rPr>
                <w:rFonts w:ascii="仿宋" w:hAnsi="仿宋" w:eastAsia="仿宋" w:cs="仿宋"/>
                <w:sz w:val="24"/>
                <w:szCs w:val="24"/>
              </w:rPr>
            </w:pPr>
            <w:r>
              <w:rPr>
                <w:rFonts w:hint="eastAsia" w:ascii="仿宋" w:hAnsi="仿宋" w:eastAsia="仿宋" w:cs="仿宋"/>
                <w:b/>
                <w:bCs/>
                <w:sz w:val="24"/>
                <w:szCs w:val="24"/>
              </w:rPr>
              <w:t>采购包1：</w:t>
            </w:r>
            <w:r>
              <w:rPr>
                <w:rFonts w:hint="eastAsia" w:ascii="仿宋" w:hAnsi="仿宋" w:eastAsia="仿宋" w:cs="仿宋"/>
                <w:sz w:val="24"/>
                <w:szCs w:val="24"/>
              </w:rPr>
              <w:t>本项目服务期限为1年，自合同签订之日起计算。服务期内，服务商服务质量持续不达标，采购人有权提前终止合同。</w:t>
            </w:r>
          </w:p>
          <w:p w14:paraId="1B30506A">
            <w:pPr>
              <w:pStyle w:val="13"/>
              <w:spacing w:line="500" w:lineRule="exact"/>
              <w:jc w:val="left"/>
              <w:rPr>
                <w:rFonts w:ascii="仿宋" w:hAnsi="仿宋" w:eastAsia="仿宋" w:cs="仿宋"/>
                <w:sz w:val="24"/>
                <w:szCs w:val="24"/>
              </w:rPr>
            </w:pPr>
            <w:r>
              <w:rPr>
                <w:rFonts w:hint="eastAsia" w:ascii="仿宋" w:hAnsi="仿宋" w:eastAsia="仿宋" w:cs="仿宋"/>
                <w:b/>
                <w:bCs/>
                <w:sz w:val="24"/>
                <w:szCs w:val="24"/>
              </w:rPr>
              <w:t>采购包2：</w:t>
            </w:r>
            <w:r>
              <w:rPr>
                <w:rFonts w:hint="eastAsia" w:ascii="仿宋" w:hAnsi="仿宋" w:eastAsia="仿宋" w:cs="仿宋"/>
                <w:sz w:val="24"/>
                <w:szCs w:val="24"/>
              </w:rPr>
              <w:t>本项目服务期限为1年，自合同签订之日起计算。服务期内，服务商服务质量持续不达标，采购人有权提前终止合同。</w:t>
            </w:r>
          </w:p>
          <w:p w14:paraId="32E850CF">
            <w:pPr>
              <w:pStyle w:val="13"/>
              <w:spacing w:line="500" w:lineRule="exact"/>
              <w:jc w:val="left"/>
              <w:rPr>
                <w:rFonts w:ascii="仿宋" w:hAnsi="仿宋" w:eastAsia="仿宋" w:cs="仿宋"/>
                <w:sz w:val="24"/>
                <w:szCs w:val="24"/>
              </w:rPr>
            </w:pPr>
            <w:r>
              <w:rPr>
                <w:rFonts w:hint="eastAsia" w:ascii="仿宋" w:hAnsi="仿宋" w:eastAsia="仿宋" w:cs="仿宋"/>
                <w:b/>
                <w:bCs/>
                <w:sz w:val="24"/>
                <w:szCs w:val="24"/>
              </w:rPr>
              <w:t>采购包3：</w:t>
            </w:r>
            <w:r>
              <w:rPr>
                <w:rFonts w:hint="eastAsia" w:ascii="仿宋" w:hAnsi="仿宋" w:eastAsia="仿宋" w:cs="仿宋"/>
                <w:sz w:val="24"/>
                <w:szCs w:val="24"/>
              </w:rPr>
              <w:t>本项目服务期限为1年，自合同签订之日起计算。服务期内，服务商服务质量持续不达标，或出现重大数据安全事件、财政合规问题，采购人有权提前终止合同。</w:t>
            </w:r>
          </w:p>
          <w:p w14:paraId="0BC94C70">
            <w:pPr>
              <w:pStyle w:val="13"/>
              <w:spacing w:line="500" w:lineRule="exact"/>
              <w:jc w:val="left"/>
              <w:rPr>
                <w:rFonts w:ascii="仿宋" w:hAnsi="仿宋" w:eastAsia="仿宋" w:cs="仿宋"/>
                <w:sz w:val="24"/>
                <w:szCs w:val="24"/>
              </w:rPr>
            </w:pPr>
            <w:r>
              <w:rPr>
                <w:rFonts w:hint="eastAsia" w:ascii="仿宋" w:hAnsi="仿宋" w:eastAsia="仿宋" w:cs="仿宋"/>
                <w:b/>
                <w:bCs/>
                <w:sz w:val="24"/>
                <w:szCs w:val="24"/>
              </w:rPr>
              <w:t>采购包4：</w:t>
            </w:r>
            <w:r>
              <w:rPr>
                <w:rFonts w:hint="eastAsia" w:ascii="仿宋" w:hAnsi="仿宋" w:eastAsia="仿宋" w:cs="仿宋"/>
                <w:sz w:val="24"/>
                <w:szCs w:val="24"/>
              </w:rPr>
              <w:t>本项目服务期限为1年，自合同签订之日起计算。服务期内，服务商服务质量持续不达标，采购人有权提前终止合同。</w:t>
            </w:r>
          </w:p>
          <w:p w14:paraId="28EBF63F">
            <w:pPr>
              <w:pStyle w:val="13"/>
              <w:spacing w:line="500" w:lineRule="exact"/>
              <w:jc w:val="left"/>
              <w:rPr>
                <w:rFonts w:ascii="仿宋" w:hAnsi="仿宋" w:eastAsia="仿宋" w:cs="仿宋"/>
                <w:b/>
                <w:bCs/>
                <w:sz w:val="24"/>
                <w:szCs w:val="24"/>
              </w:rPr>
            </w:pPr>
            <w:r>
              <w:rPr>
                <w:rFonts w:hint="eastAsia" w:ascii="仿宋" w:hAnsi="仿宋" w:eastAsia="仿宋" w:cs="仿宋"/>
                <w:b/>
                <w:bCs/>
                <w:sz w:val="24"/>
                <w:szCs w:val="24"/>
              </w:rPr>
              <w:t>采购包5：</w:t>
            </w:r>
            <w:r>
              <w:rPr>
                <w:rFonts w:hint="eastAsia" w:ascii="仿宋" w:hAnsi="仿宋" w:eastAsia="仿宋" w:cs="仿宋"/>
                <w:sz w:val="24"/>
                <w:szCs w:val="24"/>
              </w:rPr>
              <w:t>本项目服务期限为 1 年，自合同签订之日起计算。服务期内，服务商服务质量持续不达标，采购人有权提前终止合同。</w:t>
            </w:r>
          </w:p>
          <w:p w14:paraId="5FDC9748">
            <w:pPr>
              <w:pStyle w:val="13"/>
              <w:spacing w:line="500" w:lineRule="exact"/>
              <w:jc w:val="left"/>
              <w:rPr>
                <w:rFonts w:ascii="仿宋" w:hAnsi="仿宋" w:eastAsia="仿宋" w:cs="仿宋"/>
                <w:sz w:val="24"/>
                <w:szCs w:val="24"/>
              </w:rPr>
            </w:pPr>
            <w:r>
              <w:rPr>
                <w:rFonts w:hint="eastAsia" w:ascii="仿宋" w:hAnsi="仿宋" w:eastAsia="仿宋" w:cs="仿宋"/>
                <w:b/>
                <w:bCs/>
                <w:sz w:val="24"/>
                <w:szCs w:val="24"/>
              </w:rPr>
              <w:t>采购包6：</w:t>
            </w:r>
            <w:r>
              <w:rPr>
                <w:rFonts w:hint="eastAsia" w:ascii="仿宋" w:hAnsi="仿宋" w:eastAsia="仿宋" w:cs="仿宋"/>
                <w:sz w:val="24"/>
                <w:szCs w:val="24"/>
              </w:rPr>
              <w:t>本项目服务期限为1年，自合同签订之日起计算。服务期内，服务商服务质量持续不达标，采购人有权提前终止合同。</w:t>
            </w:r>
          </w:p>
          <w:p w14:paraId="76088BEF">
            <w:pPr>
              <w:pStyle w:val="13"/>
              <w:spacing w:line="500" w:lineRule="exact"/>
              <w:jc w:val="left"/>
              <w:rPr>
                <w:rFonts w:ascii="仿宋" w:hAnsi="仿宋" w:eastAsia="仿宋" w:cs="仿宋"/>
                <w:sz w:val="24"/>
                <w:szCs w:val="24"/>
              </w:rPr>
            </w:pPr>
            <w:r>
              <w:rPr>
                <w:rFonts w:hint="eastAsia" w:ascii="仿宋" w:hAnsi="仿宋" w:eastAsia="仿宋" w:cs="仿宋"/>
                <w:b/>
                <w:bCs/>
                <w:sz w:val="24"/>
                <w:szCs w:val="24"/>
              </w:rPr>
              <w:t>采购包7：</w:t>
            </w:r>
            <w:r>
              <w:rPr>
                <w:rFonts w:hint="eastAsia" w:ascii="仿宋" w:hAnsi="仿宋" w:eastAsia="仿宋" w:cs="仿宋"/>
                <w:sz w:val="24"/>
                <w:szCs w:val="24"/>
              </w:rPr>
              <w:t>本项目服务期限为1年，自合同签订之日起计算。服务期内，服务商服务质量持续不达标，采购人有权提前终止合同。</w:t>
            </w:r>
          </w:p>
          <w:p w14:paraId="0181D878">
            <w:pPr>
              <w:pStyle w:val="13"/>
              <w:spacing w:line="500" w:lineRule="exact"/>
              <w:jc w:val="left"/>
              <w:rPr>
                <w:rFonts w:ascii="仿宋" w:hAnsi="仿宋" w:eastAsia="仿宋" w:cs="仿宋"/>
                <w:sz w:val="24"/>
                <w:szCs w:val="24"/>
              </w:rPr>
            </w:pPr>
            <w:r>
              <w:rPr>
                <w:rFonts w:hint="eastAsia" w:ascii="仿宋" w:hAnsi="仿宋" w:eastAsia="仿宋" w:cs="仿宋"/>
                <w:b/>
                <w:bCs/>
                <w:sz w:val="24"/>
                <w:szCs w:val="24"/>
              </w:rPr>
              <w:t>采购包8：</w:t>
            </w:r>
            <w:r>
              <w:rPr>
                <w:rFonts w:hint="eastAsia" w:ascii="仿宋" w:hAnsi="仿宋" w:eastAsia="仿宋" w:cs="仿宋"/>
                <w:sz w:val="24"/>
                <w:szCs w:val="24"/>
              </w:rPr>
              <w:t>本项目服务期限为1年，自合同签订之日起计算。服务期内，服务商服务质量持续不达标，采购人有权提前终止合同。</w:t>
            </w:r>
          </w:p>
          <w:p w14:paraId="27D36177">
            <w:pPr>
              <w:pStyle w:val="13"/>
              <w:spacing w:line="500" w:lineRule="exact"/>
              <w:jc w:val="left"/>
              <w:rPr>
                <w:rFonts w:ascii="仿宋" w:hAnsi="仿宋" w:eastAsia="仿宋" w:cs="仿宋"/>
                <w:sz w:val="24"/>
                <w:szCs w:val="24"/>
              </w:rPr>
            </w:pPr>
            <w:r>
              <w:rPr>
                <w:rFonts w:hint="eastAsia" w:ascii="仿宋" w:hAnsi="仿宋" w:eastAsia="仿宋" w:cs="仿宋"/>
                <w:b/>
                <w:bCs/>
                <w:sz w:val="24"/>
                <w:szCs w:val="24"/>
              </w:rPr>
              <w:t>采购包9：</w:t>
            </w:r>
            <w:r>
              <w:rPr>
                <w:rFonts w:hint="eastAsia" w:ascii="仿宋" w:hAnsi="仿宋" w:eastAsia="仿宋" w:cs="仿宋"/>
                <w:sz w:val="24"/>
                <w:szCs w:val="24"/>
              </w:rPr>
              <w:t>本项目服务期限为1年，自合同签订之日起计算。服务期内，服务商服务质量持续不达标，采购人有权提前终止合同。</w:t>
            </w:r>
          </w:p>
          <w:p w14:paraId="082BCA60">
            <w:pPr>
              <w:pStyle w:val="13"/>
              <w:spacing w:line="500" w:lineRule="exact"/>
              <w:jc w:val="left"/>
              <w:rPr>
                <w:rFonts w:ascii="仿宋" w:hAnsi="仿宋" w:eastAsia="仿宋" w:cs="仿宋"/>
                <w:sz w:val="24"/>
                <w:szCs w:val="24"/>
              </w:rPr>
            </w:pPr>
            <w:r>
              <w:rPr>
                <w:rFonts w:hint="eastAsia" w:ascii="仿宋" w:hAnsi="仿宋" w:eastAsia="仿宋" w:cs="仿宋"/>
                <w:b/>
                <w:bCs/>
                <w:sz w:val="24"/>
                <w:szCs w:val="24"/>
              </w:rPr>
              <w:t>采购包10：</w:t>
            </w:r>
            <w:r>
              <w:rPr>
                <w:rFonts w:hint="eastAsia" w:ascii="仿宋" w:hAnsi="仿宋" w:eastAsia="仿宋" w:cs="仿宋"/>
                <w:sz w:val="24"/>
                <w:szCs w:val="24"/>
              </w:rPr>
              <w:t>本项目服务期限为1年，自合同签订之日起计算。服务期内，服务商服务质量持续不达标，采购人有权提前终止合同。</w:t>
            </w:r>
          </w:p>
          <w:p w14:paraId="452818F4">
            <w:pPr>
              <w:pStyle w:val="13"/>
              <w:spacing w:line="500" w:lineRule="exact"/>
              <w:jc w:val="left"/>
              <w:rPr>
                <w:rFonts w:ascii="仿宋" w:hAnsi="仿宋" w:eastAsia="仿宋" w:cs="仿宋"/>
                <w:sz w:val="24"/>
                <w:szCs w:val="24"/>
              </w:rPr>
            </w:pPr>
            <w:r>
              <w:rPr>
                <w:rFonts w:hint="eastAsia" w:ascii="仿宋" w:hAnsi="仿宋" w:eastAsia="仿宋" w:cs="仿宋"/>
                <w:b/>
                <w:bCs/>
                <w:sz w:val="24"/>
                <w:szCs w:val="24"/>
              </w:rPr>
              <w:t>采购包11：</w:t>
            </w:r>
            <w:r>
              <w:rPr>
                <w:rFonts w:hint="eastAsia" w:ascii="仿宋" w:hAnsi="仿宋" w:eastAsia="仿宋" w:cs="仿宋"/>
                <w:sz w:val="24"/>
                <w:szCs w:val="24"/>
              </w:rPr>
              <w:t>本项目服务期限为1年，自合同签订之日起计算。服务期内，服务商服务质量持续不达标，采购人有权提前终止合同。</w:t>
            </w:r>
          </w:p>
        </w:tc>
      </w:tr>
      <w:tr w14:paraId="254C54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7" w:hRule="atLeast"/>
          <w:jc w:val="center"/>
        </w:trPr>
        <w:tc>
          <w:tcPr>
            <w:tcW w:w="502" w:type="pct"/>
            <w:shd w:val="clear" w:color="auto" w:fill="auto"/>
            <w:vAlign w:val="center"/>
          </w:tcPr>
          <w:p w14:paraId="1316C90E">
            <w:pPr>
              <w:widowControl/>
              <w:jc w:val="center"/>
              <w:textAlignment w:val="center"/>
              <w:rPr>
                <w:rFonts w:ascii="仿宋" w:hAnsi="仿宋" w:eastAsia="仿宋" w:cs="仿宋"/>
                <w:sz w:val="24"/>
              </w:rPr>
            </w:pPr>
            <w:r>
              <w:rPr>
                <w:rFonts w:hint="eastAsia" w:ascii="仿宋" w:hAnsi="仿宋" w:eastAsia="仿宋" w:cs="仿宋"/>
                <w:color w:val="000000"/>
                <w:kern w:val="0"/>
                <w:sz w:val="24"/>
                <w:lang w:bidi="ar"/>
              </w:rPr>
              <w:t>14</w:t>
            </w:r>
          </w:p>
        </w:tc>
        <w:tc>
          <w:tcPr>
            <w:tcW w:w="868" w:type="pct"/>
            <w:shd w:val="clear" w:color="auto" w:fill="auto"/>
            <w:vAlign w:val="center"/>
          </w:tcPr>
          <w:p w14:paraId="34FFA2A7">
            <w:pPr>
              <w:spacing w:line="360" w:lineRule="auto"/>
              <w:jc w:val="center"/>
              <w:rPr>
                <w:rFonts w:ascii="仿宋" w:hAnsi="仿宋" w:eastAsia="仿宋" w:cs="仿宋"/>
                <w:sz w:val="24"/>
              </w:rPr>
            </w:pPr>
            <w:r>
              <w:rPr>
                <w:rFonts w:hint="eastAsia" w:ascii="仿宋" w:hAnsi="仿宋" w:eastAsia="仿宋" w:cs="仿宋"/>
                <w:sz w:val="24"/>
              </w:rPr>
              <w:t>采购资金的支付方式和时间</w:t>
            </w:r>
          </w:p>
        </w:tc>
        <w:tc>
          <w:tcPr>
            <w:tcW w:w="3629" w:type="pct"/>
            <w:shd w:val="clear" w:color="auto" w:fill="auto"/>
            <w:vAlign w:val="center"/>
          </w:tcPr>
          <w:p w14:paraId="34B93413">
            <w:pPr>
              <w:spacing w:line="360" w:lineRule="auto"/>
              <w:rPr>
                <w:rFonts w:ascii="仿宋" w:hAnsi="仿宋" w:eastAsia="仿宋" w:cs="仿宋"/>
                <w:sz w:val="24"/>
              </w:rPr>
            </w:pPr>
            <w:r>
              <w:rPr>
                <w:rFonts w:hint="eastAsia" w:ascii="仿宋" w:hAnsi="仿宋" w:eastAsia="仿宋" w:cs="仿宋"/>
                <w:sz w:val="24"/>
              </w:rPr>
              <w:t>1)结算单位：银行转账，由采购人负责结算。在付款前，供应商必须开具与合同金额相应的发票给采购人，附详细清单。</w:t>
            </w:r>
          </w:p>
          <w:p w14:paraId="7063C1AE">
            <w:pPr>
              <w:spacing w:line="360" w:lineRule="auto"/>
              <w:rPr>
                <w:rFonts w:ascii="仿宋" w:hAnsi="仿宋" w:eastAsia="仿宋" w:cs="仿宋"/>
                <w:sz w:val="24"/>
              </w:rPr>
            </w:pPr>
            <w:r>
              <w:rPr>
                <w:rFonts w:hint="eastAsia" w:ascii="仿宋" w:hAnsi="仿宋" w:eastAsia="仿宋" w:cs="仿宋"/>
                <w:sz w:val="24"/>
              </w:rPr>
              <w:t>2)付款方式:</w:t>
            </w:r>
          </w:p>
          <w:p w14:paraId="7C51E3D5">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采购包1：</w:t>
            </w:r>
          </w:p>
          <w:p w14:paraId="114E008B">
            <w:pPr>
              <w:spacing w:before="120" w:after="120" w:line="288" w:lineRule="auto"/>
              <w:jc w:val="left"/>
              <w:rPr>
                <w:rFonts w:ascii="仿宋" w:hAnsi="仿宋" w:eastAsia="仿宋" w:cs="仿宋"/>
                <w:sz w:val="24"/>
              </w:rPr>
            </w:pPr>
            <w:r>
              <w:rPr>
                <w:rFonts w:hint="eastAsia" w:ascii="仿宋" w:hAnsi="仿宋" w:eastAsia="仿宋" w:cs="仿宋"/>
                <w:sz w:val="24"/>
              </w:rPr>
              <w:t>第一笔款项：双方签订合同后5日内付合同价款的50%；</w:t>
            </w:r>
          </w:p>
          <w:p w14:paraId="310C3696">
            <w:pPr>
              <w:spacing w:before="120" w:after="120" w:line="288"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36F9AC96">
            <w:pPr>
              <w:spacing w:before="120" w:after="120" w:line="288"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583943A0">
            <w:pPr>
              <w:spacing w:before="120" w:after="120" w:line="288"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000F6B99">
            <w:pPr>
              <w:spacing w:before="120" w:after="120" w:line="288"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79643A9A">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采购包2：</w:t>
            </w:r>
          </w:p>
          <w:p w14:paraId="4DA87090">
            <w:pPr>
              <w:snapToGrid w:val="0"/>
              <w:spacing w:line="360" w:lineRule="auto"/>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50057FBC">
            <w:pPr>
              <w:snapToGrid w:val="0"/>
              <w:spacing w:line="360"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56A42EB9">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2DA8175D">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22AE0C0A">
            <w:pPr>
              <w:spacing w:before="120" w:after="120" w:line="288"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51031900">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采购包3：</w:t>
            </w:r>
          </w:p>
          <w:p w14:paraId="0337C7F0">
            <w:pPr>
              <w:snapToGrid w:val="0"/>
              <w:spacing w:line="360" w:lineRule="auto"/>
              <w:jc w:val="left"/>
              <w:rPr>
                <w:rFonts w:ascii="仿宋" w:hAnsi="仿宋" w:eastAsia="仿宋" w:cs="仿宋"/>
                <w:sz w:val="24"/>
              </w:rPr>
            </w:pPr>
            <w:r>
              <w:rPr>
                <w:rFonts w:hint="eastAsia" w:ascii="仿宋" w:hAnsi="仿宋" w:eastAsia="仿宋" w:cs="仿宋"/>
                <w:sz w:val="24"/>
              </w:rPr>
              <w:t>第一笔款项：双方签订合同后5日内付合同价款的50%；</w:t>
            </w:r>
          </w:p>
          <w:p w14:paraId="7EF2DD20">
            <w:pPr>
              <w:snapToGrid w:val="0"/>
              <w:spacing w:line="360"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13BA2E89">
            <w:pPr>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3AFEDC5B">
            <w:pPr>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7FD32964">
            <w:pPr>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7FC2435B">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采购包4：</w:t>
            </w:r>
          </w:p>
          <w:p w14:paraId="56C8FF8F">
            <w:pPr>
              <w:snapToGrid w:val="0"/>
              <w:spacing w:line="360" w:lineRule="auto"/>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72B89CA4">
            <w:pPr>
              <w:snapToGrid w:val="0"/>
              <w:spacing w:line="360"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7770E4E5">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6F072F80">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5D00EB36">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1C7B4F6D">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采购包5：</w:t>
            </w:r>
          </w:p>
          <w:p w14:paraId="0F8BB726">
            <w:pPr>
              <w:pStyle w:val="34"/>
              <w:snapToGrid w:val="0"/>
              <w:spacing w:line="360" w:lineRule="auto"/>
              <w:ind w:firstLine="0" w:firstLineChars="0"/>
              <w:jc w:val="left"/>
              <w:rPr>
                <w:rFonts w:ascii="仿宋" w:hAnsi="仿宋" w:eastAsia="仿宋" w:cs="仿宋"/>
                <w:sz w:val="24"/>
              </w:rPr>
            </w:pPr>
            <w:r>
              <w:rPr>
                <w:rFonts w:hint="eastAsia" w:ascii="仿宋" w:hAnsi="仿宋" w:eastAsia="仿宋" w:cs="仿宋"/>
                <w:sz w:val="24"/>
              </w:rPr>
              <w:t>第一笔款项：双方签订合同后 5 日内付合同价款的 50%；</w:t>
            </w:r>
          </w:p>
          <w:p w14:paraId="4D4A51A7">
            <w:pPr>
              <w:pStyle w:val="34"/>
              <w:snapToGrid w:val="0"/>
              <w:spacing w:line="360" w:lineRule="auto"/>
              <w:ind w:firstLine="0" w:firstLineChars="0"/>
              <w:jc w:val="left"/>
              <w:rPr>
                <w:rFonts w:ascii="仿宋" w:hAnsi="仿宋" w:eastAsia="仿宋" w:cs="仿宋"/>
                <w:sz w:val="24"/>
              </w:rPr>
            </w:pPr>
            <w:r>
              <w:rPr>
                <w:rFonts w:hint="eastAsia" w:ascii="仿宋" w:hAnsi="仿宋" w:eastAsia="仿宋" w:cs="仿宋"/>
                <w:sz w:val="24"/>
              </w:rPr>
              <w:t>第二笔款项：服务期满后，采购人组织完成年度考核验收后 7 个工作日内，根据考核结果支付剩余合同价款：</w:t>
            </w:r>
          </w:p>
          <w:p w14:paraId="1FD9414F">
            <w:pPr>
              <w:pStyle w:val="34"/>
              <w:snapToGrid w:val="0"/>
              <w:spacing w:line="360" w:lineRule="auto"/>
              <w:ind w:firstLine="0" w:firstLineChars="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 50% 价款；</w:t>
            </w:r>
          </w:p>
          <w:p w14:paraId="149EF8EC">
            <w:pPr>
              <w:pStyle w:val="34"/>
              <w:snapToGrid w:val="0"/>
              <w:spacing w:line="360" w:lineRule="auto"/>
              <w:ind w:firstLine="0" w:firstLineChars="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 10% 作为违约金，支付合同剩余 40% 价款；</w:t>
            </w:r>
          </w:p>
          <w:p w14:paraId="21BCC5E3">
            <w:pPr>
              <w:pStyle w:val="34"/>
              <w:snapToGrid w:val="0"/>
              <w:spacing w:line="360" w:lineRule="auto"/>
              <w:ind w:firstLine="0" w:firstLineChars="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 50% 价款，同时保留追究供应商违约责任的权利。</w:t>
            </w:r>
          </w:p>
          <w:p w14:paraId="1E5A7FC1">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采购包6：</w:t>
            </w:r>
          </w:p>
          <w:p w14:paraId="62ED61EE">
            <w:pPr>
              <w:snapToGrid w:val="0"/>
              <w:spacing w:line="360" w:lineRule="auto"/>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0DBDA7D8">
            <w:pPr>
              <w:snapToGrid w:val="0"/>
              <w:spacing w:line="360"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6D8DD2FA">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1D383980">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769D5405">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5BF14631">
            <w:pPr>
              <w:snapToGrid w:val="0"/>
              <w:spacing w:line="360" w:lineRule="auto"/>
              <w:rPr>
                <w:rFonts w:ascii="仿宋" w:hAnsi="仿宋" w:eastAsia="仿宋" w:cs="仿宋"/>
                <w:b/>
                <w:bCs/>
                <w:sz w:val="24"/>
              </w:rPr>
            </w:pPr>
            <w:r>
              <w:rPr>
                <w:rFonts w:hint="eastAsia" w:ascii="仿宋" w:hAnsi="仿宋" w:eastAsia="仿宋" w:cs="仿宋"/>
                <w:b/>
                <w:bCs/>
                <w:sz w:val="24"/>
              </w:rPr>
              <w:t>采购包7：</w:t>
            </w:r>
          </w:p>
          <w:p w14:paraId="0A99D896">
            <w:pPr>
              <w:snapToGrid w:val="0"/>
              <w:spacing w:line="360" w:lineRule="auto"/>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44BBFB45">
            <w:pPr>
              <w:snapToGrid w:val="0"/>
              <w:spacing w:line="360"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472B45F6">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采购包8：</w:t>
            </w:r>
          </w:p>
          <w:p w14:paraId="49161D78">
            <w:pPr>
              <w:snapToGrid w:val="0"/>
              <w:spacing w:line="360" w:lineRule="auto"/>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0B9B9894">
            <w:pPr>
              <w:snapToGrid w:val="0"/>
              <w:spacing w:line="360"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546C79C8">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26B5833D">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277A011F">
            <w:pPr>
              <w:spacing w:before="120" w:after="120" w:line="288"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0754C68E">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采购包9：</w:t>
            </w:r>
          </w:p>
          <w:p w14:paraId="37BDC318">
            <w:pPr>
              <w:snapToGrid w:val="0"/>
              <w:spacing w:line="360" w:lineRule="auto"/>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713A0D55">
            <w:pPr>
              <w:snapToGrid w:val="0"/>
              <w:spacing w:line="360"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0C5A267C">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03072D06">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1AE85F47">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4B75E9EF">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采购包10：</w:t>
            </w:r>
          </w:p>
          <w:p w14:paraId="19CF211F">
            <w:pPr>
              <w:snapToGrid w:val="0"/>
              <w:spacing w:line="360" w:lineRule="auto"/>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2C80F8D9">
            <w:pPr>
              <w:snapToGrid w:val="0"/>
              <w:spacing w:line="360"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292B7DA4">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64960FF9">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0087437C">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3E3C8C23">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采购包11：</w:t>
            </w:r>
          </w:p>
          <w:p w14:paraId="674ED4FB">
            <w:pPr>
              <w:snapToGrid w:val="0"/>
              <w:spacing w:line="360" w:lineRule="auto"/>
              <w:jc w:val="left"/>
              <w:rPr>
                <w:rFonts w:ascii="仿宋" w:hAnsi="仿宋" w:eastAsia="仿宋" w:cs="仿宋"/>
                <w:sz w:val="24"/>
              </w:rPr>
            </w:pPr>
            <w:r>
              <w:rPr>
                <w:rFonts w:hint="eastAsia" w:ascii="仿宋" w:hAnsi="仿宋" w:eastAsia="仿宋" w:cs="仿宋"/>
                <w:sz w:val="24"/>
              </w:rPr>
              <w:t>第一笔款项：双方签订合同后5日内，采购人支付合同内各类证书年使用费用的100%与系统运维服务费用的50%；</w:t>
            </w:r>
          </w:p>
          <w:p w14:paraId="650B527A">
            <w:pPr>
              <w:snapToGrid w:val="0"/>
              <w:spacing w:line="360"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第二笔款项：服务期满后，采购人组织完成年度考核验收后5个工作日内，根据考核结果支付剩余合同价款：</w:t>
            </w:r>
          </w:p>
          <w:p w14:paraId="212EB0C9">
            <w:pPr>
              <w:pStyle w:val="34"/>
              <w:snapToGrid w:val="0"/>
              <w:spacing w:line="360" w:lineRule="auto"/>
              <w:ind w:firstLine="0" w:firstLineChars="0"/>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年度考核结果为优秀的，支付合同剩余50%运维服务费用；</w:t>
            </w:r>
          </w:p>
          <w:p w14:paraId="5E088908">
            <w:pPr>
              <w:pStyle w:val="34"/>
              <w:snapToGrid w:val="0"/>
              <w:spacing w:line="360" w:lineRule="auto"/>
              <w:ind w:firstLine="0" w:firstLineChars="0"/>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年度考核结果为合格的，扣除合同运维服务总价款的10%作为违约金，支付合同剩余40%运维服务费用；</w:t>
            </w:r>
          </w:p>
          <w:p w14:paraId="372D4EB7">
            <w:pPr>
              <w:pStyle w:val="34"/>
              <w:snapToGrid w:val="0"/>
              <w:spacing w:line="360" w:lineRule="auto"/>
              <w:ind w:firstLine="0" w:firstLineChars="0"/>
              <w:rPr>
                <w:rFonts w:ascii="仿宋" w:hAnsi="仿宋" w:eastAsia="仿宋" w:cs="仿宋"/>
                <w:b/>
                <w:bCs/>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年度考核结果为不合格的，采购人有权不予支付合同剩余50%运维服务费用，同时保留追究供应商违约责任的权利。</w:t>
            </w:r>
          </w:p>
        </w:tc>
      </w:tr>
      <w:tr w14:paraId="1959DA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02" w:type="pct"/>
            <w:vAlign w:val="center"/>
          </w:tcPr>
          <w:p w14:paraId="1EC70D01">
            <w:pPr>
              <w:spacing w:line="360" w:lineRule="auto"/>
              <w:jc w:val="center"/>
              <w:rPr>
                <w:rFonts w:ascii="仿宋" w:hAnsi="仿宋" w:eastAsia="仿宋" w:cs="仿宋"/>
                <w:sz w:val="24"/>
              </w:rPr>
            </w:pPr>
            <w:r>
              <w:rPr>
                <w:rFonts w:hint="eastAsia" w:ascii="仿宋" w:hAnsi="仿宋" w:eastAsia="仿宋" w:cs="仿宋"/>
                <w:sz w:val="24"/>
              </w:rPr>
              <w:t>15</w:t>
            </w:r>
          </w:p>
        </w:tc>
        <w:tc>
          <w:tcPr>
            <w:tcW w:w="868" w:type="pct"/>
            <w:vAlign w:val="center"/>
          </w:tcPr>
          <w:p w14:paraId="18A372A6">
            <w:pPr>
              <w:spacing w:line="360" w:lineRule="auto"/>
              <w:jc w:val="center"/>
              <w:rPr>
                <w:rFonts w:ascii="仿宋" w:hAnsi="仿宋" w:eastAsia="仿宋" w:cs="仿宋"/>
                <w:sz w:val="24"/>
              </w:rPr>
            </w:pPr>
            <w:r>
              <w:rPr>
                <w:rFonts w:hint="eastAsia" w:ascii="仿宋" w:hAnsi="仿宋" w:eastAsia="仿宋" w:cs="仿宋"/>
                <w:sz w:val="24"/>
              </w:rPr>
              <w:t>供应商资格</w:t>
            </w:r>
          </w:p>
          <w:p w14:paraId="5EA27DE3">
            <w:pPr>
              <w:spacing w:line="360" w:lineRule="auto"/>
              <w:jc w:val="center"/>
              <w:rPr>
                <w:rFonts w:ascii="仿宋" w:hAnsi="仿宋" w:eastAsia="仿宋" w:cs="仿宋"/>
                <w:sz w:val="24"/>
              </w:rPr>
            </w:pPr>
            <w:r>
              <w:rPr>
                <w:rFonts w:hint="eastAsia" w:ascii="仿宋" w:hAnsi="仿宋" w:eastAsia="仿宋" w:cs="仿宋"/>
                <w:sz w:val="24"/>
              </w:rPr>
              <w:t>条件</w:t>
            </w:r>
          </w:p>
        </w:tc>
        <w:tc>
          <w:tcPr>
            <w:tcW w:w="3629" w:type="pct"/>
            <w:vAlign w:val="center"/>
          </w:tcPr>
          <w:p w14:paraId="2E750436">
            <w:pPr>
              <w:spacing w:line="360" w:lineRule="auto"/>
              <w:jc w:val="left"/>
              <w:rPr>
                <w:rFonts w:ascii="仿宋" w:hAnsi="仿宋" w:eastAsia="仿宋" w:cs="仿宋"/>
                <w:b/>
                <w:bCs/>
                <w:sz w:val="24"/>
              </w:rPr>
            </w:pPr>
            <w:r>
              <w:rPr>
                <w:rFonts w:hint="eastAsia" w:ascii="仿宋" w:hAnsi="仿宋" w:eastAsia="仿宋" w:cs="仿宋"/>
                <w:b/>
                <w:bCs/>
                <w:sz w:val="24"/>
              </w:rPr>
              <w:t>1.满足《中华人民共和国政府采购法》第二十二条规定；</w:t>
            </w:r>
          </w:p>
          <w:p w14:paraId="3D02ABA0">
            <w:pPr>
              <w:spacing w:line="360" w:lineRule="auto"/>
              <w:jc w:val="left"/>
              <w:rPr>
                <w:rFonts w:ascii="仿宋" w:hAnsi="仿宋" w:eastAsia="仿宋" w:cs="仿宋"/>
                <w:b/>
                <w:bCs/>
                <w:sz w:val="24"/>
              </w:rPr>
            </w:pPr>
            <w:r>
              <w:rPr>
                <w:rFonts w:hint="eastAsia" w:ascii="仿宋" w:hAnsi="仿宋" w:eastAsia="仿宋" w:cs="仿宋"/>
                <w:b/>
                <w:bCs/>
                <w:sz w:val="24"/>
              </w:rPr>
              <w:t>2.落实政府采购政策需满足的资格要求：</w:t>
            </w:r>
          </w:p>
          <w:p w14:paraId="2B0EC70A">
            <w:pPr>
              <w:spacing w:line="360" w:lineRule="auto"/>
              <w:jc w:val="left"/>
              <w:rPr>
                <w:rFonts w:ascii="仿宋" w:hAnsi="仿宋" w:eastAsia="仿宋" w:cs="仿宋"/>
                <w:sz w:val="24"/>
              </w:rPr>
            </w:pPr>
            <w:r>
              <w:rPr>
                <w:rFonts w:hint="eastAsia" w:ascii="仿宋" w:hAnsi="仿宋" w:eastAsia="仿宋" w:cs="仿宋"/>
                <w:sz w:val="24"/>
              </w:rPr>
              <w:t>合同包1、2、4、5、6、7、8、9、10、11落实政府采购政策需满足的资格要求如下:本项目专门面向中小企业采购。</w:t>
            </w:r>
          </w:p>
          <w:p w14:paraId="29AFFA9D">
            <w:pPr>
              <w:spacing w:line="360" w:lineRule="auto"/>
              <w:jc w:val="left"/>
              <w:rPr>
                <w:rFonts w:ascii="仿宋" w:hAnsi="仿宋" w:eastAsia="仿宋" w:cs="仿宋"/>
                <w:sz w:val="24"/>
              </w:rPr>
            </w:pPr>
            <w:r>
              <w:rPr>
                <w:rFonts w:hint="eastAsia" w:ascii="仿宋" w:hAnsi="仿宋" w:eastAsia="仿宋" w:cs="仿宋"/>
                <w:sz w:val="24"/>
              </w:rPr>
              <w:t>合同包3落实政府采购政策需满足的资格要求如下:本项目非专门面向中小企业采购。</w:t>
            </w:r>
          </w:p>
          <w:p w14:paraId="4B3B0E02">
            <w:pPr>
              <w:spacing w:line="360" w:lineRule="auto"/>
              <w:jc w:val="left"/>
              <w:rPr>
                <w:rFonts w:hint="eastAsia" w:ascii="仿宋" w:hAnsi="仿宋" w:eastAsia="仿宋" w:cs="仿宋"/>
                <w:b/>
                <w:bCs/>
                <w:sz w:val="24"/>
              </w:rPr>
            </w:pPr>
            <w:r>
              <w:rPr>
                <w:rFonts w:hint="eastAsia" w:ascii="仿宋" w:hAnsi="仿宋" w:eastAsia="仿宋" w:cs="仿宋"/>
                <w:b/>
                <w:bCs/>
                <w:sz w:val="24"/>
              </w:rPr>
              <w:t>3、合同包1、2、4、5、6、7、8、9、10、11特定资格要求如下：</w:t>
            </w:r>
          </w:p>
          <w:p w14:paraId="2351CA9A">
            <w:pPr>
              <w:spacing w:line="360" w:lineRule="auto"/>
              <w:jc w:val="left"/>
              <w:rPr>
                <w:rFonts w:hint="eastAsia" w:ascii="仿宋" w:hAnsi="仿宋" w:eastAsia="仿宋" w:cs="仿宋"/>
                <w:sz w:val="24"/>
              </w:rPr>
            </w:pPr>
            <w:r>
              <w:rPr>
                <w:rFonts w:hint="eastAsia" w:ascii="仿宋" w:hAnsi="仿宋" w:eastAsia="仿宋" w:cs="仿宋"/>
                <w:sz w:val="24"/>
              </w:rPr>
              <w:t>1、营业执照等主体资格证明文件：具有独立承担民事责任能力的法人、其他组织或自然人，提供合法有效的统一社会信用代码营业执照（事业单位法人证书/专业服务机构执业许可证/民办非企业单位登记证书，自然人提供身份证）；</w:t>
            </w:r>
          </w:p>
          <w:p w14:paraId="6555EFB4">
            <w:pPr>
              <w:spacing w:line="360" w:lineRule="auto"/>
              <w:jc w:val="left"/>
              <w:rPr>
                <w:rFonts w:hint="eastAsia" w:ascii="仿宋" w:hAnsi="仿宋" w:eastAsia="仿宋" w:cs="仿宋"/>
                <w:sz w:val="24"/>
              </w:rPr>
            </w:pPr>
            <w:r>
              <w:rPr>
                <w:rFonts w:hint="eastAsia" w:ascii="仿宋" w:hAnsi="仿宋" w:eastAsia="仿宋" w:cs="仿宋"/>
                <w:sz w:val="24"/>
              </w:rPr>
              <w:t>2、财务状况报告：提供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投标担保函（以上三种形式的资料提供任何一种即可）；</w:t>
            </w:r>
          </w:p>
          <w:p w14:paraId="221BBB20">
            <w:pPr>
              <w:spacing w:line="360" w:lineRule="auto"/>
              <w:jc w:val="left"/>
              <w:rPr>
                <w:rFonts w:hint="eastAsia" w:ascii="仿宋" w:hAnsi="仿宋" w:eastAsia="仿宋" w:cs="仿宋"/>
                <w:sz w:val="24"/>
              </w:rPr>
            </w:pPr>
            <w:r>
              <w:rPr>
                <w:rFonts w:hint="eastAsia" w:ascii="仿宋" w:hAnsi="仿宋" w:eastAsia="仿宋" w:cs="仿宋"/>
                <w:sz w:val="24"/>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6D8C167E">
            <w:pPr>
              <w:spacing w:line="360" w:lineRule="auto"/>
              <w:jc w:val="left"/>
              <w:rPr>
                <w:rFonts w:hint="eastAsia" w:ascii="仿宋" w:hAnsi="仿宋" w:eastAsia="仿宋" w:cs="仿宋"/>
                <w:sz w:val="24"/>
              </w:rPr>
            </w:pPr>
            <w:r>
              <w:rPr>
                <w:rFonts w:hint="eastAsia" w:ascii="仿宋" w:hAnsi="仿宋" w:eastAsia="仿宋" w:cs="仿宋"/>
                <w:sz w:val="24"/>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24E11D94">
            <w:pPr>
              <w:spacing w:line="360" w:lineRule="auto"/>
              <w:jc w:val="left"/>
              <w:rPr>
                <w:rFonts w:hint="eastAsia" w:ascii="仿宋" w:hAnsi="仿宋" w:eastAsia="仿宋" w:cs="仿宋"/>
                <w:sz w:val="24"/>
              </w:rPr>
            </w:pPr>
            <w:r>
              <w:rPr>
                <w:rFonts w:hint="eastAsia" w:ascii="仿宋" w:hAnsi="仿宋" w:eastAsia="仿宋" w:cs="仿宋"/>
                <w:sz w:val="24"/>
              </w:rPr>
              <w:t>5、书面声明：提供具有履行本合同所必需的专业技术能力的书面声明；</w:t>
            </w:r>
          </w:p>
          <w:p w14:paraId="45C4D448">
            <w:pPr>
              <w:spacing w:line="360" w:lineRule="auto"/>
              <w:jc w:val="left"/>
              <w:rPr>
                <w:rFonts w:hint="eastAsia" w:ascii="仿宋" w:hAnsi="仿宋" w:eastAsia="仿宋" w:cs="仿宋"/>
                <w:sz w:val="24"/>
              </w:rPr>
            </w:pPr>
            <w:r>
              <w:rPr>
                <w:rFonts w:hint="eastAsia" w:ascii="仿宋" w:hAnsi="仿宋" w:eastAsia="仿宋" w:cs="仿宋"/>
                <w:sz w:val="24"/>
              </w:rPr>
              <w:t>6、无重大违法记录声明：参加本次政府采购活动前 3 年内在经营活动中没有重大违纪，以及未被列入失信被执行人、重大税收违法失信主体、政府采购严重违法失信行为记录名单的书面声明；</w:t>
            </w:r>
          </w:p>
          <w:p w14:paraId="62092030">
            <w:pPr>
              <w:spacing w:line="360" w:lineRule="auto"/>
              <w:jc w:val="left"/>
              <w:rPr>
                <w:rFonts w:hint="eastAsia" w:ascii="仿宋" w:hAnsi="仿宋" w:eastAsia="仿宋" w:cs="仿宋"/>
                <w:sz w:val="24"/>
              </w:rPr>
            </w:pPr>
            <w:r>
              <w:rPr>
                <w:rFonts w:hint="eastAsia" w:ascii="仿宋" w:hAnsi="仿宋" w:eastAsia="仿宋" w:cs="仿宋"/>
                <w:sz w:val="24"/>
              </w:rPr>
              <w:t>7、法定代表人授权委托书：法定代表人直接参加协商的，须出具法定代表人身份证明书及身份证；授权代表参加协商的，须出具法定代表人授权书及授权代表身份证；</w:t>
            </w:r>
          </w:p>
          <w:p w14:paraId="7F932708">
            <w:pPr>
              <w:spacing w:line="360" w:lineRule="auto"/>
              <w:jc w:val="left"/>
              <w:rPr>
                <w:rFonts w:hint="eastAsia" w:ascii="仿宋" w:hAnsi="仿宋" w:eastAsia="仿宋" w:cs="仿宋"/>
                <w:sz w:val="24"/>
              </w:rPr>
            </w:pPr>
            <w:r>
              <w:rPr>
                <w:rFonts w:hint="eastAsia" w:ascii="仿宋" w:hAnsi="仿宋" w:eastAsia="仿宋" w:cs="仿宋"/>
                <w:sz w:val="24"/>
              </w:rPr>
              <w:t>8、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688AD7D4">
            <w:pPr>
              <w:spacing w:line="360" w:lineRule="auto"/>
              <w:jc w:val="left"/>
              <w:rPr>
                <w:rFonts w:hint="eastAsia" w:ascii="仿宋" w:hAnsi="仿宋" w:eastAsia="仿宋" w:cs="仿宋"/>
                <w:sz w:val="24"/>
              </w:rPr>
            </w:pPr>
            <w:r>
              <w:rPr>
                <w:rFonts w:hint="eastAsia" w:ascii="仿宋" w:hAnsi="仿宋" w:eastAsia="仿宋" w:cs="仿宋"/>
                <w:sz w:val="24"/>
              </w:rPr>
              <w:t>9、中小企业声明函：本项目专门面向中小企业采购，供应商须提供中小企业声明函；</w:t>
            </w:r>
          </w:p>
          <w:p w14:paraId="4EB5E8D7">
            <w:pPr>
              <w:spacing w:line="360" w:lineRule="auto"/>
              <w:jc w:val="left"/>
              <w:rPr>
                <w:rFonts w:hint="eastAsia" w:ascii="仿宋" w:hAnsi="仿宋" w:eastAsia="仿宋" w:cs="仿宋"/>
                <w:sz w:val="24"/>
              </w:rPr>
            </w:pPr>
            <w:r>
              <w:rPr>
                <w:rFonts w:hint="eastAsia" w:ascii="仿宋" w:hAnsi="仿宋" w:eastAsia="仿宋" w:cs="仿宋"/>
                <w:sz w:val="24"/>
              </w:rPr>
              <w:t>10、非联合体声明：本项目不接受联合体协商。</w:t>
            </w:r>
          </w:p>
          <w:p w14:paraId="03E3E42B">
            <w:pPr>
              <w:spacing w:line="360" w:lineRule="auto"/>
              <w:jc w:val="left"/>
              <w:rPr>
                <w:rFonts w:hint="eastAsia" w:ascii="仿宋" w:hAnsi="仿宋" w:eastAsia="仿宋" w:cs="仿宋"/>
                <w:b/>
                <w:bCs/>
                <w:sz w:val="24"/>
                <w:lang w:val="en-US" w:eastAsia="zh-CN"/>
              </w:rPr>
            </w:pPr>
            <w:r>
              <w:rPr>
                <w:rFonts w:hint="eastAsia" w:ascii="仿宋" w:hAnsi="仿宋" w:eastAsia="仿宋" w:cs="仿宋"/>
                <w:b/>
                <w:bCs/>
                <w:sz w:val="24"/>
                <w:lang w:val="en-US" w:eastAsia="zh-CN"/>
              </w:rPr>
              <w:t>4、合同包3特定资格要求如下：</w:t>
            </w:r>
          </w:p>
          <w:p w14:paraId="10225B3A">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1、营业执照等主体资格证明文件：具有独立承担民事责任能力的法人、其他组织或自然人，提供合法有效的统一社会信用代码营业执照（事业单位法人证书/专业服务机构执业许可证/民办非企业单位登记证书，自然人提供身份证）；</w:t>
            </w:r>
          </w:p>
          <w:p w14:paraId="79E87611">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2、财务状况报告：提供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投标担保函（以上三种形式的资料提供任何一种即可）；</w:t>
            </w:r>
          </w:p>
          <w:p w14:paraId="0946916E">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767A09F9">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52B1F299">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5、书面声明：提供具有履行本合同所必需的专业技术能力的书面声明；</w:t>
            </w:r>
          </w:p>
          <w:p w14:paraId="5650C82A">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6、无重大违法记录声明：参加本次政府采购活动前 3 年内在经营活动中没有重大违纪，以及未被列入失信被执行人、重大税收违法失信主体、政府采购严重违法失信行为记录名单的书面声明；</w:t>
            </w:r>
          </w:p>
          <w:p w14:paraId="189936EF">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7、法定代表人授权委托书：法定代表人直接参加协商的，须出具法定代表人身份证明书及身份证；授权代表参加协商的，须出具法定代表人授权书及授权代表身份证；</w:t>
            </w:r>
          </w:p>
          <w:p w14:paraId="2A28B2CB">
            <w:pPr>
              <w:spacing w:line="360" w:lineRule="auto"/>
              <w:jc w:val="left"/>
              <w:rPr>
                <w:rFonts w:hint="eastAsia" w:ascii="仿宋" w:hAnsi="仿宋" w:eastAsia="仿宋" w:cs="仿宋"/>
                <w:sz w:val="24"/>
                <w:lang w:val="en-US" w:eastAsia="zh-CN"/>
              </w:rPr>
            </w:pPr>
            <w:r>
              <w:rPr>
                <w:rFonts w:hint="eastAsia" w:ascii="仿宋" w:hAnsi="仿宋" w:eastAsia="仿宋" w:cs="仿宋"/>
                <w:sz w:val="24"/>
                <w:lang w:val="en-US" w:eastAsia="zh-CN"/>
              </w:rPr>
              <w:t>8、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48D552DB">
            <w:pPr>
              <w:spacing w:line="360" w:lineRule="auto"/>
              <w:jc w:val="left"/>
              <w:rPr>
                <w:rFonts w:ascii="仿宋" w:hAnsi="仿宋" w:eastAsia="仿宋" w:cs="仿宋"/>
                <w:sz w:val="24"/>
              </w:rPr>
            </w:pPr>
            <w:r>
              <w:rPr>
                <w:rFonts w:hint="eastAsia" w:ascii="仿宋" w:hAnsi="仿宋" w:eastAsia="仿宋" w:cs="仿宋"/>
                <w:sz w:val="24"/>
                <w:lang w:val="en-US" w:eastAsia="zh-CN"/>
              </w:rPr>
              <w:t>9、非联合体声明：本项目不接受联合体协商。</w:t>
            </w:r>
          </w:p>
          <w:p w14:paraId="656CDC35">
            <w:pPr>
              <w:spacing w:line="360" w:lineRule="auto"/>
              <w:jc w:val="left"/>
              <w:rPr>
                <w:rFonts w:ascii="仿宋" w:hAnsi="仿宋" w:eastAsia="仿宋" w:cs="仿宋"/>
                <w:sz w:val="24"/>
              </w:rPr>
            </w:pPr>
            <w:r>
              <w:rPr>
                <w:rFonts w:hint="eastAsia" w:ascii="仿宋" w:hAnsi="仿宋" w:eastAsia="仿宋" w:cs="仿宋"/>
                <w:b/>
                <w:bCs/>
                <w:sz w:val="24"/>
              </w:rPr>
              <w:t>备注：以上资格证明文件（除信用查询结果外）供应商必须完全提供，复印件胶装在响应文件中并加盖单位公章（如相关证明材料由第三方出具，应有第三方公章），缺项或未按要求响应的视为无效响应，不通过资格性审查。</w:t>
            </w:r>
          </w:p>
        </w:tc>
      </w:tr>
      <w:tr w14:paraId="5D91EA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1" w:hRule="atLeast"/>
          <w:jc w:val="center"/>
        </w:trPr>
        <w:tc>
          <w:tcPr>
            <w:tcW w:w="502" w:type="pct"/>
            <w:vAlign w:val="center"/>
          </w:tcPr>
          <w:p w14:paraId="7D953820">
            <w:pPr>
              <w:spacing w:line="360" w:lineRule="auto"/>
              <w:jc w:val="center"/>
              <w:rPr>
                <w:rFonts w:ascii="仿宋" w:hAnsi="仿宋" w:eastAsia="仿宋" w:cs="仿宋"/>
                <w:sz w:val="24"/>
              </w:rPr>
            </w:pPr>
            <w:r>
              <w:rPr>
                <w:rFonts w:hint="eastAsia" w:ascii="仿宋" w:hAnsi="仿宋" w:eastAsia="仿宋" w:cs="仿宋"/>
                <w:sz w:val="24"/>
              </w:rPr>
              <w:t>16</w:t>
            </w:r>
          </w:p>
        </w:tc>
        <w:tc>
          <w:tcPr>
            <w:tcW w:w="868" w:type="pct"/>
          </w:tcPr>
          <w:p w14:paraId="78D0F746">
            <w:pPr>
              <w:spacing w:line="360" w:lineRule="auto"/>
              <w:jc w:val="center"/>
              <w:rPr>
                <w:rFonts w:ascii="仿宋" w:hAnsi="仿宋" w:eastAsia="仿宋" w:cs="仿宋"/>
                <w:sz w:val="24"/>
              </w:rPr>
            </w:pPr>
            <w:r>
              <w:rPr>
                <w:rFonts w:hint="eastAsia" w:ascii="仿宋" w:hAnsi="仿宋" w:eastAsia="仿宋" w:cs="仿宋"/>
                <w:sz w:val="24"/>
              </w:rPr>
              <w:t>是否接受联合体协商</w:t>
            </w:r>
          </w:p>
        </w:tc>
        <w:tc>
          <w:tcPr>
            <w:tcW w:w="3629" w:type="pct"/>
            <w:vAlign w:val="center"/>
          </w:tcPr>
          <w:p w14:paraId="4108ABB6">
            <w:pPr>
              <w:spacing w:line="360" w:lineRule="auto"/>
              <w:rPr>
                <w:rFonts w:ascii="仿宋" w:hAnsi="仿宋" w:eastAsia="仿宋" w:cs="仿宋"/>
                <w:sz w:val="24"/>
              </w:rPr>
            </w:pPr>
            <w:r>
              <w:rPr>
                <w:rFonts w:hint="eastAsia" w:ascii="仿宋" w:hAnsi="仿宋" w:eastAsia="仿宋" w:cs="仿宋"/>
                <w:sz w:val="24"/>
              </w:rPr>
              <w:t>不接受</w:t>
            </w:r>
          </w:p>
        </w:tc>
      </w:tr>
      <w:tr w14:paraId="182331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02" w:type="pct"/>
            <w:vAlign w:val="center"/>
          </w:tcPr>
          <w:p w14:paraId="1040AE91">
            <w:pPr>
              <w:spacing w:line="360" w:lineRule="auto"/>
              <w:jc w:val="center"/>
              <w:rPr>
                <w:rFonts w:ascii="仿宋" w:hAnsi="仿宋" w:eastAsia="仿宋" w:cs="仿宋"/>
                <w:sz w:val="24"/>
              </w:rPr>
            </w:pPr>
            <w:r>
              <w:rPr>
                <w:rFonts w:hint="eastAsia" w:ascii="仿宋" w:hAnsi="仿宋" w:eastAsia="仿宋" w:cs="仿宋"/>
                <w:sz w:val="24"/>
              </w:rPr>
              <w:t>17</w:t>
            </w:r>
          </w:p>
        </w:tc>
        <w:tc>
          <w:tcPr>
            <w:tcW w:w="868" w:type="pct"/>
            <w:vAlign w:val="center"/>
          </w:tcPr>
          <w:p w14:paraId="41BF6BF6">
            <w:pPr>
              <w:spacing w:line="360" w:lineRule="auto"/>
              <w:jc w:val="center"/>
              <w:rPr>
                <w:rFonts w:ascii="仿宋" w:hAnsi="仿宋" w:eastAsia="仿宋" w:cs="仿宋"/>
                <w:sz w:val="24"/>
              </w:rPr>
            </w:pPr>
            <w:r>
              <w:rPr>
                <w:rFonts w:hint="eastAsia" w:ascii="仿宋" w:hAnsi="仿宋" w:eastAsia="仿宋" w:cs="仿宋"/>
                <w:sz w:val="24"/>
              </w:rPr>
              <w:t>现场考察</w:t>
            </w:r>
          </w:p>
        </w:tc>
        <w:tc>
          <w:tcPr>
            <w:tcW w:w="3629" w:type="pct"/>
            <w:vAlign w:val="center"/>
          </w:tcPr>
          <w:p w14:paraId="4D194C0B">
            <w:pPr>
              <w:spacing w:line="360" w:lineRule="auto"/>
              <w:jc w:val="left"/>
              <w:rPr>
                <w:rFonts w:ascii="仿宋" w:hAnsi="仿宋" w:eastAsia="仿宋" w:cs="仿宋"/>
                <w:sz w:val="24"/>
              </w:rPr>
            </w:pPr>
            <w:r>
              <w:rPr>
                <w:rFonts w:hint="eastAsia" w:ascii="仿宋" w:hAnsi="仿宋" w:eastAsia="仿宋" w:cs="仿宋"/>
                <w:sz w:val="24"/>
              </w:rPr>
              <w:t>不组织</w:t>
            </w:r>
          </w:p>
        </w:tc>
      </w:tr>
      <w:tr w14:paraId="247D29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1" w:hRule="atLeast"/>
          <w:jc w:val="center"/>
        </w:trPr>
        <w:tc>
          <w:tcPr>
            <w:tcW w:w="502" w:type="pct"/>
            <w:vAlign w:val="center"/>
          </w:tcPr>
          <w:p w14:paraId="198DC8B5">
            <w:pPr>
              <w:spacing w:line="360" w:lineRule="auto"/>
              <w:jc w:val="center"/>
              <w:rPr>
                <w:rFonts w:ascii="仿宋" w:hAnsi="仿宋" w:eastAsia="仿宋" w:cs="仿宋"/>
                <w:sz w:val="24"/>
              </w:rPr>
            </w:pPr>
            <w:r>
              <w:rPr>
                <w:rFonts w:hint="eastAsia" w:ascii="仿宋" w:hAnsi="仿宋" w:eastAsia="仿宋" w:cs="仿宋"/>
                <w:sz w:val="24"/>
              </w:rPr>
              <w:t>18</w:t>
            </w:r>
          </w:p>
        </w:tc>
        <w:tc>
          <w:tcPr>
            <w:tcW w:w="868" w:type="pct"/>
            <w:vAlign w:val="center"/>
          </w:tcPr>
          <w:p w14:paraId="028E729F">
            <w:pPr>
              <w:spacing w:line="360" w:lineRule="auto"/>
              <w:jc w:val="center"/>
              <w:rPr>
                <w:rFonts w:ascii="仿宋" w:hAnsi="仿宋" w:eastAsia="仿宋" w:cs="仿宋"/>
                <w:sz w:val="24"/>
              </w:rPr>
            </w:pPr>
            <w:r>
              <w:rPr>
                <w:rFonts w:hint="eastAsia" w:ascii="仿宋" w:hAnsi="仿宋" w:eastAsia="仿宋" w:cs="仿宋"/>
                <w:sz w:val="24"/>
              </w:rPr>
              <w:t>协商前答疑会</w:t>
            </w:r>
          </w:p>
        </w:tc>
        <w:tc>
          <w:tcPr>
            <w:tcW w:w="3629" w:type="pct"/>
            <w:vAlign w:val="center"/>
          </w:tcPr>
          <w:p w14:paraId="03BC49EF">
            <w:pPr>
              <w:spacing w:line="360" w:lineRule="auto"/>
              <w:jc w:val="left"/>
              <w:rPr>
                <w:rFonts w:ascii="仿宋" w:hAnsi="仿宋" w:eastAsia="仿宋" w:cs="仿宋"/>
                <w:sz w:val="24"/>
              </w:rPr>
            </w:pPr>
            <w:r>
              <w:rPr>
                <w:rFonts w:hint="eastAsia" w:ascii="仿宋" w:hAnsi="仿宋" w:eastAsia="仿宋" w:cs="仿宋"/>
                <w:sz w:val="24"/>
              </w:rPr>
              <w:t>不组织</w:t>
            </w:r>
          </w:p>
        </w:tc>
      </w:tr>
      <w:tr w14:paraId="0BD132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06" w:hRule="atLeast"/>
          <w:jc w:val="center"/>
        </w:trPr>
        <w:tc>
          <w:tcPr>
            <w:tcW w:w="502" w:type="pct"/>
            <w:vAlign w:val="center"/>
          </w:tcPr>
          <w:p w14:paraId="67B79D82">
            <w:pPr>
              <w:spacing w:line="360" w:lineRule="auto"/>
              <w:jc w:val="center"/>
              <w:rPr>
                <w:rFonts w:ascii="仿宋" w:hAnsi="仿宋" w:eastAsia="仿宋" w:cs="仿宋"/>
                <w:sz w:val="24"/>
              </w:rPr>
            </w:pPr>
            <w:r>
              <w:rPr>
                <w:rFonts w:hint="eastAsia" w:ascii="仿宋" w:hAnsi="仿宋" w:eastAsia="仿宋" w:cs="仿宋"/>
                <w:sz w:val="24"/>
              </w:rPr>
              <w:t>19</w:t>
            </w:r>
          </w:p>
        </w:tc>
        <w:tc>
          <w:tcPr>
            <w:tcW w:w="868" w:type="pct"/>
            <w:vAlign w:val="center"/>
          </w:tcPr>
          <w:p w14:paraId="2A287AF3">
            <w:pPr>
              <w:spacing w:line="500" w:lineRule="exact"/>
              <w:jc w:val="center"/>
              <w:rPr>
                <w:rFonts w:ascii="仿宋" w:hAnsi="仿宋" w:eastAsia="仿宋" w:cs="仿宋"/>
                <w:sz w:val="24"/>
              </w:rPr>
            </w:pPr>
            <w:r>
              <w:rPr>
                <w:rFonts w:hint="eastAsia" w:ascii="仿宋" w:hAnsi="仿宋" w:eastAsia="仿宋" w:cs="仿宋"/>
                <w:sz w:val="24"/>
              </w:rPr>
              <w:t>供应商质疑</w:t>
            </w:r>
          </w:p>
        </w:tc>
        <w:tc>
          <w:tcPr>
            <w:tcW w:w="3629" w:type="pct"/>
            <w:vAlign w:val="center"/>
          </w:tcPr>
          <w:p w14:paraId="2DEF1D8A">
            <w:pPr>
              <w:spacing w:line="500" w:lineRule="exact"/>
              <w:rPr>
                <w:rFonts w:ascii="仿宋" w:hAnsi="仿宋" w:eastAsia="仿宋" w:cs="仿宋"/>
                <w:sz w:val="24"/>
              </w:rPr>
            </w:pPr>
            <w:r>
              <w:rPr>
                <w:rFonts w:hint="eastAsia" w:ascii="仿宋" w:hAnsi="仿宋" w:eastAsia="仿宋" w:cs="仿宋"/>
                <w:sz w:val="24"/>
              </w:rPr>
              <w:t>已经购买采购文件的供应商认为采购文件、采购过程和中标、成交结果使自己的权益受到损害的，可以在知道或者应知其权益受到损害之日起七个工作日内，一次性提出针对同一采购程序环节的书面质疑。采购人或采购代理机构将在收到供应商的书面质疑后七个工作日内作出答复。</w:t>
            </w:r>
          </w:p>
        </w:tc>
      </w:tr>
      <w:tr w14:paraId="30CDAE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02" w:type="pct"/>
            <w:vAlign w:val="center"/>
          </w:tcPr>
          <w:p w14:paraId="162814DB">
            <w:pPr>
              <w:spacing w:line="360" w:lineRule="auto"/>
              <w:jc w:val="center"/>
              <w:rPr>
                <w:rFonts w:ascii="仿宋" w:hAnsi="仿宋" w:eastAsia="仿宋" w:cs="仿宋"/>
                <w:sz w:val="24"/>
              </w:rPr>
            </w:pPr>
            <w:r>
              <w:rPr>
                <w:rFonts w:hint="eastAsia" w:ascii="仿宋" w:hAnsi="仿宋" w:eastAsia="仿宋" w:cs="仿宋"/>
                <w:sz w:val="24"/>
              </w:rPr>
              <w:t>20</w:t>
            </w:r>
          </w:p>
        </w:tc>
        <w:tc>
          <w:tcPr>
            <w:tcW w:w="868" w:type="pct"/>
            <w:vAlign w:val="center"/>
          </w:tcPr>
          <w:p w14:paraId="05872902">
            <w:pPr>
              <w:spacing w:line="360" w:lineRule="auto"/>
              <w:jc w:val="center"/>
              <w:rPr>
                <w:rFonts w:ascii="仿宋" w:hAnsi="仿宋" w:eastAsia="仿宋" w:cs="仿宋"/>
                <w:sz w:val="24"/>
              </w:rPr>
            </w:pPr>
            <w:r>
              <w:rPr>
                <w:rFonts w:hint="eastAsia" w:ascii="仿宋" w:hAnsi="仿宋" w:eastAsia="仿宋" w:cs="仿宋"/>
                <w:sz w:val="24"/>
              </w:rPr>
              <w:t>供应商询问</w:t>
            </w:r>
          </w:p>
        </w:tc>
        <w:tc>
          <w:tcPr>
            <w:tcW w:w="3629" w:type="pct"/>
            <w:vAlign w:val="center"/>
          </w:tcPr>
          <w:p w14:paraId="1FB7CD23">
            <w:pPr>
              <w:spacing w:line="360" w:lineRule="auto"/>
              <w:rPr>
                <w:rFonts w:ascii="仿宋" w:hAnsi="仿宋" w:eastAsia="仿宋" w:cs="仿宋"/>
                <w:sz w:val="24"/>
              </w:rPr>
            </w:pPr>
            <w:r>
              <w:rPr>
                <w:rFonts w:hint="eastAsia" w:ascii="仿宋" w:hAnsi="仿宋" w:eastAsia="仿宋" w:cs="仿宋"/>
                <w:sz w:val="24"/>
              </w:rPr>
              <w:t>供应商对政府采购活动事项有疑问的，可以向采购人或采购代理机构提出询问，采购人或采购代理机构将在三个工作日内答复。</w:t>
            </w:r>
          </w:p>
        </w:tc>
      </w:tr>
      <w:tr w14:paraId="6E6403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03" w:hRule="atLeast"/>
          <w:jc w:val="center"/>
        </w:trPr>
        <w:tc>
          <w:tcPr>
            <w:tcW w:w="502" w:type="pct"/>
            <w:vAlign w:val="center"/>
          </w:tcPr>
          <w:p w14:paraId="4D11D072">
            <w:pPr>
              <w:spacing w:line="360" w:lineRule="auto"/>
              <w:jc w:val="center"/>
              <w:rPr>
                <w:rFonts w:ascii="仿宋" w:hAnsi="仿宋" w:eastAsia="仿宋" w:cs="仿宋"/>
                <w:sz w:val="24"/>
              </w:rPr>
            </w:pPr>
            <w:r>
              <w:rPr>
                <w:rFonts w:hint="eastAsia" w:ascii="仿宋" w:hAnsi="仿宋" w:eastAsia="仿宋" w:cs="仿宋"/>
                <w:sz w:val="24"/>
              </w:rPr>
              <w:t>21</w:t>
            </w:r>
          </w:p>
        </w:tc>
        <w:tc>
          <w:tcPr>
            <w:tcW w:w="868" w:type="pct"/>
            <w:vAlign w:val="center"/>
          </w:tcPr>
          <w:p w14:paraId="503010CA">
            <w:pPr>
              <w:spacing w:line="360" w:lineRule="auto"/>
              <w:jc w:val="center"/>
              <w:rPr>
                <w:rFonts w:ascii="仿宋" w:hAnsi="仿宋" w:eastAsia="仿宋" w:cs="仿宋"/>
                <w:sz w:val="24"/>
              </w:rPr>
            </w:pPr>
            <w:r>
              <w:rPr>
                <w:rFonts w:hint="eastAsia" w:ascii="仿宋" w:hAnsi="仿宋" w:eastAsia="仿宋" w:cs="仿宋"/>
                <w:sz w:val="24"/>
              </w:rPr>
              <w:t>协商有效期</w:t>
            </w:r>
          </w:p>
        </w:tc>
        <w:tc>
          <w:tcPr>
            <w:tcW w:w="3629" w:type="pct"/>
            <w:vAlign w:val="center"/>
          </w:tcPr>
          <w:p w14:paraId="76622BDF">
            <w:pPr>
              <w:spacing w:line="360" w:lineRule="auto"/>
              <w:jc w:val="left"/>
              <w:rPr>
                <w:rFonts w:ascii="仿宋" w:hAnsi="仿宋" w:eastAsia="仿宋" w:cs="仿宋"/>
                <w:sz w:val="24"/>
              </w:rPr>
            </w:pPr>
            <w:r>
              <w:rPr>
                <w:rFonts w:hint="eastAsia" w:ascii="仿宋" w:hAnsi="仿宋" w:eastAsia="仿宋" w:cs="仿宋"/>
                <w:sz w:val="24"/>
              </w:rPr>
              <w:t>90日历天（自协商截止之日算起）</w:t>
            </w:r>
          </w:p>
        </w:tc>
      </w:tr>
      <w:tr w14:paraId="6BF11D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5" w:hRule="atLeast"/>
          <w:jc w:val="center"/>
        </w:trPr>
        <w:tc>
          <w:tcPr>
            <w:tcW w:w="502" w:type="pct"/>
            <w:vAlign w:val="center"/>
          </w:tcPr>
          <w:p w14:paraId="768B3800">
            <w:pPr>
              <w:spacing w:line="360" w:lineRule="auto"/>
              <w:jc w:val="center"/>
              <w:rPr>
                <w:rFonts w:ascii="仿宋" w:hAnsi="仿宋" w:eastAsia="仿宋" w:cs="仿宋"/>
                <w:sz w:val="24"/>
              </w:rPr>
            </w:pPr>
            <w:r>
              <w:rPr>
                <w:rFonts w:hint="eastAsia" w:ascii="仿宋" w:hAnsi="仿宋" w:eastAsia="仿宋" w:cs="仿宋"/>
                <w:sz w:val="24"/>
              </w:rPr>
              <w:t>22</w:t>
            </w:r>
          </w:p>
        </w:tc>
        <w:tc>
          <w:tcPr>
            <w:tcW w:w="868" w:type="pct"/>
            <w:vAlign w:val="center"/>
          </w:tcPr>
          <w:p w14:paraId="15AA0211">
            <w:pPr>
              <w:spacing w:line="360" w:lineRule="auto"/>
              <w:jc w:val="center"/>
              <w:rPr>
                <w:rFonts w:ascii="仿宋" w:hAnsi="仿宋" w:eastAsia="仿宋" w:cs="仿宋"/>
                <w:sz w:val="24"/>
              </w:rPr>
            </w:pPr>
            <w:r>
              <w:rPr>
                <w:rFonts w:hint="eastAsia" w:ascii="仿宋" w:hAnsi="仿宋" w:eastAsia="仿宋" w:cs="仿宋"/>
                <w:sz w:val="24"/>
              </w:rPr>
              <w:t>报价要求</w:t>
            </w:r>
          </w:p>
        </w:tc>
        <w:tc>
          <w:tcPr>
            <w:tcW w:w="3629" w:type="pct"/>
            <w:vAlign w:val="center"/>
          </w:tcPr>
          <w:p w14:paraId="76AB037D">
            <w:pPr>
              <w:spacing w:line="360" w:lineRule="auto"/>
              <w:ind w:left="-1" w:leftChars="-13" w:hanging="26" w:hangingChars="11"/>
              <w:rPr>
                <w:rFonts w:ascii="仿宋" w:hAnsi="仿宋" w:eastAsia="仿宋" w:cs="仿宋"/>
                <w:sz w:val="24"/>
              </w:rPr>
            </w:pPr>
            <w:r>
              <w:rPr>
                <w:rFonts w:hint="eastAsia" w:ascii="仿宋" w:hAnsi="仿宋" w:eastAsia="仿宋" w:cs="仿宋"/>
                <w:sz w:val="24"/>
              </w:rPr>
              <w:t>总价及分项报价</w:t>
            </w:r>
          </w:p>
          <w:p w14:paraId="610C6D17">
            <w:pPr>
              <w:spacing w:line="360" w:lineRule="auto"/>
              <w:ind w:left="360" w:hanging="360" w:hangingChars="150"/>
              <w:rPr>
                <w:rFonts w:ascii="仿宋" w:hAnsi="仿宋" w:eastAsia="仿宋" w:cs="仿宋"/>
                <w:sz w:val="24"/>
              </w:rPr>
            </w:pPr>
            <w:r>
              <w:rPr>
                <w:rFonts w:hint="eastAsia" w:ascii="仿宋" w:hAnsi="仿宋" w:eastAsia="仿宋" w:cs="仿宋"/>
                <w:sz w:val="24"/>
              </w:rPr>
              <w:t>1）报价应包含完成该项目工作所发生的全部费用以及供应商利润、税金和政策性文件规定及合同包含的所有风险、责任等一切费用；</w:t>
            </w:r>
          </w:p>
          <w:p w14:paraId="0FECF48A">
            <w:pPr>
              <w:spacing w:line="360" w:lineRule="auto"/>
              <w:ind w:left="360" w:hanging="360" w:hangingChars="150"/>
              <w:rPr>
                <w:rFonts w:ascii="仿宋" w:hAnsi="仿宋" w:eastAsia="仿宋" w:cs="仿宋"/>
                <w:sz w:val="24"/>
              </w:rPr>
            </w:pPr>
            <w:r>
              <w:rPr>
                <w:rFonts w:hint="eastAsia" w:ascii="仿宋" w:hAnsi="仿宋" w:eastAsia="仿宋" w:cs="仿宋"/>
                <w:sz w:val="24"/>
              </w:rPr>
              <w:t>2）供应商必须对所投项目全部内容进行完整报价，并列出明细及价格组成。采购人不接受（将拒绝）只对项目部分内容进行报价的协商。</w:t>
            </w:r>
          </w:p>
        </w:tc>
      </w:tr>
      <w:tr w14:paraId="1BCBBD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502" w:type="pct"/>
            <w:vAlign w:val="center"/>
          </w:tcPr>
          <w:p w14:paraId="0ED59666">
            <w:pPr>
              <w:spacing w:line="360" w:lineRule="auto"/>
              <w:jc w:val="center"/>
              <w:rPr>
                <w:rFonts w:ascii="仿宋" w:hAnsi="仿宋" w:eastAsia="仿宋" w:cs="仿宋"/>
                <w:sz w:val="24"/>
              </w:rPr>
            </w:pPr>
            <w:r>
              <w:rPr>
                <w:rFonts w:hint="eastAsia" w:ascii="仿宋" w:hAnsi="仿宋" w:eastAsia="仿宋" w:cs="仿宋"/>
                <w:sz w:val="24"/>
              </w:rPr>
              <w:t>23</w:t>
            </w:r>
          </w:p>
        </w:tc>
        <w:tc>
          <w:tcPr>
            <w:tcW w:w="868" w:type="pct"/>
            <w:vAlign w:val="center"/>
          </w:tcPr>
          <w:p w14:paraId="7E6911DD">
            <w:pPr>
              <w:spacing w:line="360" w:lineRule="auto"/>
              <w:jc w:val="center"/>
              <w:rPr>
                <w:rFonts w:ascii="仿宋" w:hAnsi="仿宋" w:eastAsia="仿宋" w:cs="仿宋"/>
                <w:sz w:val="24"/>
              </w:rPr>
            </w:pPr>
            <w:r>
              <w:rPr>
                <w:rFonts w:hint="eastAsia" w:ascii="仿宋" w:hAnsi="仿宋" w:eastAsia="仿宋" w:cs="仿宋"/>
                <w:sz w:val="24"/>
              </w:rPr>
              <w:t>是否允许</w:t>
            </w:r>
          </w:p>
          <w:p w14:paraId="675F06EC">
            <w:pPr>
              <w:spacing w:line="360" w:lineRule="auto"/>
              <w:jc w:val="center"/>
              <w:rPr>
                <w:rFonts w:ascii="仿宋" w:hAnsi="仿宋" w:eastAsia="仿宋" w:cs="仿宋"/>
                <w:sz w:val="24"/>
              </w:rPr>
            </w:pPr>
            <w:r>
              <w:rPr>
                <w:rFonts w:hint="eastAsia" w:ascii="仿宋" w:hAnsi="仿宋" w:eastAsia="仿宋" w:cs="仿宋"/>
                <w:sz w:val="24"/>
              </w:rPr>
              <w:t>备选协商方案</w:t>
            </w:r>
          </w:p>
        </w:tc>
        <w:tc>
          <w:tcPr>
            <w:tcW w:w="3629" w:type="pct"/>
            <w:vAlign w:val="center"/>
          </w:tcPr>
          <w:p w14:paraId="7BEC08E5">
            <w:pPr>
              <w:spacing w:line="360" w:lineRule="auto"/>
              <w:ind w:left="360" w:hanging="360" w:hangingChars="150"/>
              <w:rPr>
                <w:rFonts w:ascii="仿宋" w:hAnsi="仿宋" w:eastAsia="仿宋" w:cs="仿宋"/>
                <w:sz w:val="24"/>
              </w:rPr>
            </w:pPr>
            <w:r>
              <w:rPr>
                <w:rFonts w:hint="eastAsia" w:ascii="仿宋" w:hAnsi="仿宋" w:eastAsia="仿宋" w:cs="仿宋"/>
                <w:sz w:val="24"/>
              </w:rPr>
              <w:t>否</w:t>
            </w:r>
          </w:p>
        </w:tc>
      </w:tr>
      <w:tr w14:paraId="0E0831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02" w:type="pct"/>
            <w:vAlign w:val="center"/>
          </w:tcPr>
          <w:p w14:paraId="118976DF">
            <w:pPr>
              <w:spacing w:line="360" w:lineRule="auto"/>
              <w:jc w:val="center"/>
              <w:rPr>
                <w:rFonts w:ascii="仿宋" w:hAnsi="仿宋" w:eastAsia="仿宋" w:cs="仿宋"/>
                <w:sz w:val="24"/>
              </w:rPr>
            </w:pPr>
            <w:r>
              <w:rPr>
                <w:rFonts w:hint="eastAsia" w:ascii="仿宋" w:hAnsi="仿宋" w:eastAsia="仿宋" w:cs="仿宋"/>
                <w:sz w:val="24"/>
              </w:rPr>
              <w:t>24</w:t>
            </w:r>
          </w:p>
        </w:tc>
        <w:tc>
          <w:tcPr>
            <w:tcW w:w="868" w:type="pct"/>
            <w:vAlign w:val="center"/>
          </w:tcPr>
          <w:p w14:paraId="5FE85900">
            <w:pPr>
              <w:spacing w:line="360" w:lineRule="auto"/>
              <w:jc w:val="center"/>
              <w:rPr>
                <w:rFonts w:ascii="仿宋" w:hAnsi="仿宋" w:eastAsia="仿宋" w:cs="仿宋"/>
                <w:sz w:val="24"/>
              </w:rPr>
            </w:pPr>
            <w:r>
              <w:rPr>
                <w:rFonts w:hint="eastAsia" w:ascii="仿宋" w:hAnsi="仿宋" w:eastAsia="仿宋" w:cs="仿宋"/>
                <w:sz w:val="24"/>
              </w:rPr>
              <w:t>协商保证金</w:t>
            </w:r>
          </w:p>
        </w:tc>
        <w:tc>
          <w:tcPr>
            <w:tcW w:w="3629" w:type="pct"/>
            <w:shd w:val="clear" w:color="auto" w:fill="auto"/>
            <w:vAlign w:val="center"/>
          </w:tcPr>
          <w:p w14:paraId="11B1EF16">
            <w:pPr>
              <w:pStyle w:val="42"/>
              <w:ind w:firstLine="0" w:firstLineChars="0"/>
              <w:rPr>
                <w:rFonts w:hint="default" w:ascii="仿宋" w:hAnsi="仿宋" w:cs="仿宋"/>
                <w:sz w:val="24"/>
              </w:rPr>
            </w:pPr>
            <w:r>
              <w:rPr>
                <w:rFonts w:ascii="仿宋" w:hAnsi="仿宋" w:cs="仿宋"/>
                <w:sz w:val="24"/>
              </w:rPr>
              <w:t>不缴纳</w:t>
            </w:r>
          </w:p>
        </w:tc>
      </w:tr>
      <w:tr w14:paraId="29B0B5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502" w:type="pct"/>
            <w:vAlign w:val="center"/>
          </w:tcPr>
          <w:p w14:paraId="3504A6E1">
            <w:pPr>
              <w:spacing w:line="360" w:lineRule="auto"/>
              <w:jc w:val="center"/>
              <w:rPr>
                <w:rFonts w:ascii="仿宋" w:hAnsi="仿宋" w:eastAsia="仿宋" w:cs="仿宋"/>
                <w:sz w:val="24"/>
              </w:rPr>
            </w:pPr>
            <w:r>
              <w:rPr>
                <w:rFonts w:hint="eastAsia" w:ascii="仿宋" w:hAnsi="仿宋" w:eastAsia="仿宋" w:cs="仿宋"/>
                <w:sz w:val="24"/>
              </w:rPr>
              <w:t>25</w:t>
            </w:r>
          </w:p>
        </w:tc>
        <w:tc>
          <w:tcPr>
            <w:tcW w:w="868" w:type="pct"/>
            <w:vAlign w:val="center"/>
          </w:tcPr>
          <w:p w14:paraId="13A0487F">
            <w:pPr>
              <w:spacing w:line="360" w:lineRule="auto"/>
              <w:jc w:val="center"/>
              <w:rPr>
                <w:rFonts w:ascii="仿宋" w:hAnsi="仿宋" w:eastAsia="仿宋" w:cs="仿宋"/>
                <w:sz w:val="24"/>
              </w:rPr>
            </w:pPr>
            <w:r>
              <w:rPr>
                <w:rFonts w:hint="eastAsia" w:ascii="仿宋" w:hAnsi="仿宋" w:eastAsia="仿宋" w:cs="仿宋"/>
                <w:sz w:val="24"/>
              </w:rPr>
              <w:t>履约保证金</w:t>
            </w:r>
          </w:p>
        </w:tc>
        <w:tc>
          <w:tcPr>
            <w:tcW w:w="3629" w:type="pct"/>
            <w:vAlign w:val="center"/>
          </w:tcPr>
          <w:p w14:paraId="0972F8A8">
            <w:pPr>
              <w:tabs>
                <w:tab w:val="left" w:pos="1180"/>
              </w:tabs>
              <w:spacing w:line="360" w:lineRule="auto"/>
              <w:rPr>
                <w:rFonts w:ascii="仿宋" w:hAnsi="仿宋" w:eastAsia="仿宋" w:cs="仿宋"/>
                <w:sz w:val="24"/>
              </w:rPr>
            </w:pPr>
            <w:r>
              <w:rPr>
                <w:rFonts w:hint="eastAsia" w:ascii="仿宋" w:hAnsi="仿宋" w:eastAsia="仿宋" w:cs="仿宋"/>
                <w:sz w:val="24"/>
              </w:rPr>
              <w:t>无</w:t>
            </w:r>
          </w:p>
        </w:tc>
      </w:tr>
      <w:tr w14:paraId="241839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1" w:hRule="atLeast"/>
          <w:jc w:val="center"/>
        </w:trPr>
        <w:tc>
          <w:tcPr>
            <w:tcW w:w="502" w:type="pct"/>
            <w:vAlign w:val="center"/>
          </w:tcPr>
          <w:p w14:paraId="0C7EE2C4">
            <w:pPr>
              <w:spacing w:line="360" w:lineRule="auto"/>
              <w:jc w:val="center"/>
              <w:rPr>
                <w:rFonts w:ascii="仿宋" w:hAnsi="仿宋" w:eastAsia="仿宋" w:cs="仿宋"/>
                <w:sz w:val="24"/>
              </w:rPr>
            </w:pPr>
            <w:r>
              <w:rPr>
                <w:rFonts w:hint="eastAsia" w:ascii="仿宋" w:hAnsi="仿宋" w:eastAsia="仿宋" w:cs="仿宋"/>
                <w:sz w:val="24"/>
              </w:rPr>
              <w:t>26</w:t>
            </w:r>
          </w:p>
        </w:tc>
        <w:tc>
          <w:tcPr>
            <w:tcW w:w="868" w:type="pct"/>
            <w:vAlign w:val="center"/>
          </w:tcPr>
          <w:p w14:paraId="2509908E">
            <w:pPr>
              <w:spacing w:line="500" w:lineRule="exact"/>
              <w:jc w:val="center"/>
              <w:rPr>
                <w:rFonts w:ascii="仿宋" w:hAnsi="仿宋" w:eastAsia="仿宋" w:cs="仿宋"/>
                <w:sz w:val="24"/>
              </w:rPr>
            </w:pPr>
            <w:r>
              <w:rPr>
                <w:rFonts w:hint="eastAsia" w:ascii="仿宋" w:hAnsi="仿宋" w:eastAsia="仿宋" w:cs="仿宋"/>
                <w:sz w:val="24"/>
              </w:rPr>
              <w:t>签字或盖章要求</w:t>
            </w:r>
          </w:p>
        </w:tc>
        <w:tc>
          <w:tcPr>
            <w:tcW w:w="3629" w:type="pct"/>
            <w:vAlign w:val="center"/>
          </w:tcPr>
          <w:p w14:paraId="1C6A9E93">
            <w:pPr>
              <w:spacing w:line="500" w:lineRule="exact"/>
              <w:jc w:val="left"/>
              <w:rPr>
                <w:rFonts w:ascii="仿宋" w:hAnsi="仿宋" w:eastAsia="仿宋" w:cs="仿宋"/>
                <w:sz w:val="24"/>
              </w:rPr>
            </w:pPr>
            <w:r>
              <w:rPr>
                <w:rFonts w:hint="eastAsia" w:ascii="仿宋" w:hAnsi="仿宋" w:eastAsia="仿宋" w:cs="仿宋"/>
                <w:sz w:val="24"/>
              </w:rPr>
              <w:t xml:space="preserve">响应文件中要求盖章签字的地方，均应按采购文件要求签字或盖章。副本可以为正本的复印件。 </w:t>
            </w:r>
          </w:p>
        </w:tc>
      </w:tr>
      <w:tr w14:paraId="120FF6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4" w:hRule="atLeast"/>
          <w:jc w:val="center"/>
        </w:trPr>
        <w:tc>
          <w:tcPr>
            <w:tcW w:w="502" w:type="pct"/>
            <w:vAlign w:val="center"/>
          </w:tcPr>
          <w:p w14:paraId="4F786B62">
            <w:pPr>
              <w:spacing w:line="360" w:lineRule="auto"/>
              <w:jc w:val="center"/>
              <w:rPr>
                <w:rFonts w:ascii="仿宋" w:hAnsi="仿宋" w:eastAsia="仿宋" w:cs="仿宋"/>
                <w:sz w:val="24"/>
              </w:rPr>
            </w:pPr>
            <w:r>
              <w:rPr>
                <w:rFonts w:hint="eastAsia" w:ascii="仿宋" w:hAnsi="仿宋" w:eastAsia="仿宋" w:cs="仿宋"/>
                <w:sz w:val="24"/>
              </w:rPr>
              <w:t>27</w:t>
            </w:r>
          </w:p>
        </w:tc>
        <w:tc>
          <w:tcPr>
            <w:tcW w:w="868" w:type="pct"/>
            <w:vAlign w:val="center"/>
          </w:tcPr>
          <w:p w14:paraId="72BFF8E2">
            <w:pPr>
              <w:spacing w:line="500" w:lineRule="exact"/>
              <w:jc w:val="center"/>
              <w:rPr>
                <w:rFonts w:ascii="仿宋" w:hAnsi="仿宋" w:eastAsia="仿宋" w:cs="仿宋"/>
                <w:sz w:val="24"/>
              </w:rPr>
            </w:pPr>
            <w:r>
              <w:rPr>
                <w:rFonts w:hint="eastAsia" w:ascii="仿宋" w:hAnsi="仿宋" w:eastAsia="仿宋" w:cs="仿宋"/>
                <w:sz w:val="24"/>
              </w:rPr>
              <w:t>响应文件份数</w:t>
            </w:r>
          </w:p>
        </w:tc>
        <w:tc>
          <w:tcPr>
            <w:tcW w:w="3629" w:type="pct"/>
            <w:vAlign w:val="center"/>
          </w:tcPr>
          <w:p w14:paraId="2D37EB21">
            <w:pPr>
              <w:spacing w:line="500" w:lineRule="exact"/>
              <w:jc w:val="left"/>
              <w:rPr>
                <w:rFonts w:ascii="仿宋" w:hAnsi="仿宋" w:eastAsia="仿宋" w:cs="仿宋"/>
                <w:sz w:val="24"/>
              </w:rPr>
            </w:pPr>
            <w:r>
              <w:rPr>
                <w:rFonts w:hint="eastAsia" w:ascii="仿宋" w:hAnsi="仿宋" w:eastAsia="仿宋" w:cs="仿宋"/>
                <w:sz w:val="24"/>
              </w:rPr>
              <w:t>正本壹份，副本贰份，电子版（U盘）壹份</w:t>
            </w:r>
          </w:p>
        </w:tc>
      </w:tr>
      <w:tr w14:paraId="71F582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3" w:hRule="atLeast"/>
          <w:jc w:val="center"/>
        </w:trPr>
        <w:tc>
          <w:tcPr>
            <w:tcW w:w="502" w:type="pct"/>
            <w:vAlign w:val="center"/>
          </w:tcPr>
          <w:p w14:paraId="37F7BFD2">
            <w:pPr>
              <w:spacing w:line="360" w:lineRule="auto"/>
              <w:jc w:val="center"/>
              <w:rPr>
                <w:rFonts w:ascii="仿宋" w:hAnsi="仿宋" w:eastAsia="仿宋" w:cs="仿宋"/>
                <w:sz w:val="24"/>
              </w:rPr>
            </w:pPr>
            <w:r>
              <w:rPr>
                <w:rFonts w:hint="eastAsia" w:ascii="仿宋" w:hAnsi="仿宋" w:eastAsia="仿宋" w:cs="仿宋"/>
                <w:sz w:val="24"/>
              </w:rPr>
              <w:t>28</w:t>
            </w:r>
          </w:p>
        </w:tc>
        <w:tc>
          <w:tcPr>
            <w:tcW w:w="868" w:type="pct"/>
            <w:vAlign w:val="center"/>
          </w:tcPr>
          <w:p w14:paraId="2937F957">
            <w:pPr>
              <w:spacing w:line="500" w:lineRule="exact"/>
              <w:jc w:val="center"/>
              <w:rPr>
                <w:rFonts w:ascii="仿宋" w:hAnsi="仿宋" w:eastAsia="仿宋" w:cs="仿宋"/>
                <w:sz w:val="24"/>
              </w:rPr>
            </w:pPr>
            <w:r>
              <w:rPr>
                <w:rFonts w:hint="eastAsia" w:ascii="仿宋" w:hAnsi="仿宋" w:eastAsia="仿宋" w:cs="仿宋"/>
                <w:sz w:val="24"/>
              </w:rPr>
              <w:t>电子版文件要求</w:t>
            </w:r>
          </w:p>
        </w:tc>
        <w:tc>
          <w:tcPr>
            <w:tcW w:w="3629" w:type="pct"/>
            <w:vAlign w:val="center"/>
          </w:tcPr>
          <w:p w14:paraId="1786056F">
            <w:pPr>
              <w:spacing w:line="360" w:lineRule="auto"/>
              <w:jc w:val="left"/>
              <w:rPr>
                <w:rFonts w:ascii="仿宋" w:hAnsi="仿宋" w:eastAsia="仿宋" w:cs="仿宋"/>
                <w:sz w:val="24"/>
              </w:rPr>
            </w:pPr>
            <w:r>
              <w:rPr>
                <w:rFonts w:hint="eastAsia" w:ascii="仿宋" w:hAnsi="仿宋" w:eastAsia="仿宋" w:cs="仿宋"/>
                <w:sz w:val="24"/>
              </w:rPr>
              <w:t>1.电子文件应与纸质响应文件正本一致，电子文档格式为Word及</w:t>
            </w:r>
            <w:r>
              <w:rPr>
                <w:rFonts w:hint="eastAsia" w:ascii="仿宋" w:hAnsi="仿宋" w:eastAsia="仿宋" w:cs="仿宋"/>
                <w:b/>
                <w:bCs/>
                <w:sz w:val="24"/>
              </w:rPr>
              <w:t>PDF（签字盖章后的扫描件PDF版）</w:t>
            </w:r>
            <w:r>
              <w:rPr>
                <w:rFonts w:hint="eastAsia" w:ascii="仿宋" w:hAnsi="仿宋" w:eastAsia="仿宋" w:cs="仿宋"/>
                <w:sz w:val="24"/>
              </w:rPr>
              <w:t>；</w:t>
            </w:r>
          </w:p>
          <w:p w14:paraId="1762FCE5">
            <w:pPr>
              <w:spacing w:line="360" w:lineRule="auto"/>
              <w:jc w:val="left"/>
              <w:rPr>
                <w:rFonts w:ascii="仿宋" w:hAnsi="仿宋" w:eastAsia="仿宋" w:cs="仿宋"/>
                <w:sz w:val="24"/>
              </w:rPr>
            </w:pPr>
            <w:r>
              <w:rPr>
                <w:rFonts w:hint="eastAsia" w:ascii="仿宋" w:hAnsi="仿宋" w:eastAsia="仿宋" w:cs="仿宋"/>
                <w:sz w:val="24"/>
              </w:rPr>
              <w:t>2.当电子文件电子文本与纸质不一致时，以纸质文件为准；</w:t>
            </w:r>
          </w:p>
          <w:p w14:paraId="22C6FA07">
            <w:pPr>
              <w:spacing w:line="500" w:lineRule="exact"/>
              <w:jc w:val="left"/>
              <w:rPr>
                <w:rFonts w:ascii="仿宋" w:hAnsi="仿宋" w:eastAsia="仿宋" w:cs="仿宋"/>
                <w:sz w:val="24"/>
              </w:rPr>
            </w:pPr>
            <w:r>
              <w:rPr>
                <w:rFonts w:hint="eastAsia" w:ascii="仿宋" w:hAnsi="仿宋" w:eastAsia="仿宋" w:cs="仿宋"/>
                <w:sz w:val="24"/>
              </w:rPr>
              <w:t>3.电子文档需标明项目编号、供应商名称等信息。</w:t>
            </w:r>
          </w:p>
        </w:tc>
      </w:tr>
      <w:tr w14:paraId="316BCB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87" w:hRule="atLeast"/>
          <w:jc w:val="center"/>
        </w:trPr>
        <w:tc>
          <w:tcPr>
            <w:tcW w:w="502" w:type="pct"/>
            <w:vAlign w:val="center"/>
          </w:tcPr>
          <w:p w14:paraId="1E493AB2">
            <w:pPr>
              <w:spacing w:line="360" w:lineRule="auto"/>
              <w:jc w:val="center"/>
              <w:rPr>
                <w:rFonts w:ascii="仿宋" w:hAnsi="仿宋" w:eastAsia="仿宋" w:cs="仿宋"/>
                <w:sz w:val="24"/>
              </w:rPr>
            </w:pPr>
            <w:r>
              <w:rPr>
                <w:rFonts w:hint="eastAsia" w:ascii="仿宋" w:hAnsi="仿宋" w:eastAsia="仿宋" w:cs="仿宋"/>
                <w:sz w:val="24"/>
              </w:rPr>
              <w:t>29</w:t>
            </w:r>
          </w:p>
        </w:tc>
        <w:tc>
          <w:tcPr>
            <w:tcW w:w="868" w:type="pct"/>
            <w:vAlign w:val="center"/>
          </w:tcPr>
          <w:p w14:paraId="185779E4">
            <w:pPr>
              <w:spacing w:line="500" w:lineRule="exact"/>
              <w:jc w:val="center"/>
              <w:rPr>
                <w:rFonts w:ascii="仿宋" w:hAnsi="仿宋" w:eastAsia="仿宋" w:cs="仿宋"/>
                <w:sz w:val="24"/>
              </w:rPr>
            </w:pPr>
            <w:r>
              <w:rPr>
                <w:rFonts w:hint="eastAsia" w:ascii="仿宋" w:hAnsi="仿宋" w:eastAsia="仿宋" w:cs="仿宋"/>
                <w:sz w:val="24"/>
              </w:rPr>
              <w:t>装订、包装、密封及标记要求</w:t>
            </w:r>
          </w:p>
        </w:tc>
        <w:tc>
          <w:tcPr>
            <w:tcW w:w="3629" w:type="pct"/>
            <w:vAlign w:val="center"/>
          </w:tcPr>
          <w:p w14:paraId="1417A3B8">
            <w:pPr>
              <w:spacing w:line="360" w:lineRule="auto"/>
              <w:rPr>
                <w:rFonts w:ascii="仿宋" w:hAnsi="仿宋" w:eastAsia="仿宋" w:cs="仿宋"/>
                <w:sz w:val="24"/>
              </w:rPr>
            </w:pPr>
            <w:r>
              <w:rPr>
                <w:rFonts w:hint="eastAsia" w:ascii="仿宋" w:hAnsi="仿宋" w:eastAsia="仿宋" w:cs="仿宋"/>
                <w:sz w:val="24"/>
              </w:rPr>
              <w:t>1．响应文件正、副本应分别胶装成册，胶装应牢固、不易拆散和换页，不得采用活页装订，建议双面打印。</w:t>
            </w:r>
          </w:p>
          <w:p w14:paraId="4AF9B0D0">
            <w:pPr>
              <w:spacing w:line="360" w:lineRule="auto"/>
              <w:rPr>
                <w:rFonts w:ascii="仿宋" w:hAnsi="仿宋" w:eastAsia="仿宋" w:cs="仿宋"/>
                <w:sz w:val="24"/>
              </w:rPr>
            </w:pPr>
            <w:r>
              <w:rPr>
                <w:rFonts w:hint="eastAsia" w:ascii="仿宋" w:hAnsi="仿宋" w:eastAsia="仿宋" w:cs="仿宋"/>
                <w:sz w:val="24"/>
              </w:rPr>
              <w:t>2．密封包装方式：</w:t>
            </w:r>
          </w:p>
          <w:p w14:paraId="71ED3384">
            <w:pPr>
              <w:spacing w:line="360" w:lineRule="auto"/>
              <w:rPr>
                <w:rFonts w:ascii="仿宋" w:hAnsi="仿宋" w:eastAsia="仿宋" w:cs="仿宋"/>
                <w:sz w:val="24"/>
              </w:rPr>
            </w:pPr>
            <w:r>
              <w:rPr>
                <w:rFonts w:hint="eastAsia" w:ascii="仿宋" w:hAnsi="仿宋" w:eastAsia="仿宋" w:cs="仿宋"/>
                <w:sz w:val="24"/>
              </w:rPr>
              <w:t>（1）响应文件正本一包密封；</w:t>
            </w:r>
          </w:p>
          <w:p w14:paraId="4A096A5C">
            <w:pPr>
              <w:spacing w:line="360" w:lineRule="auto"/>
              <w:rPr>
                <w:rFonts w:ascii="仿宋" w:hAnsi="仿宋" w:eastAsia="仿宋" w:cs="仿宋"/>
                <w:sz w:val="24"/>
              </w:rPr>
            </w:pPr>
            <w:r>
              <w:rPr>
                <w:rFonts w:hint="eastAsia" w:ascii="仿宋" w:hAnsi="仿宋" w:eastAsia="仿宋" w:cs="仿宋"/>
                <w:sz w:val="24"/>
              </w:rPr>
              <w:t>（2）响应文件副本一包密封。</w:t>
            </w:r>
          </w:p>
          <w:p w14:paraId="419C89C0">
            <w:pPr>
              <w:spacing w:line="500" w:lineRule="exact"/>
              <w:rPr>
                <w:rFonts w:ascii="仿宋" w:hAnsi="仿宋" w:eastAsia="仿宋" w:cs="仿宋"/>
                <w:sz w:val="24"/>
              </w:rPr>
            </w:pPr>
            <w:r>
              <w:rPr>
                <w:rFonts w:hint="eastAsia" w:ascii="仿宋" w:hAnsi="仿宋" w:eastAsia="仿宋" w:cs="仿宋"/>
                <w:sz w:val="24"/>
              </w:rPr>
              <w:t>（3）响应文件电子版一包密封。</w:t>
            </w:r>
          </w:p>
          <w:p w14:paraId="29FF62B5">
            <w:pPr>
              <w:spacing w:line="500" w:lineRule="exact"/>
              <w:rPr>
                <w:rFonts w:ascii="仿宋" w:hAnsi="仿宋" w:eastAsia="仿宋" w:cs="仿宋"/>
                <w:sz w:val="24"/>
              </w:rPr>
            </w:pPr>
            <w:r>
              <w:rPr>
                <w:rFonts w:hint="eastAsia" w:ascii="仿宋" w:hAnsi="仿宋" w:eastAsia="仿宋" w:cs="仿宋"/>
                <w:sz w:val="24"/>
              </w:rPr>
              <w:t>3.封套上应写明：</w:t>
            </w:r>
          </w:p>
          <w:p w14:paraId="2A7D34D6">
            <w:pPr>
              <w:spacing w:line="500" w:lineRule="exact"/>
              <w:ind w:firstLine="480" w:firstLineChars="200"/>
              <w:rPr>
                <w:rFonts w:ascii="仿宋" w:hAnsi="仿宋" w:eastAsia="仿宋" w:cs="仿宋"/>
                <w:sz w:val="24"/>
              </w:rPr>
            </w:pPr>
            <w:r>
              <w:rPr>
                <w:rFonts w:hint="eastAsia" w:ascii="仿宋" w:hAnsi="仿宋" w:eastAsia="仿宋" w:cs="仿宋"/>
                <w:sz w:val="24"/>
              </w:rPr>
              <w:t>项目编号                       正本/副本/电子版</w:t>
            </w:r>
          </w:p>
          <w:p w14:paraId="217EB349">
            <w:pPr>
              <w:spacing w:line="500" w:lineRule="exact"/>
              <w:ind w:firstLine="480" w:firstLineChars="200"/>
              <w:rPr>
                <w:rFonts w:ascii="仿宋" w:hAnsi="仿宋" w:eastAsia="仿宋" w:cs="仿宋"/>
                <w:sz w:val="24"/>
              </w:rPr>
            </w:pPr>
            <w:r>
              <w:rPr>
                <w:rFonts w:hint="eastAsia" w:ascii="仿宋" w:hAnsi="仿宋" w:eastAsia="仿宋" w:cs="仿宋"/>
                <w:sz w:val="24"/>
              </w:rPr>
              <w:t>项目名称</w:t>
            </w:r>
          </w:p>
          <w:p w14:paraId="02162637">
            <w:pPr>
              <w:spacing w:line="500" w:lineRule="exact"/>
              <w:ind w:firstLine="480" w:firstLineChars="200"/>
              <w:rPr>
                <w:rFonts w:ascii="仿宋" w:hAnsi="仿宋" w:eastAsia="仿宋" w:cs="仿宋"/>
                <w:sz w:val="24"/>
              </w:rPr>
            </w:pPr>
            <w:r>
              <w:rPr>
                <w:rFonts w:hint="eastAsia" w:ascii="仿宋" w:hAnsi="仿宋" w:eastAsia="仿宋" w:cs="仿宋"/>
                <w:sz w:val="24"/>
              </w:rPr>
              <w:t>合同包号</w:t>
            </w:r>
          </w:p>
          <w:p w14:paraId="03308153">
            <w:pPr>
              <w:spacing w:line="500" w:lineRule="exact"/>
              <w:ind w:firstLine="2160" w:firstLineChars="900"/>
              <w:rPr>
                <w:rFonts w:ascii="仿宋" w:hAnsi="仿宋" w:eastAsia="仿宋" w:cs="仿宋"/>
                <w:sz w:val="24"/>
              </w:rPr>
            </w:pPr>
            <w:r>
              <w:rPr>
                <w:rFonts w:hint="eastAsia" w:ascii="仿宋" w:hAnsi="仿宋" w:eastAsia="仿宋" w:cs="仿宋"/>
                <w:sz w:val="24"/>
              </w:rPr>
              <w:t>响应文件</w:t>
            </w:r>
          </w:p>
          <w:p w14:paraId="4F79622D">
            <w:pPr>
              <w:spacing w:line="500" w:lineRule="exact"/>
              <w:ind w:firstLine="720" w:firstLineChars="300"/>
              <w:rPr>
                <w:rFonts w:ascii="仿宋" w:hAnsi="仿宋" w:eastAsia="仿宋" w:cs="仿宋"/>
                <w:sz w:val="24"/>
              </w:rPr>
            </w:pPr>
            <w:r>
              <w:rPr>
                <w:rFonts w:hint="eastAsia" w:ascii="仿宋" w:hAnsi="仿宋" w:eastAsia="仿宋" w:cs="仿宋"/>
                <w:sz w:val="24"/>
                <w:u w:val="single"/>
              </w:rPr>
              <w:t xml:space="preserve"> 在    年  月  日 时  分前</w:t>
            </w:r>
            <w:r>
              <w:rPr>
                <w:rFonts w:hint="eastAsia" w:ascii="仿宋" w:hAnsi="仿宋" w:eastAsia="仿宋" w:cs="仿宋"/>
                <w:sz w:val="24"/>
              </w:rPr>
              <w:t>不得开启</w:t>
            </w:r>
          </w:p>
          <w:p w14:paraId="26FA46F1">
            <w:pPr>
              <w:spacing w:line="500" w:lineRule="exact"/>
              <w:ind w:firstLine="720" w:firstLineChars="300"/>
              <w:rPr>
                <w:rFonts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（公章）</w:t>
            </w:r>
          </w:p>
          <w:p w14:paraId="77A769C1">
            <w:pPr>
              <w:spacing w:line="500" w:lineRule="exact"/>
              <w:ind w:left="447" w:leftChars="213" w:firstLine="268" w:firstLineChars="112"/>
              <w:rPr>
                <w:rFonts w:ascii="仿宋" w:hAnsi="仿宋" w:eastAsia="仿宋" w:cs="仿宋"/>
                <w:sz w:val="24"/>
              </w:rPr>
            </w:pPr>
            <w:r>
              <w:rPr>
                <w:rFonts w:hint="eastAsia" w:ascii="仿宋" w:hAnsi="仿宋" w:eastAsia="仿宋" w:cs="仿宋"/>
                <w:sz w:val="24"/>
              </w:rPr>
              <w:t>法定代表人或授权代表：</w:t>
            </w:r>
            <w:r>
              <w:rPr>
                <w:rFonts w:hint="eastAsia" w:ascii="仿宋" w:hAnsi="仿宋" w:eastAsia="仿宋" w:cs="仿宋"/>
                <w:sz w:val="24"/>
                <w:u w:val="single"/>
              </w:rPr>
              <w:t xml:space="preserve">     （签字或盖章）</w:t>
            </w:r>
          </w:p>
        </w:tc>
      </w:tr>
      <w:tr w14:paraId="5E8274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12" w:hRule="atLeast"/>
          <w:jc w:val="center"/>
        </w:trPr>
        <w:tc>
          <w:tcPr>
            <w:tcW w:w="502" w:type="pct"/>
            <w:vAlign w:val="center"/>
          </w:tcPr>
          <w:p w14:paraId="4FFD785E">
            <w:pPr>
              <w:spacing w:line="360" w:lineRule="auto"/>
              <w:jc w:val="center"/>
              <w:rPr>
                <w:rFonts w:ascii="仿宋" w:hAnsi="仿宋" w:eastAsia="仿宋" w:cs="仿宋"/>
                <w:sz w:val="24"/>
              </w:rPr>
            </w:pPr>
            <w:r>
              <w:rPr>
                <w:rFonts w:hint="eastAsia" w:ascii="仿宋" w:hAnsi="仿宋" w:eastAsia="仿宋" w:cs="仿宋"/>
                <w:sz w:val="24"/>
              </w:rPr>
              <w:t>30</w:t>
            </w:r>
          </w:p>
        </w:tc>
        <w:tc>
          <w:tcPr>
            <w:tcW w:w="868" w:type="pct"/>
            <w:vAlign w:val="center"/>
          </w:tcPr>
          <w:p w14:paraId="43E3B3CA">
            <w:pPr>
              <w:spacing w:line="360" w:lineRule="auto"/>
              <w:jc w:val="center"/>
              <w:rPr>
                <w:rFonts w:ascii="仿宋" w:hAnsi="仿宋" w:eastAsia="仿宋" w:cs="仿宋"/>
                <w:sz w:val="24"/>
              </w:rPr>
            </w:pPr>
            <w:r>
              <w:rPr>
                <w:rFonts w:hint="eastAsia" w:ascii="仿宋" w:hAnsi="仿宋" w:eastAsia="仿宋" w:cs="仿宋"/>
                <w:sz w:val="24"/>
              </w:rPr>
              <w:t>响应文件递交截止时间和地点</w:t>
            </w:r>
          </w:p>
        </w:tc>
        <w:tc>
          <w:tcPr>
            <w:tcW w:w="3629" w:type="pct"/>
            <w:vAlign w:val="center"/>
          </w:tcPr>
          <w:p w14:paraId="030EBBE2">
            <w:pPr>
              <w:spacing w:line="360" w:lineRule="auto"/>
              <w:jc w:val="left"/>
              <w:rPr>
                <w:rFonts w:ascii="仿宋" w:hAnsi="仿宋" w:eastAsia="仿宋" w:cs="仿宋"/>
                <w:sz w:val="24"/>
                <w:highlight w:val="none"/>
              </w:rPr>
            </w:pPr>
            <w:r>
              <w:rPr>
                <w:rFonts w:hint="eastAsia" w:ascii="仿宋" w:hAnsi="仿宋" w:eastAsia="仿宋" w:cs="仿宋"/>
                <w:sz w:val="24"/>
                <w:highlight w:val="none"/>
              </w:rPr>
              <w:t>时间：2026年</w:t>
            </w:r>
            <w:r>
              <w:rPr>
                <w:rFonts w:hint="eastAsia" w:ascii="仿宋" w:hAnsi="仿宋" w:eastAsia="仿宋" w:cs="仿宋"/>
                <w:sz w:val="24"/>
                <w:highlight w:val="none"/>
                <w:lang w:val="en-US" w:eastAsia="zh-CN"/>
              </w:rPr>
              <w:t>08</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19</w:t>
            </w:r>
            <w:r>
              <w:rPr>
                <w:rFonts w:hint="eastAsia" w:ascii="仿宋" w:hAnsi="仿宋" w:eastAsia="仿宋" w:cs="仿宋"/>
                <w:sz w:val="24"/>
                <w:highlight w:val="none"/>
              </w:rPr>
              <w:t>日09时00分00秒 （北京时间）</w:t>
            </w:r>
          </w:p>
          <w:p w14:paraId="4A6802FC">
            <w:pPr>
              <w:spacing w:line="360" w:lineRule="auto"/>
              <w:jc w:val="left"/>
              <w:rPr>
                <w:rFonts w:ascii="仿宋" w:hAnsi="仿宋" w:eastAsia="仿宋" w:cs="仿宋"/>
                <w:sz w:val="24"/>
                <w:highlight w:val="none"/>
              </w:rPr>
            </w:pPr>
            <w:r>
              <w:rPr>
                <w:rFonts w:hint="eastAsia" w:ascii="仿宋" w:hAnsi="仿宋" w:eastAsia="仿宋" w:cs="仿宋"/>
                <w:sz w:val="24"/>
                <w:highlight w:val="none"/>
              </w:rPr>
              <w:t>地点：西安市唐延路37号class公馆B栋1103室</w:t>
            </w:r>
          </w:p>
        </w:tc>
      </w:tr>
      <w:tr w14:paraId="6EC477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12" w:hRule="atLeast"/>
          <w:jc w:val="center"/>
        </w:trPr>
        <w:tc>
          <w:tcPr>
            <w:tcW w:w="502" w:type="pct"/>
            <w:vAlign w:val="center"/>
          </w:tcPr>
          <w:p w14:paraId="1293C1E7">
            <w:pPr>
              <w:spacing w:line="360" w:lineRule="auto"/>
              <w:jc w:val="center"/>
              <w:rPr>
                <w:rFonts w:ascii="仿宋" w:hAnsi="仿宋" w:eastAsia="仿宋" w:cs="仿宋"/>
                <w:sz w:val="24"/>
              </w:rPr>
            </w:pPr>
            <w:r>
              <w:rPr>
                <w:rFonts w:hint="eastAsia" w:ascii="仿宋" w:hAnsi="仿宋" w:eastAsia="仿宋" w:cs="仿宋"/>
                <w:sz w:val="24"/>
              </w:rPr>
              <w:t>31</w:t>
            </w:r>
          </w:p>
        </w:tc>
        <w:tc>
          <w:tcPr>
            <w:tcW w:w="868" w:type="pct"/>
            <w:vAlign w:val="center"/>
          </w:tcPr>
          <w:p w14:paraId="2B02CE23">
            <w:pPr>
              <w:spacing w:line="500" w:lineRule="exact"/>
              <w:jc w:val="center"/>
              <w:rPr>
                <w:rFonts w:ascii="仿宋" w:hAnsi="仿宋" w:eastAsia="仿宋" w:cs="仿宋"/>
                <w:sz w:val="24"/>
              </w:rPr>
            </w:pPr>
            <w:r>
              <w:rPr>
                <w:rFonts w:hint="eastAsia" w:ascii="仿宋" w:hAnsi="仿宋" w:eastAsia="仿宋" w:cs="仿宋"/>
                <w:sz w:val="24"/>
              </w:rPr>
              <w:t>协商时间和地点</w:t>
            </w:r>
          </w:p>
        </w:tc>
        <w:tc>
          <w:tcPr>
            <w:tcW w:w="3629" w:type="pct"/>
            <w:vAlign w:val="center"/>
          </w:tcPr>
          <w:p w14:paraId="76E866DE">
            <w:pPr>
              <w:spacing w:line="360" w:lineRule="auto"/>
              <w:jc w:val="left"/>
              <w:rPr>
                <w:rFonts w:ascii="仿宋" w:hAnsi="仿宋" w:eastAsia="仿宋" w:cs="仿宋"/>
                <w:sz w:val="24"/>
                <w:highlight w:val="none"/>
              </w:rPr>
            </w:pPr>
            <w:r>
              <w:rPr>
                <w:rFonts w:hint="eastAsia" w:ascii="仿宋" w:hAnsi="仿宋" w:eastAsia="仿宋" w:cs="仿宋"/>
                <w:sz w:val="24"/>
                <w:highlight w:val="none"/>
              </w:rPr>
              <w:t>时间：2026年</w:t>
            </w:r>
            <w:r>
              <w:rPr>
                <w:rFonts w:hint="eastAsia" w:ascii="仿宋" w:hAnsi="仿宋" w:eastAsia="仿宋" w:cs="仿宋"/>
                <w:sz w:val="24"/>
                <w:highlight w:val="none"/>
                <w:lang w:val="en-US" w:eastAsia="zh-CN"/>
              </w:rPr>
              <w:t>08</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19</w:t>
            </w:r>
            <w:r>
              <w:rPr>
                <w:rFonts w:hint="eastAsia" w:ascii="仿宋" w:hAnsi="仿宋" w:eastAsia="仿宋" w:cs="仿宋"/>
                <w:sz w:val="24"/>
                <w:highlight w:val="none"/>
              </w:rPr>
              <w:t>日09时00分00秒 （北京时间） </w:t>
            </w:r>
          </w:p>
          <w:p w14:paraId="7B788D43">
            <w:pPr>
              <w:spacing w:line="360" w:lineRule="auto"/>
              <w:jc w:val="left"/>
              <w:rPr>
                <w:rFonts w:ascii="仿宋" w:hAnsi="仿宋" w:eastAsia="仿宋" w:cs="仿宋"/>
                <w:sz w:val="24"/>
                <w:highlight w:val="none"/>
              </w:rPr>
            </w:pPr>
            <w:r>
              <w:rPr>
                <w:rFonts w:hint="eastAsia" w:ascii="仿宋" w:hAnsi="仿宋" w:eastAsia="仿宋" w:cs="仿宋"/>
                <w:sz w:val="24"/>
                <w:highlight w:val="none"/>
              </w:rPr>
              <w:t>地点：西安市唐延路37号class公馆B栋1103室</w:t>
            </w:r>
          </w:p>
        </w:tc>
      </w:tr>
      <w:tr w14:paraId="413D15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12" w:hRule="atLeast"/>
          <w:jc w:val="center"/>
        </w:trPr>
        <w:tc>
          <w:tcPr>
            <w:tcW w:w="502" w:type="pct"/>
            <w:vAlign w:val="center"/>
          </w:tcPr>
          <w:p w14:paraId="46C5E595">
            <w:pPr>
              <w:spacing w:line="360" w:lineRule="auto"/>
              <w:jc w:val="center"/>
              <w:rPr>
                <w:rFonts w:ascii="仿宋" w:hAnsi="仿宋" w:eastAsia="仿宋" w:cs="仿宋"/>
                <w:sz w:val="24"/>
              </w:rPr>
            </w:pPr>
            <w:r>
              <w:rPr>
                <w:rFonts w:hint="eastAsia" w:ascii="仿宋" w:hAnsi="仿宋" w:eastAsia="仿宋" w:cs="仿宋"/>
                <w:sz w:val="24"/>
              </w:rPr>
              <w:t>32</w:t>
            </w:r>
          </w:p>
        </w:tc>
        <w:tc>
          <w:tcPr>
            <w:tcW w:w="868" w:type="pct"/>
            <w:vAlign w:val="center"/>
          </w:tcPr>
          <w:p w14:paraId="201AD05F">
            <w:pPr>
              <w:spacing w:line="500" w:lineRule="exact"/>
              <w:jc w:val="center"/>
              <w:rPr>
                <w:rFonts w:ascii="仿宋" w:hAnsi="仿宋" w:eastAsia="仿宋" w:cs="仿宋"/>
                <w:sz w:val="24"/>
              </w:rPr>
            </w:pPr>
            <w:r>
              <w:rPr>
                <w:rFonts w:hint="eastAsia" w:ascii="仿宋" w:hAnsi="仿宋" w:eastAsia="仿宋" w:cs="仿宋"/>
                <w:sz w:val="24"/>
              </w:rPr>
              <w:t>是否退还响应文件</w:t>
            </w:r>
          </w:p>
        </w:tc>
        <w:tc>
          <w:tcPr>
            <w:tcW w:w="3629" w:type="pct"/>
            <w:vAlign w:val="center"/>
          </w:tcPr>
          <w:p w14:paraId="2D65789E">
            <w:pPr>
              <w:spacing w:line="500" w:lineRule="exact"/>
              <w:rPr>
                <w:rFonts w:ascii="仿宋" w:hAnsi="仿宋" w:eastAsia="仿宋" w:cs="仿宋"/>
                <w:sz w:val="24"/>
              </w:rPr>
            </w:pPr>
            <w:r>
              <w:rPr>
                <w:rFonts w:hint="eastAsia" w:ascii="仿宋" w:hAnsi="仿宋" w:eastAsia="仿宋" w:cs="仿宋"/>
                <w:sz w:val="24"/>
              </w:rPr>
              <w:t>否</w:t>
            </w:r>
          </w:p>
        </w:tc>
      </w:tr>
      <w:tr w14:paraId="76C8FD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7" w:hRule="atLeast"/>
          <w:jc w:val="center"/>
        </w:trPr>
        <w:tc>
          <w:tcPr>
            <w:tcW w:w="502" w:type="pct"/>
            <w:vAlign w:val="center"/>
          </w:tcPr>
          <w:p w14:paraId="210BB0DF">
            <w:pPr>
              <w:spacing w:line="360" w:lineRule="auto"/>
              <w:jc w:val="center"/>
              <w:rPr>
                <w:rFonts w:ascii="仿宋" w:hAnsi="仿宋" w:eastAsia="仿宋" w:cs="仿宋"/>
                <w:sz w:val="24"/>
              </w:rPr>
            </w:pPr>
            <w:r>
              <w:rPr>
                <w:rFonts w:hint="eastAsia" w:ascii="仿宋" w:hAnsi="仿宋" w:eastAsia="仿宋" w:cs="仿宋"/>
                <w:sz w:val="24"/>
              </w:rPr>
              <w:t>33</w:t>
            </w:r>
          </w:p>
        </w:tc>
        <w:tc>
          <w:tcPr>
            <w:tcW w:w="868" w:type="pct"/>
            <w:vAlign w:val="center"/>
          </w:tcPr>
          <w:p w14:paraId="5AD503F5">
            <w:pPr>
              <w:spacing w:line="500" w:lineRule="exact"/>
              <w:jc w:val="center"/>
              <w:rPr>
                <w:rFonts w:ascii="仿宋" w:hAnsi="仿宋" w:eastAsia="仿宋" w:cs="仿宋"/>
                <w:sz w:val="24"/>
              </w:rPr>
            </w:pPr>
            <w:r>
              <w:rPr>
                <w:rFonts w:hint="eastAsia" w:ascii="仿宋" w:hAnsi="仿宋" w:eastAsia="仿宋" w:cs="仿宋"/>
                <w:sz w:val="24"/>
              </w:rPr>
              <w:t>协商小组的组建</w:t>
            </w:r>
          </w:p>
        </w:tc>
        <w:tc>
          <w:tcPr>
            <w:tcW w:w="3629" w:type="pct"/>
            <w:vAlign w:val="center"/>
          </w:tcPr>
          <w:p w14:paraId="0E2F093E">
            <w:pPr>
              <w:spacing w:line="500" w:lineRule="exact"/>
              <w:jc w:val="left"/>
              <w:rPr>
                <w:rFonts w:ascii="仿宋" w:hAnsi="仿宋" w:eastAsia="仿宋" w:cs="仿宋"/>
                <w:sz w:val="24"/>
              </w:rPr>
            </w:pPr>
            <w:r>
              <w:rPr>
                <w:rFonts w:hint="eastAsia" w:ascii="仿宋" w:hAnsi="仿宋" w:eastAsia="仿宋" w:cs="仿宋"/>
                <w:sz w:val="24"/>
              </w:rPr>
              <w:t>协商小组构成：3人，其中项目采购人代表1人，专家2人；</w:t>
            </w:r>
          </w:p>
          <w:p w14:paraId="076C71FD">
            <w:pPr>
              <w:spacing w:line="500" w:lineRule="exact"/>
              <w:jc w:val="left"/>
              <w:rPr>
                <w:rFonts w:ascii="仿宋" w:hAnsi="仿宋" w:eastAsia="仿宋" w:cs="仿宋"/>
                <w:b/>
                <w:bCs/>
                <w:sz w:val="24"/>
              </w:rPr>
            </w:pPr>
            <w:r>
              <w:rPr>
                <w:rFonts w:hint="eastAsia" w:ascii="仿宋" w:hAnsi="仿宋" w:eastAsia="仿宋" w:cs="仿宋"/>
                <w:sz w:val="24"/>
              </w:rPr>
              <w:t>专家确定方式：从陕西省财政厅政府采购专家库随机抽取</w:t>
            </w:r>
          </w:p>
        </w:tc>
      </w:tr>
      <w:tr w14:paraId="16620B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502" w:type="pct"/>
            <w:vAlign w:val="center"/>
          </w:tcPr>
          <w:p w14:paraId="457E1804">
            <w:pPr>
              <w:spacing w:line="360" w:lineRule="auto"/>
              <w:jc w:val="center"/>
              <w:rPr>
                <w:rFonts w:ascii="仿宋" w:hAnsi="仿宋" w:eastAsia="仿宋" w:cs="仿宋"/>
                <w:sz w:val="24"/>
              </w:rPr>
            </w:pPr>
            <w:r>
              <w:rPr>
                <w:rFonts w:hint="eastAsia" w:ascii="仿宋" w:hAnsi="仿宋" w:eastAsia="仿宋" w:cs="仿宋"/>
                <w:sz w:val="24"/>
              </w:rPr>
              <w:t>34</w:t>
            </w:r>
          </w:p>
        </w:tc>
        <w:tc>
          <w:tcPr>
            <w:tcW w:w="868" w:type="pct"/>
            <w:vAlign w:val="center"/>
          </w:tcPr>
          <w:p w14:paraId="52E9E1A7">
            <w:pPr>
              <w:spacing w:line="500" w:lineRule="exact"/>
              <w:jc w:val="center"/>
              <w:rPr>
                <w:rFonts w:ascii="仿宋" w:hAnsi="仿宋" w:eastAsia="仿宋" w:cs="仿宋"/>
                <w:sz w:val="24"/>
              </w:rPr>
            </w:pPr>
            <w:r>
              <w:rPr>
                <w:rFonts w:hint="eastAsia" w:ascii="仿宋" w:hAnsi="仿宋" w:eastAsia="仿宋" w:cs="仿宋"/>
                <w:sz w:val="24"/>
              </w:rPr>
              <w:t>是否授权协商小组确定协商供应商</w:t>
            </w:r>
          </w:p>
        </w:tc>
        <w:tc>
          <w:tcPr>
            <w:tcW w:w="3629" w:type="pct"/>
            <w:vAlign w:val="center"/>
          </w:tcPr>
          <w:p w14:paraId="1D572F86">
            <w:pPr>
              <w:spacing w:line="500" w:lineRule="exact"/>
              <w:jc w:val="left"/>
              <w:rPr>
                <w:rFonts w:ascii="仿宋" w:hAnsi="仿宋" w:eastAsia="仿宋" w:cs="仿宋"/>
                <w:kern w:val="0"/>
                <w:sz w:val="24"/>
                <w:lang w:bidi="ar"/>
              </w:rPr>
            </w:pPr>
            <w:r>
              <w:rPr>
                <w:rFonts w:hint="eastAsia" w:ascii="仿宋" w:hAnsi="仿宋" w:eastAsia="仿宋" w:cs="仿宋"/>
                <w:sz w:val="24"/>
              </w:rPr>
              <w:t>否</w:t>
            </w:r>
          </w:p>
        </w:tc>
      </w:tr>
      <w:tr w14:paraId="07C2E1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26" w:hRule="atLeast"/>
          <w:jc w:val="center"/>
        </w:trPr>
        <w:tc>
          <w:tcPr>
            <w:tcW w:w="502" w:type="pct"/>
            <w:vAlign w:val="center"/>
          </w:tcPr>
          <w:p w14:paraId="5851D516">
            <w:pPr>
              <w:spacing w:line="360" w:lineRule="auto"/>
              <w:jc w:val="center"/>
              <w:rPr>
                <w:rFonts w:ascii="仿宋" w:hAnsi="仿宋" w:eastAsia="仿宋" w:cs="仿宋"/>
                <w:sz w:val="24"/>
              </w:rPr>
            </w:pPr>
            <w:r>
              <w:rPr>
                <w:rFonts w:hint="eastAsia" w:ascii="仿宋" w:hAnsi="仿宋" w:eastAsia="仿宋" w:cs="仿宋"/>
                <w:sz w:val="24"/>
              </w:rPr>
              <w:t>35</w:t>
            </w:r>
          </w:p>
        </w:tc>
        <w:tc>
          <w:tcPr>
            <w:tcW w:w="868" w:type="pct"/>
            <w:vAlign w:val="center"/>
          </w:tcPr>
          <w:p w14:paraId="5A44F0EA">
            <w:pPr>
              <w:spacing w:line="500" w:lineRule="exact"/>
              <w:jc w:val="center"/>
              <w:rPr>
                <w:rFonts w:ascii="仿宋" w:hAnsi="仿宋" w:eastAsia="仿宋" w:cs="仿宋"/>
                <w:sz w:val="24"/>
              </w:rPr>
            </w:pPr>
            <w:r>
              <w:rPr>
                <w:rFonts w:hint="eastAsia" w:ascii="仿宋" w:hAnsi="仿宋" w:eastAsia="仿宋" w:cs="仿宋"/>
                <w:sz w:val="24"/>
              </w:rPr>
              <w:t>信用查询</w:t>
            </w:r>
          </w:p>
        </w:tc>
        <w:tc>
          <w:tcPr>
            <w:tcW w:w="3629" w:type="pct"/>
          </w:tcPr>
          <w:p w14:paraId="3EA73FE8">
            <w:pPr>
              <w:pStyle w:val="13"/>
              <w:spacing w:line="500" w:lineRule="exact"/>
              <w:jc w:val="left"/>
              <w:rPr>
                <w:rFonts w:ascii="仿宋" w:hAnsi="仿宋" w:eastAsia="仿宋" w:cs="仿宋"/>
                <w:sz w:val="24"/>
                <w:szCs w:val="24"/>
              </w:rPr>
            </w:pPr>
            <w:r>
              <w:rPr>
                <w:rFonts w:hint="eastAsia" w:ascii="仿宋" w:hAnsi="仿宋" w:eastAsia="仿宋" w:cs="仿宋"/>
                <w:sz w:val="24"/>
                <w:szCs w:val="24"/>
              </w:rPr>
              <w:t>供应商通过“信用中国”网站(www.creditchina.gov.cn)和中国政府采购网(www.ccgp.gov.cn) 查询相关主体信用记录，查询节点应在采购文件发售期至协商截止时间之间。（供应商可将“信用中国”网站“中国政府采购网”网页查询截图加盖供应商公章附在响应文件中，采购人、采购代理机构有权对供应商信用记录情况进行甄别查询，并对查询结果予以截图留存，企业信用记录以现场甄别查询结果为准。对被列入失信被执行人、政府采购严重违法失信行为记录名单及其他不符合《中华人民共和国政府采购法》第二十二条规定条件的供应商，采购代理机构即视为无效协商）</w:t>
            </w:r>
          </w:p>
        </w:tc>
      </w:tr>
      <w:tr w14:paraId="21819D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4" w:hRule="atLeast"/>
          <w:jc w:val="center"/>
        </w:trPr>
        <w:tc>
          <w:tcPr>
            <w:tcW w:w="502" w:type="pct"/>
            <w:vAlign w:val="center"/>
          </w:tcPr>
          <w:p w14:paraId="483DA5F0">
            <w:pPr>
              <w:spacing w:line="360" w:lineRule="auto"/>
              <w:jc w:val="center"/>
              <w:rPr>
                <w:rFonts w:ascii="仿宋" w:hAnsi="仿宋" w:eastAsia="仿宋" w:cs="仿宋"/>
                <w:sz w:val="24"/>
              </w:rPr>
            </w:pPr>
            <w:r>
              <w:rPr>
                <w:rFonts w:hint="eastAsia" w:ascii="仿宋" w:hAnsi="仿宋" w:eastAsia="仿宋" w:cs="仿宋"/>
                <w:sz w:val="24"/>
              </w:rPr>
              <w:t>36</w:t>
            </w:r>
          </w:p>
        </w:tc>
        <w:tc>
          <w:tcPr>
            <w:tcW w:w="868" w:type="pct"/>
            <w:vAlign w:val="center"/>
          </w:tcPr>
          <w:p w14:paraId="47B04BE6">
            <w:pPr>
              <w:spacing w:line="360" w:lineRule="auto"/>
              <w:jc w:val="center"/>
              <w:rPr>
                <w:rFonts w:ascii="仿宋" w:hAnsi="仿宋" w:eastAsia="仿宋" w:cs="仿宋"/>
                <w:sz w:val="24"/>
              </w:rPr>
            </w:pPr>
            <w:r>
              <w:rPr>
                <w:rFonts w:hint="eastAsia" w:ascii="仿宋" w:hAnsi="仿宋" w:eastAsia="仿宋" w:cs="仿宋"/>
                <w:sz w:val="24"/>
              </w:rPr>
              <w:t>供应商失信行为</w:t>
            </w:r>
          </w:p>
        </w:tc>
        <w:tc>
          <w:tcPr>
            <w:tcW w:w="3629" w:type="pct"/>
            <w:vAlign w:val="center"/>
          </w:tcPr>
          <w:p w14:paraId="19C9AE30">
            <w:pPr>
              <w:spacing w:line="360" w:lineRule="auto"/>
              <w:rPr>
                <w:rFonts w:ascii="仿宋" w:hAnsi="仿宋" w:eastAsia="仿宋" w:cs="仿宋"/>
                <w:sz w:val="24"/>
              </w:rPr>
            </w:pPr>
            <w:r>
              <w:rPr>
                <w:rFonts w:hint="eastAsia" w:ascii="仿宋" w:hAnsi="仿宋" w:eastAsia="仿宋" w:cs="仿宋"/>
                <w:sz w:val="24"/>
              </w:rPr>
              <w:t>供应商有《陕西省政府采购领域投标人违法失信“黑名单”信息共享和联合惩戒实施办法》第四条规定的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tc>
      </w:tr>
      <w:tr w14:paraId="552AC9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8" w:hRule="atLeast"/>
          <w:jc w:val="center"/>
        </w:trPr>
        <w:tc>
          <w:tcPr>
            <w:tcW w:w="502" w:type="pct"/>
            <w:vAlign w:val="center"/>
          </w:tcPr>
          <w:p w14:paraId="23C91AB6">
            <w:pPr>
              <w:spacing w:line="360" w:lineRule="auto"/>
              <w:jc w:val="center"/>
              <w:rPr>
                <w:rFonts w:ascii="仿宋" w:hAnsi="仿宋" w:eastAsia="仿宋" w:cs="仿宋"/>
                <w:sz w:val="24"/>
              </w:rPr>
            </w:pPr>
            <w:r>
              <w:rPr>
                <w:rFonts w:hint="eastAsia" w:ascii="仿宋" w:hAnsi="仿宋" w:eastAsia="仿宋" w:cs="仿宋"/>
                <w:sz w:val="24"/>
              </w:rPr>
              <w:t>37</w:t>
            </w:r>
          </w:p>
        </w:tc>
        <w:tc>
          <w:tcPr>
            <w:tcW w:w="868" w:type="pct"/>
            <w:vAlign w:val="center"/>
          </w:tcPr>
          <w:p w14:paraId="06972B32">
            <w:pPr>
              <w:spacing w:line="500" w:lineRule="exact"/>
              <w:jc w:val="center"/>
              <w:rPr>
                <w:rFonts w:ascii="仿宋" w:hAnsi="仿宋" w:eastAsia="仿宋" w:cs="仿宋"/>
                <w:sz w:val="24"/>
              </w:rPr>
            </w:pPr>
            <w:r>
              <w:rPr>
                <w:rFonts w:hint="eastAsia" w:ascii="仿宋" w:hAnsi="仿宋" w:eastAsia="仿宋" w:cs="仿宋"/>
                <w:sz w:val="24"/>
              </w:rPr>
              <w:t>协商报价次数、协商程序和最终报价的产生原则</w:t>
            </w:r>
          </w:p>
        </w:tc>
        <w:tc>
          <w:tcPr>
            <w:tcW w:w="3629" w:type="pct"/>
            <w:vAlign w:val="center"/>
          </w:tcPr>
          <w:p w14:paraId="1C4FD8B5">
            <w:pPr>
              <w:spacing w:line="500" w:lineRule="exact"/>
              <w:jc w:val="left"/>
              <w:rPr>
                <w:rFonts w:ascii="仿宋" w:hAnsi="仿宋" w:eastAsia="仿宋" w:cs="仿宋"/>
                <w:sz w:val="24"/>
              </w:rPr>
            </w:pPr>
            <w:r>
              <w:rPr>
                <w:rFonts w:hint="eastAsia" w:ascii="仿宋" w:hAnsi="仿宋" w:eastAsia="仿宋" w:cs="仿宋"/>
                <w:sz w:val="24"/>
              </w:rPr>
              <w:t>本次协商采用二次报价。</w:t>
            </w:r>
          </w:p>
          <w:p w14:paraId="0499CBE8">
            <w:pPr>
              <w:spacing w:line="500" w:lineRule="exact"/>
              <w:jc w:val="left"/>
              <w:rPr>
                <w:rFonts w:ascii="仿宋" w:hAnsi="仿宋" w:eastAsia="仿宋" w:cs="仿宋"/>
                <w:sz w:val="24"/>
              </w:rPr>
            </w:pPr>
            <w:r>
              <w:rPr>
                <w:rFonts w:hint="eastAsia" w:ascii="仿宋" w:hAnsi="仿宋" w:eastAsia="仿宋" w:cs="仿宋"/>
                <w:sz w:val="24"/>
              </w:rPr>
              <w:t>协商程序为：</w:t>
            </w:r>
          </w:p>
          <w:p w14:paraId="27AADCB3">
            <w:pPr>
              <w:spacing w:line="500" w:lineRule="exact"/>
              <w:jc w:val="left"/>
              <w:rPr>
                <w:rFonts w:ascii="仿宋" w:hAnsi="仿宋" w:eastAsia="仿宋" w:cs="仿宋"/>
                <w:sz w:val="24"/>
              </w:rPr>
            </w:pPr>
            <w:r>
              <w:rPr>
                <w:rFonts w:hint="eastAsia" w:ascii="仿宋" w:hAnsi="仿宋" w:eastAsia="仿宋" w:cs="仿宋"/>
                <w:sz w:val="24"/>
              </w:rPr>
              <w:t>1.协商小组对提交的响应文件进行评审；</w:t>
            </w:r>
          </w:p>
          <w:p w14:paraId="22F898ED">
            <w:pPr>
              <w:spacing w:line="500" w:lineRule="exact"/>
              <w:jc w:val="left"/>
              <w:rPr>
                <w:rFonts w:ascii="仿宋" w:hAnsi="仿宋" w:eastAsia="仿宋" w:cs="仿宋"/>
                <w:sz w:val="24"/>
              </w:rPr>
            </w:pPr>
            <w:r>
              <w:rPr>
                <w:rFonts w:hint="eastAsia" w:ascii="仿宋" w:hAnsi="仿宋" w:eastAsia="仿宋" w:cs="仿宋"/>
                <w:sz w:val="24"/>
              </w:rPr>
              <w:t>2.协商小组所有成员集中与供应商进行协商；</w:t>
            </w:r>
          </w:p>
          <w:p w14:paraId="107393D8">
            <w:pPr>
              <w:spacing w:line="500" w:lineRule="exact"/>
              <w:jc w:val="left"/>
              <w:rPr>
                <w:rFonts w:ascii="仿宋" w:hAnsi="仿宋" w:eastAsia="仿宋" w:cs="仿宋"/>
                <w:sz w:val="24"/>
              </w:rPr>
            </w:pPr>
            <w:r>
              <w:rPr>
                <w:rFonts w:hint="eastAsia" w:ascii="仿宋" w:hAnsi="仿宋" w:eastAsia="仿宋" w:cs="仿宋"/>
                <w:sz w:val="24"/>
              </w:rPr>
              <w:t>3.供应商按照要求提交二次报价；</w:t>
            </w:r>
          </w:p>
          <w:p w14:paraId="31E593A9">
            <w:pPr>
              <w:spacing w:line="500" w:lineRule="exact"/>
              <w:jc w:val="left"/>
              <w:rPr>
                <w:rFonts w:ascii="仿宋" w:hAnsi="仿宋" w:eastAsia="仿宋" w:cs="仿宋"/>
                <w:sz w:val="24"/>
              </w:rPr>
            </w:pPr>
            <w:r>
              <w:rPr>
                <w:rFonts w:hint="eastAsia" w:ascii="仿宋" w:hAnsi="仿宋" w:eastAsia="仿宋" w:cs="仿宋"/>
                <w:sz w:val="24"/>
              </w:rPr>
              <w:t>4.协商小组评审、推荐成交候选人。</w:t>
            </w:r>
          </w:p>
          <w:p w14:paraId="03BDF981">
            <w:pPr>
              <w:spacing w:line="500" w:lineRule="exact"/>
              <w:jc w:val="left"/>
              <w:rPr>
                <w:rFonts w:ascii="仿宋" w:hAnsi="仿宋" w:eastAsia="仿宋" w:cs="仿宋"/>
                <w:sz w:val="24"/>
              </w:rPr>
            </w:pPr>
            <w:r>
              <w:rPr>
                <w:rFonts w:hint="eastAsia" w:ascii="仿宋" w:hAnsi="仿宋" w:eastAsia="仿宋" w:cs="仿宋"/>
                <w:sz w:val="24"/>
              </w:rPr>
              <w:t>在协商过程中，协商小组可以根据采购文件和协商情况实质性变动采购需求中的技术、服务要求以及合同草案条款，二次报价为最终报价。</w:t>
            </w:r>
          </w:p>
        </w:tc>
      </w:tr>
      <w:tr w14:paraId="23CF48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0" w:hRule="atLeast"/>
          <w:jc w:val="center"/>
        </w:trPr>
        <w:tc>
          <w:tcPr>
            <w:tcW w:w="502" w:type="pct"/>
            <w:vAlign w:val="center"/>
          </w:tcPr>
          <w:p w14:paraId="33D0B278">
            <w:pPr>
              <w:spacing w:line="360" w:lineRule="auto"/>
              <w:jc w:val="center"/>
              <w:rPr>
                <w:rFonts w:ascii="仿宋" w:hAnsi="仿宋" w:eastAsia="仿宋" w:cs="仿宋"/>
                <w:sz w:val="24"/>
              </w:rPr>
            </w:pPr>
            <w:r>
              <w:rPr>
                <w:rFonts w:hint="eastAsia" w:ascii="仿宋" w:hAnsi="仿宋" w:eastAsia="仿宋" w:cs="仿宋"/>
                <w:sz w:val="24"/>
              </w:rPr>
              <w:t>38</w:t>
            </w:r>
          </w:p>
        </w:tc>
        <w:tc>
          <w:tcPr>
            <w:tcW w:w="868" w:type="pct"/>
            <w:vAlign w:val="center"/>
          </w:tcPr>
          <w:p w14:paraId="7FB4043A">
            <w:pPr>
              <w:spacing w:line="360" w:lineRule="auto"/>
              <w:jc w:val="center"/>
              <w:rPr>
                <w:rFonts w:ascii="仿宋" w:hAnsi="仿宋" w:eastAsia="仿宋" w:cs="仿宋"/>
                <w:sz w:val="24"/>
              </w:rPr>
            </w:pPr>
            <w:r>
              <w:rPr>
                <w:rFonts w:hint="eastAsia" w:ascii="仿宋" w:hAnsi="仿宋" w:eastAsia="仿宋" w:cs="仿宋"/>
                <w:sz w:val="24"/>
              </w:rPr>
              <w:t>招标代理费</w:t>
            </w:r>
          </w:p>
        </w:tc>
        <w:tc>
          <w:tcPr>
            <w:tcW w:w="3629" w:type="pct"/>
            <w:vAlign w:val="center"/>
          </w:tcPr>
          <w:p w14:paraId="22C770DB">
            <w:pPr>
              <w:pStyle w:val="40"/>
              <w:spacing w:line="360" w:lineRule="auto"/>
              <w:jc w:val="both"/>
              <w:rPr>
                <w:rFonts w:hint="default" w:ascii="仿宋" w:hAnsi="仿宋" w:eastAsia="仿宋" w:cs="仿宋"/>
                <w:sz w:val="24"/>
                <w:szCs w:val="24"/>
                <w:lang w:eastAsia="zh-CN"/>
              </w:rPr>
            </w:pPr>
            <w:r>
              <w:rPr>
                <w:rFonts w:ascii="仿宋" w:hAnsi="仿宋" w:eastAsia="仿宋" w:cs="仿宋"/>
                <w:sz w:val="24"/>
                <w:szCs w:val="24"/>
                <w:lang w:eastAsia="zh-CN"/>
              </w:rPr>
              <w:t>成交供应商</w:t>
            </w:r>
            <w:r>
              <w:rPr>
                <w:rFonts w:ascii="仿宋" w:hAnsi="仿宋" w:eastAsia="仿宋" w:cs="仿宋"/>
                <w:sz w:val="24"/>
                <w:szCs w:val="24"/>
              </w:rPr>
              <w:t>在领取《中标通知书》之前，向采购代理机构一次付清招标代理服务费</w:t>
            </w:r>
            <w:r>
              <w:rPr>
                <w:rFonts w:ascii="仿宋" w:hAnsi="仿宋" w:eastAsia="仿宋" w:cs="仿宋"/>
                <w:sz w:val="24"/>
                <w:szCs w:val="24"/>
                <w:lang w:eastAsia="zh-CN"/>
              </w:rPr>
              <w:t>，本项目共11个标段，每标段按定额2000.00元计取</w:t>
            </w:r>
            <w:r>
              <w:rPr>
                <w:rFonts w:ascii="仿宋" w:hAnsi="仿宋" w:eastAsia="仿宋" w:cs="仿宋"/>
                <w:sz w:val="24"/>
                <w:szCs w:val="24"/>
              </w:rPr>
              <w:t>。 银行户名：陕西德仁招标有限公司 开户银行：招商银行股份有限公司西安城南支行 账 号：1299 0904 6810 901 联系人：苏会计 联系电话：029-89185132 邮箱：sxdrzb@qq.com</w:t>
            </w:r>
          </w:p>
        </w:tc>
      </w:tr>
    </w:tbl>
    <w:p w14:paraId="3E360B2E">
      <w:pPr>
        <w:spacing w:line="360" w:lineRule="auto"/>
        <w:jc w:val="left"/>
        <w:rPr>
          <w:rFonts w:ascii="仿宋" w:hAnsi="仿宋" w:eastAsia="仿宋" w:cs="仿宋"/>
          <w:b/>
          <w:szCs w:val="21"/>
        </w:rPr>
      </w:pPr>
      <w:bookmarkStart w:id="3" w:name="_Toc1429"/>
      <w:bookmarkStart w:id="4" w:name="_Toc19919"/>
      <w:bookmarkStart w:id="5" w:name="_Toc18861"/>
      <w:r>
        <w:rPr>
          <w:rFonts w:hint="eastAsia" w:ascii="仿宋" w:hAnsi="仿宋" w:eastAsia="仿宋" w:cs="仿宋"/>
          <w:b/>
          <w:szCs w:val="21"/>
        </w:rPr>
        <w:t>注：</w:t>
      </w:r>
      <w:bookmarkEnd w:id="3"/>
      <w:bookmarkEnd w:id="4"/>
      <w:bookmarkEnd w:id="5"/>
      <w:r>
        <w:rPr>
          <w:rFonts w:hint="eastAsia" w:ascii="仿宋" w:hAnsi="仿宋" w:eastAsia="仿宋" w:cs="仿宋"/>
          <w:b/>
          <w:szCs w:val="21"/>
        </w:rPr>
        <w:t>供应商须知前附表与采购文件正文对同一事项描述不一致的，以供应商须知前附表为准。</w:t>
      </w:r>
    </w:p>
    <w:p w14:paraId="7363C595">
      <w:pPr>
        <w:spacing w:line="360" w:lineRule="auto"/>
        <w:jc w:val="center"/>
        <w:rPr>
          <w:rFonts w:ascii="仿宋" w:hAnsi="仿宋" w:eastAsia="仿宋" w:cs="仿宋"/>
          <w:b/>
          <w:sz w:val="30"/>
          <w:szCs w:val="30"/>
        </w:rPr>
      </w:pPr>
      <w:r>
        <w:rPr>
          <w:rFonts w:hint="eastAsia" w:ascii="仿宋" w:hAnsi="仿宋" w:eastAsia="仿宋" w:cs="仿宋"/>
          <w:b/>
          <w:sz w:val="30"/>
          <w:szCs w:val="30"/>
        </w:rPr>
        <w:br w:type="page"/>
      </w:r>
      <w:r>
        <w:rPr>
          <w:rFonts w:hint="eastAsia" w:ascii="仿宋" w:hAnsi="仿宋" w:eastAsia="仿宋" w:cs="仿宋"/>
          <w:b/>
          <w:sz w:val="30"/>
          <w:szCs w:val="30"/>
        </w:rPr>
        <w:t>一．名词解释</w:t>
      </w:r>
    </w:p>
    <w:p w14:paraId="47D2A831">
      <w:pPr>
        <w:snapToGrid w:val="0"/>
        <w:spacing w:line="360" w:lineRule="auto"/>
        <w:rPr>
          <w:rFonts w:ascii="仿宋" w:hAnsi="仿宋" w:eastAsia="仿宋" w:cs="仿宋"/>
          <w:sz w:val="24"/>
        </w:rPr>
      </w:pPr>
      <w:r>
        <w:rPr>
          <w:rFonts w:hint="eastAsia" w:ascii="仿宋" w:hAnsi="仿宋" w:eastAsia="仿宋" w:cs="仿宋"/>
          <w:sz w:val="24"/>
        </w:rPr>
        <w:t>★ 采购人：陕西省交通医院</w:t>
      </w:r>
    </w:p>
    <w:p w14:paraId="61287C0E">
      <w:pPr>
        <w:snapToGrid w:val="0"/>
        <w:spacing w:line="360" w:lineRule="auto"/>
        <w:rPr>
          <w:rFonts w:ascii="仿宋" w:hAnsi="仿宋" w:eastAsia="仿宋" w:cs="仿宋"/>
          <w:sz w:val="24"/>
        </w:rPr>
      </w:pPr>
      <w:r>
        <w:rPr>
          <w:rFonts w:hint="eastAsia" w:ascii="仿宋" w:hAnsi="仿宋" w:eastAsia="仿宋" w:cs="仿宋"/>
          <w:sz w:val="24"/>
        </w:rPr>
        <w:t>★ 监督机构：政府采购监督管理部门及监察部门</w:t>
      </w:r>
    </w:p>
    <w:p w14:paraId="69E60F62">
      <w:pPr>
        <w:snapToGrid w:val="0"/>
        <w:spacing w:line="360" w:lineRule="auto"/>
        <w:rPr>
          <w:rFonts w:ascii="仿宋" w:hAnsi="仿宋" w:eastAsia="仿宋" w:cs="仿宋"/>
          <w:sz w:val="24"/>
        </w:rPr>
      </w:pPr>
      <w:r>
        <w:rPr>
          <w:rFonts w:hint="eastAsia" w:ascii="仿宋" w:hAnsi="仿宋" w:eastAsia="仿宋" w:cs="仿宋"/>
          <w:sz w:val="24"/>
        </w:rPr>
        <w:t>★ 采购代理机构：陕西德仁招标有限公司</w:t>
      </w:r>
    </w:p>
    <w:p w14:paraId="5E1D2B2E">
      <w:pPr>
        <w:snapToGrid w:val="0"/>
        <w:spacing w:line="360" w:lineRule="auto"/>
        <w:rPr>
          <w:rFonts w:ascii="仿宋" w:hAnsi="仿宋" w:eastAsia="仿宋" w:cs="仿宋"/>
          <w:sz w:val="24"/>
        </w:rPr>
      </w:pPr>
      <w:r>
        <w:rPr>
          <w:rFonts w:hint="eastAsia" w:ascii="仿宋" w:hAnsi="仿宋" w:eastAsia="仿宋" w:cs="仿宋"/>
          <w:sz w:val="24"/>
        </w:rPr>
        <w:t>★ 协商供应商：满足本次协商要求具有相应资质和完成项目能力的供应商</w:t>
      </w:r>
    </w:p>
    <w:p w14:paraId="1DAC80D3">
      <w:pPr>
        <w:snapToGrid w:val="0"/>
        <w:spacing w:line="360" w:lineRule="auto"/>
        <w:rPr>
          <w:rFonts w:ascii="仿宋" w:hAnsi="仿宋" w:eastAsia="仿宋" w:cs="仿宋"/>
          <w:sz w:val="24"/>
        </w:rPr>
      </w:pPr>
      <w:r>
        <w:rPr>
          <w:rFonts w:hint="eastAsia" w:ascii="仿宋" w:hAnsi="仿宋" w:eastAsia="仿宋" w:cs="仿宋"/>
          <w:sz w:val="24"/>
        </w:rPr>
        <w:t>★ 成交供应商：由协商小组推荐经采购人确认的协商供应商</w:t>
      </w:r>
    </w:p>
    <w:p w14:paraId="228F3156">
      <w:pPr>
        <w:spacing w:line="360" w:lineRule="auto"/>
        <w:jc w:val="center"/>
        <w:rPr>
          <w:rFonts w:ascii="仿宋" w:hAnsi="仿宋" w:eastAsia="仿宋" w:cs="仿宋"/>
          <w:b/>
          <w:sz w:val="30"/>
          <w:szCs w:val="30"/>
        </w:rPr>
      </w:pPr>
      <w:r>
        <w:rPr>
          <w:rFonts w:hint="eastAsia" w:ascii="仿宋" w:hAnsi="仿宋" w:eastAsia="仿宋" w:cs="仿宋"/>
          <w:b/>
          <w:sz w:val="30"/>
          <w:szCs w:val="30"/>
        </w:rPr>
        <w:t>二．协商供应商</w:t>
      </w:r>
    </w:p>
    <w:p w14:paraId="7C9B1523">
      <w:pPr>
        <w:snapToGrid w:val="0"/>
        <w:spacing w:line="360" w:lineRule="auto"/>
        <w:ind w:firstLine="120" w:firstLineChars="50"/>
        <w:rPr>
          <w:rFonts w:ascii="仿宋" w:hAnsi="仿宋" w:eastAsia="仿宋" w:cs="仿宋"/>
          <w:b/>
          <w:sz w:val="24"/>
        </w:rPr>
      </w:pPr>
      <w:r>
        <w:rPr>
          <w:rFonts w:hint="eastAsia" w:ascii="仿宋" w:hAnsi="仿宋" w:eastAsia="仿宋" w:cs="仿宋"/>
          <w:b/>
          <w:sz w:val="24"/>
        </w:rPr>
        <w:t>1．合格供应商</w:t>
      </w:r>
    </w:p>
    <w:p w14:paraId="2EA10289">
      <w:pPr>
        <w:snapToGrid w:val="0"/>
        <w:spacing w:line="360" w:lineRule="auto"/>
        <w:ind w:left="1137" w:leftChars="200" w:hanging="717" w:hangingChars="299"/>
        <w:rPr>
          <w:rFonts w:ascii="仿宋" w:hAnsi="仿宋" w:eastAsia="仿宋" w:cs="仿宋"/>
          <w:sz w:val="24"/>
        </w:rPr>
      </w:pPr>
      <w:r>
        <w:rPr>
          <w:rFonts w:hint="eastAsia" w:ascii="仿宋" w:hAnsi="仿宋" w:eastAsia="仿宋" w:cs="仿宋"/>
          <w:sz w:val="24"/>
        </w:rPr>
        <w:t>1）具有独立承担民事责任的能力</w:t>
      </w:r>
    </w:p>
    <w:p w14:paraId="2FAD4669">
      <w:pPr>
        <w:snapToGrid w:val="0"/>
        <w:spacing w:line="360" w:lineRule="auto"/>
        <w:ind w:left="1137" w:leftChars="200" w:hanging="717" w:hangingChars="299"/>
        <w:rPr>
          <w:rFonts w:ascii="仿宋" w:hAnsi="仿宋" w:eastAsia="仿宋" w:cs="仿宋"/>
          <w:sz w:val="24"/>
        </w:rPr>
      </w:pPr>
      <w:r>
        <w:rPr>
          <w:rFonts w:hint="eastAsia" w:ascii="仿宋" w:hAnsi="仿宋" w:eastAsia="仿宋" w:cs="仿宋"/>
          <w:sz w:val="24"/>
        </w:rPr>
        <w:t>2）具有良好的商业信誉和健全的财务会计制度</w:t>
      </w:r>
    </w:p>
    <w:p w14:paraId="01A435AC">
      <w:pPr>
        <w:snapToGrid w:val="0"/>
        <w:spacing w:line="360" w:lineRule="auto"/>
        <w:ind w:left="1137" w:leftChars="200" w:hanging="717" w:hangingChars="299"/>
        <w:rPr>
          <w:rFonts w:ascii="仿宋" w:hAnsi="仿宋" w:eastAsia="仿宋" w:cs="仿宋"/>
          <w:sz w:val="24"/>
        </w:rPr>
      </w:pPr>
      <w:r>
        <w:rPr>
          <w:rFonts w:hint="eastAsia" w:ascii="仿宋" w:hAnsi="仿宋" w:eastAsia="仿宋" w:cs="仿宋"/>
          <w:sz w:val="24"/>
        </w:rPr>
        <w:t>3）具有履行合同所必需的专业技术能力</w:t>
      </w:r>
    </w:p>
    <w:p w14:paraId="48EDB824">
      <w:pPr>
        <w:snapToGrid w:val="0"/>
        <w:spacing w:line="360" w:lineRule="auto"/>
        <w:ind w:left="1137" w:leftChars="200" w:hanging="717" w:hangingChars="299"/>
        <w:rPr>
          <w:rFonts w:ascii="仿宋" w:hAnsi="仿宋" w:eastAsia="仿宋" w:cs="仿宋"/>
          <w:sz w:val="24"/>
        </w:rPr>
      </w:pPr>
      <w:r>
        <w:rPr>
          <w:rFonts w:hint="eastAsia" w:ascii="仿宋" w:hAnsi="仿宋" w:eastAsia="仿宋" w:cs="仿宋"/>
          <w:sz w:val="24"/>
        </w:rPr>
        <w:t>4）有依法缴纳税收和社会保障资金的良好记录</w:t>
      </w:r>
    </w:p>
    <w:p w14:paraId="67CC46B2">
      <w:pPr>
        <w:snapToGrid w:val="0"/>
        <w:spacing w:line="360" w:lineRule="auto"/>
        <w:ind w:left="1137" w:leftChars="200" w:hanging="717" w:hangingChars="299"/>
        <w:rPr>
          <w:rFonts w:ascii="仿宋" w:hAnsi="仿宋" w:eastAsia="仿宋" w:cs="仿宋"/>
          <w:sz w:val="24"/>
        </w:rPr>
      </w:pPr>
      <w:r>
        <w:rPr>
          <w:rFonts w:hint="eastAsia" w:ascii="仿宋" w:hAnsi="仿宋" w:eastAsia="仿宋" w:cs="仿宋"/>
          <w:sz w:val="24"/>
        </w:rPr>
        <w:t>5）参加政府采购活动前三年内，在经营活动中没有重大违法记录</w:t>
      </w:r>
    </w:p>
    <w:p w14:paraId="6647AF47">
      <w:pPr>
        <w:snapToGrid w:val="0"/>
        <w:spacing w:line="360" w:lineRule="auto"/>
        <w:ind w:left="1137" w:leftChars="200" w:hanging="717" w:hangingChars="299"/>
        <w:rPr>
          <w:rFonts w:ascii="仿宋" w:hAnsi="仿宋" w:eastAsia="仿宋" w:cs="仿宋"/>
          <w:sz w:val="24"/>
        </w:rPr>
      </w:pPr>
      <w:r>
        <w:rPr>
          <w:rFonts w:hint="eastAsia" w:ascii="仿宋" w:hAnsi="仿宋" w:eastAsia="仿宋" w:cs="仿宋"/>
          <w:sz w:val="24"/>
        </w:rPr>
        <w:t>6）法律、行政法规规定的其它条件</w:t>
      </w:r>
    </w:p>
    <w:p w14:paraId="0BF37A07">
      <w:pPr>
        <w:snapToGrid w:val="0"/>
        <w:spacing w:line="360" w:lineRule="auto"/>
        <w:ind w:firstLine="120" w:firstLineChars="50"/>
        <w:rPr>
          <w:rFonts w:ascii="仿宋" w:hAnsi="仿宋" w:eastAsia="仿宋" w:cs="仿宋"/>
          <w:b/>
          <w:sz w:val="24"/>
        </w:rPr>
      </w:pPr>
      <w:r>
        <w:rPr>
          <w:rFonts w:hint="eastAsia" w:ascii="仿宋" w:hAnsi="仿宋" w:eastAsia="仿宋" w:cs="仿宋"/>
          <w:b/>
          <w:sz w:val="24"/>
        </w:rPr>
        <w:t>2．协商委托</w:t>
      </w:r>
    </w:p>
    <w:p w14:paraId="2A13BD85">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如供应商代表不是法定代表人，须持有《法定代表人授权书》（原件）。</w:t>
      </w:r>
    </w:p>
    <w:p w14:paraId="577DD173">
      <w:pPr>
        <w:snapToGrid w:val="0"/>
        <w:spacing w:line="360" w:lineRule="auto"/>
        <w:rPr>
          <w:rFonts w:ascii="仿宋" w:hAnsi="仿宋" w:eastAsia="仿宋" w:cs="仿宋"/>
          <w:b/>
          <w:sz w:val="24"/>
        </w:rPr>
      </w:pPr>
      <w:r>
        <w:rPr>
          <w:rFonts w:hint="eastAsia" w:ascii="仿宋" w:hAnsi="仿宋" w:eastAsia="仿宋" w:cs="仿宋"/>
          <w:b/>
          <w:sz w:val="24"/>
        </w:rPr>
        <w:t>3．单一来源响应文件内容的真实性</w:t>
      </w:r>
    </w:p>
    <w:p w14:paraId="00D972BC">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供应商应保证其单一来源响应文件中所提供的所有有关响应的资料、信息是真实的，并且来源于合法的渠道。因单一来源响应文件中所提供的有关响应的资料、信息不真实，或者其来源不合法而导致的所有法律责任，由供应商自行承担。</w:t>
      </w:r>
    </w:p>
    <w:p w14:paraId="1C872631">
      <w:pPr>
        <w:snapToGrid w:val="0"/>
        <w:spacing w:line="360" w:lineRule="auto"/>
        <w:rPr>
          <w:rFonts w:ascii="仿宋" w:hAnsi="仿宋" w:eastAsia="仿宋" w:cs="仿宋"/>
          <w:b/>
          <w:sz w:val="24"/>
        </w:rPr>
      </w:pPr>
      <w:r>
        <w:rPr>
          <w:rFonts w:hint="eastAsia" w:ascii="仿宋" w:hAnsi="仿宋" w:eastAsia="仿宋" w:cs="仿宋"/>
          <w:b/>
          <w:sz w:val="24"/>
        </w:rPr>
        <w:t>4、协商费用</w:t>
      </w:r>
    </w:p>
    <w:p w14:paraId="1CC69328">
      <w:pPr>
        <w:pStyle w:val="30"/>
        <w:snapToGrid w:val="0"/>
        <w:spacing w:line="360" w:lineRule="auto"/>
        <w:ind w:firstLine="480"/>
        <w:rPr>
          <w:rFonts w:ascii="仿宋" w:hAnsi="仿宋" w:eastAsia="仿宋" w:cs="仿宋"/>
          <w:sz w:val="24"/>
          <w:szCs w:val="24"/>
        </w:rPr>
      </w:pPr>
      <w:r>
        <w:rPr>
          <w:rFonts w:hint="eastAsia" w:ascii="仿宋" w:hAnsi="仿宋" w:eastAsia="仿宋" w:cs="仿宋"/>
          <w:sz w:val="24"/>
          <w:szCs w:val="24"/>
        </w:rPr>
        <w:t>无论协商的结果如何，协商供应商自行承担参加协商相关的全部费用。</w:t>
      </w:r>
    </w:p>
    <w:p w14:paraId="4F1A9E4D">
      <w:pPr>
        <w:snapToGrid w:val="0"/>
        <w:spacing w:line="360" w:lineRule="auto"/>
        <w:ind w:firstLine="120" w:firstLineChars="50"/>
        <w:rPr>
          <w:rFonts w:ascii="仿宋" w:hAnsi="仿宋" w:eastAsia="仿宋" w:cs="仿宋"/>
          <w:b/>
          <w:sz w:val="24"/>
        </w:rPr>
      </w:pPr>
      <w:r>
        <w:rPr>
          <w:rFonts w:hint="eastAsia" w:ascii="仿宋" w:hAnsi="仿宋" w:eastAsia="仿宋" w:cs="仿宋"/>
          <w:b/>
          <w:sz w:val="24"/>
        </w:rPr>
        <w:t>5.政府采购政策支持与其他规定</w:t>
      </w:r>
    </w:p>
    <w:p w14:paraId="77A2EB73">
      <w:pPr>
        <w:pStyle w:val="13"/>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5.1　产品属于政府强制采购节能产品范围，必须将是否列入最新一期节能清单作为采购产品的资格条件。本项目的详细要求见评审办法。</w:t>
      </w:r>
    </w:p>
    <w:p w14:paraId="4E3AA031">
      <w:pPr>
        <w:pStyle w:val="13"/>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5.2　对列入最新一期节能清单(非强制类)、环保清单内的产品，应分别予以相应的加分或价格扣除；对于同时列入“两个清单”的产品，应当优先于只获得其中一项认证的产品。本项目的详细要求见评审办法。</w:t>
      </w:r>
    </w:p>
    <w:p w14:paraId="14CB0E96">
      <w:pPr>
        <w:pStyle w:val="13"/>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5.3　供应商享受支持中小企业发展政策优惠的，可用扣除后的最后报价参与价格比较。本项目价格扣除比例及相关要求见评审办法。</w:t>
      </w:r>
    </w:p>
    <w:p w14:paraId="580DAE3D">
      <w:pPr>
        <w:pStyle w:val="13"/>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5.4　监狱企业视同小型、微型企业，享受促进中小企业发展政策优惠，可用扣除后的最后报价参与价格比较。本项目价格扣除比例及相关要求详见评审办法。</w:t>
      </w:r>
    </w:p>
    <w:p w14:paraId="2C9F832B">
      <w:pPr>
        <w:pStyle w:val="13"/>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5.5　采购人使用财政性资金采购信息安全产品的，应当采购经国家认证的信息安全产品，应当在采购文件中载明对产品获得信息安全认证的要求，并要求产品供应商提供由中国信息安全认证中心按国家标准认证颁发的有效认证证书。本项目的详细要求见评审办法。</w:t>
      </w:r>
    </w:p>
    <w:p w14:paraId="41AA9150">
      <w:pPr>
        <w:pStyle w:val="13"/>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5.6　其他法律法规强制性规定。</w:t>
      </w:r>
    </w:p>
    <w:p w14:paraId="768F5B81">
      <w:pPr>
        <w:snapToGrid w:val="0"/>
        <w:spacing w:line="360" w:lineRule="auto"/>
        <w:jc w:val="center"/>
        <w:rPr>
          <w:rFonts w:ascii="仿宋" w:hAnsi="仿宋" w:eastAsia="仿宋" w:cs="仿宋"/>
          <w:sz w:val="30"/>
          <w:szCs w:val="30"/>
        </w:rPr>
      </w:pPr>
      <w:r>
        <w:rPr>
          <w:rFonts w:hint="eastAsia" w:ascii="仿宋" w:hAnsi="仿宋" w:eastAsia="仿宋" w:cs="仿宋"/>
          <w:b/>
          <w:sz w:val="30"/>
          <w:szCs w:val="30"/>
        </w:rPr>
        <w:t>三．单一来源采购文件</w:t>
      </w:r>
    </w:p>
    <w:p w14:paraId="16D5EF9B">
      <w:pPr>
        <w:snapToGrid w:val="0"/>
        <w:spacing w:line="360" w:lineRule="auto"/>
        <w:ind w:firstLine="120" w:firstLineChars="50"/>
        <w:rPr>
          <w:rFonts w:ascii="仿宋" w:hAnsi="仿宋" w:eastAsia="仿宋" w:cs="仿宋"/>
          <w:b/>
          <w:sz w:val="24"/>
        </w:rPr>
      </w:pPr>
      <w:r>
        <w:rPr>
          <w:rFonts w:hint="eastAsia" w:ascii="仿宋" w:hAnsi="仿宋" w:eastAsia="仿宋" w:cs="仿宋"/>
          <w:b/>
          <w:sz w:val="24"/>
        </w:rPr>
        <w:t>1、单一来源采购文件</w:t>
      </w:r>
    </w:p>
    <w:p w14:paraId="7E5B9299">
      <w:pPr>
        <w:snapToGrid w:val="0"/>
        <w:spacing w:line="360" w:lineRule="auto"/>
        <w:ind w:firstLine="360" w:firstLineChars="150"/>
        <w:rPr>
          <w:rFonts w:ascii="仿宋" w:hAnsi="仿宋" w:eastAsia="仿宋" w:cs="仿宋"/>
          <w:sz w:val="24"/>
        </w:rPr>
      </w:pPr>
      <w:r>
        <w:rPr>
          <w:rFonts w:hint="eastAsia" w:ascii="仿宋" w:hAnsi="仿宋" w:eastAsia="仿宋" w:cs="仿宋"/>
          <w:sz w:val="24"/>
        </w:rPr>
        <w:t>1.1 单一来源采购文件要求提供的货物及服务，协商程序和合同条件在采购文件中均有说明。</w:t>
      </w:r>
    </w:p>
    <w:p w14:paraId="0405C328">
      <w:pPr>
        <w:snapToGrid w:val="0"/>
        <w:spacing w:line="360" w:lineRule="auto"/>
        <w:ind w:firstLine="360" w:firstLineChars="150"/>
        <w:rPr>
          <w:rFonts w:ascii="仿宋" w:hAnsi="仿宋" w:eastAsia="仿宋" w:cs="仿宋"/>
          <w:sz w:val="24"/>
        </w:rPr>
      </w:pPr>
      <w:r>
        <w:rPr>
          <w:rFonts w:hint="eastAsia" w:ascii="仿宋" w:hAnsi="仿宋" w:eastAsia="仿宋" w:cs="仿宋"/>
          <w:sz w:val="24"/>
        </w:rPr>
        <w:t>1.2 供应商应认真阅读采购文件中所有的事项、格式、条款和规范等要求。如果供应商没有按照采购文件要求提交全部资料，或者响应文件没有对采购文件在各方面都做出实质性响应，由此带来不利于供应商的采购结果，其风险由供应商承担。</w:t>
      </w:r>
    </w:p>
    <w:p w14:paraId="6D7E6B31">
      <w:pPr>
        <w:snapToGrid w:val="0"/>
        <w:spacing w:line="360" w:lineRule="auto"/>
        <w:ind w:firstLine="120" w:firstLineChars="50"/>
        <w:rPr>
          <w:rFonts w:ascii="仿宋" w:hAnsi="仿宋" w:eastAsia="仿宋" w:cs="仿宋"/>
          <w:b/>
          <w:sz w:val="24"/>
        </w:rPr>
      </w:pPr>
      <w:r>
        <w:rPr>
          <w:rFonts w:hint="eastAsia" w:ascii="仿宋" w:hAnsi="仿宋" w:eastAsia="仿宋" w:cs="仿宋"/>
          <w:b/>
          <w:sz w:val="24"/>
        </w:rPr>
        <w:t>2、单一来源采购文件的购买</w:t>
      </w:r>
    </w:p>
    <w:p w14:paraId="2FBBA302">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供应商必须从采购代理机构购买单一来源采购文件，供应商自行转让或复制的单一来源采购文件视为无效文件；单一来源采购文件一经售出，一律不退，仅作为本次协商使用。</w:t>
      </w:r>
    </w:p>
    <w:p w14:paraId="39FD1FF0">
      <w:pPr>
        <w:snapToGrid w:val="0"/>
        <w:spacing w:line="360" w:lineRule="auto"/>
        <w:ind w:firstLine="120" w:firstLineChars="50"/>
        <w:rPr>
          <w:rFonts w:ascii="仿宋" w:hAnsi="仿宋" w:eastAsia="仿宋" w:cs="仿宋"/>
          <w:b/>
          <w:sz w:val="24"/>
        </w:rPr>
      </w:pPr>
      <w:r>
        <w:rPr>
          <w:rFonts w:hint="eastAsia" w:ascii="仿宋" w:hAnsi="仿宋" w:eastAsia="仿宋" w:cs="仿宋"/>
          <w:b/>
          <w:sz w:val="24"/>
        </w:rPr>
        <w:t>3、协商的处理依据</w:t>
      </w:r>
    </w:p>
    <w:p w14:paraId="3F9DA1F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协商小组有权对在协商过程中出现的一切问题，根据《中华人民共和国政府采购法》和《政府采购非招标采购方式管理办法》的条款，本着公开、公平、公正的原则进行处理。</w:t>
      </w:r>
    </w:p>
    <w:p w14:paraId="1796C816">
      <w:pPr>
        <w:snapToGrid w:val="0"/>
        <w:spacing w:line="360" w:lineRule="auto"/>
        <w:ind w:firstLine="120" w:firstLineChars="50"/>
        <w:rPr>
          <w:rFonts w:ascii="仿宋" w:hAnsi="仿宋" w:eastAsia="仿宋" w:cs="仿宋"/>
          <w:b/>
          <w:sz w:val="24"/>
        </w:rPr>
      </w:pPr>
      <w:r>
        <w:rPr>
          <w:rFonts w:hint="eastAsia" w:ascii="仿宋" w:hAnsi="仿宋" w:eastAsia="仿宋" w:cs="仿宋"/>
          <w:b/>
          <w:sz w:val="24"/>
        </w:rPr>
        <w:t>4、解释权归属</w:t>
      </w:r>
    </w:p>
    <w:p w14:paraId="4E27BBA5">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本单一来源采购文件的解释权归采购代理机构。</w:t>
      </w:r>
    </w:p>
    <w:p w14:paraId="407C1B44">
      <w:pPr>
        <w:snapToGrid w:val="0"/>
        <w:spacing w:line="360" w:lineRule="auto"/>
        <w:jc w:val="center"/>
        <w:rPr>
          <w:rFonts w:ascii="仿宋" w:hAnsi="仿宋" w:eastAsia="仿宋" w:cs="仿宋"/>
          <w:sz w:val="30"/>
          <w:szCs w:val="30"/>
        </w:rPr>
      </w:pPr>
      <w:r>
        <w:rPr>
          <w:rFonts w:hint="eastAsia" w:ascii="仿宋" w:hAnsi="仿宋" w:eastAsia="仿宋" w:cs="仿宋"/>
          <w:b/>
          <w:sz w:val="30"/>
          <w:szCs w:val="30"/>
        </w:rPr>
        <w:t>四、单一来源采购协商要求</w:t>
      </w:r>
    </w:p>
    <w:p w14:paraId="03E1F7ED">
      <w:pPr>
        <w:snapToGrid w:val="0"/>
        <w:spacing w:line="360" w:lineRule="auto"/>
        <w:rPr>
          <w:rFonts w:ascii="仿宋" w:hAnsi="仿宋" w:eastAsia="仿宋" w:cs="仿宋"/>
          <w:b/>
          <w:sz w:val="24"/>
        </w:rPr>
      </w:pPr>
      <w:r>
        <w:rPr>
          <w:rFonts w:hint="eastAsia" w:ascii="仿宋" w:hAnsi="仿宋" w:eastAsia="仿宋" w:cs="仿宋"/>
          <w:b/>
          <w:sz w:val="24"/>
        </w:rPr>
        <w:t>1、协商语言和计量单位的使用</w:t>
      </w:r>
    </w:p>
    <w:p w14:paraId="0F81F390">
      <w:pPr>
        <w:snapToGrid w:val="0"/>
        <w:spacing w:line="360" w:lineRule="auto"/>
        <w:ind w:firstLine="480" w:firstLineChars="200"/>
        <w:rPr>
          <w:rFonts w:ascii="仿宋" w:hAnsi="仿宋" w:eastAsia="仿宋" w:cs="仿宋"/>
          <w:sz w:val="24"/>
          <w:lang w:val="zh-CN"/>
        </w:rPr>
      </w:pPr>
      <w:r>
        <w:rPr>
          <w:rFonts w:hint="eastAsia" w:ascii="仿宋" w:hAnsi="仿宋" w:eastAsia="仿宋" w:cs="仿宋"/>
          <w:sz w:val="24"/>
        </w:rPr>
        <w:t>1.1</w:t>
      </w:r>
      <w:r>
        <w:rPr>
          <w:rFonts w:hint="eastAsia" w:ascii="仿宋" w:hAnsi="仿宋" w:eastAsia="仿宋" w:cs="仿宋"/>
          <w:sz w:val="24"/>
          <w:lang w:val="zh-CN"/>
        </w:rPr>
        <w:t>供应商应保证所提供的响应文件和所有资料的真实性、准确性和完整性。供应商在政府采购过程中提供不真实的材料，无论其材料是否重要，采购人均有权拒绝，并取消其</w:t>
      </w:r>
      <w:r>
        <w:rPr>
          <w:rFonts w:hint="eastAsia" w:ascii="仿宋" w:hAnsi="仿宋" w:eastAsia="仿宋" w:cs="仿宋"/>
          <w:sz w:val="24"/>
        </w:rPr>
        <w:t>响应</w:t>
      </w:r>
      <w:r>
        <w:rPr>
          <w:rFonts w:hint="eastAsia" w:ascii="仿宋" w:hAnsi="仿宋" w:eastAsia="仿宋" w:cs="仿宋"/>
          <w:sz w:val="24"/>
          <w:lang w:val="zh-CN"/>
        </w:rPr>
        <w:t>资格，供应商需承担相应的后果及法律责任。</w:t>
      </w:r>
    </w:p>
    <w:p w14:paraId="05DDBF45">
      <w:pPr>
        <w:snapToGrid w:val="0"/>
        <w:spacing w:line="360" w:lineRule="auto"/>
        <w:ind w:firstLine="480" w:firstLineChars="200"/>
        <w:rPr>
          <w:rFonts w:ascii="仿宋" w:hAnsi="仿宋" w:eastAsia="仿宋" w:cs="仿宋"/>
          <w:sz w:val="24"/>
          <w:lang w:val="zh-CN"/>
        </w:rPr>
      </w:pPr>
      <w:r>
        <w:rPr>
          <w:rFonts w:hint="eastAsia" w:ascii="仿宋" w:hAnsi="仿宋" w:eastAsia="仿宋" w:cs="仿宋"/>
          <w:sz w:val="24"/>
        </w:rPr>
        <w:t>1.2</w:t>
      </w:r>
      <w:r>
        <w:rPr>
          <w:rFonts w:hint="eastAsia" w:ascii="仿宋" w:hAnsi="仿宋" w:eastAsia="仿宋" w:cs="仿宋"/>
          <w:sz w:val="24"/>
          <w:lang w:val="zh-CN"/>
        </w:rPr>
        <w:t>响应文件使用的语言为中文。专用术语使用外文的，应附有中文注释。响应文件中如附有外文资料，必须逐一对应翻译成中文并加盖供应商公章后附在相关外文资料后面。</w:t>
      </w:r>
    </w:p>
    <w:p w14:paraId="3C85E1B8">
      <w:pPr>
        <w:snapToGrid w:val="0"/>
        <w:spacing w:line="360" w:lineRule="auto"/>
        <w:ind w:firstLine="480" w:firstLineChars="200"/>
        <w:rPr>
          <w:rFonts w:ascii="仿宋" w:hAnsi="仿宋" w:eastAsia="仿宋" w:cs="仿宋"/>
          <w:spacing w:val="-6"/>
          <w:sz w:val="24"/>
        </w:rPr>
      </w:pPr>
      <w:r>
        <w:rPr>
          <w:rFonts w:hint="eastAsia" w:ascii="仿宋" w:hAnsi="仿宋" w:eastAsia="仿宋" w:cs="仿宋"/>
          <w:sz w:val="24"/>
        </w:rPr>
        <w:t>1.3采购</w:t>
      </w:r>
      <w:r>
        <w:rPr>
          <w:rFonts w:hint="eastAsia" w:ascii="仿宋" w:hAnsi="仿宋" w:eastAsia="仿宋" w:cs="仿宋"/>
          <w:sz w:val="24"/>
          <w:lang w:val="zh-CN"/>
        </w:rPr>
        <w:t>文件已有明确规定的，使用</w:t>
      </w:r>
      <w:r>
        <w:rPr>
          <w:rFonts w:hint="eastAsia" w:ascii="仿宋" w:hAnsi="仿宋" w:eastAsia="仿宋" w:cs="仿宋"/>
          <w:sz w:val="24"/>
        </w:rPr>
        <w:t>采购</w:t>
      </w:r>
      <w:r>
        <w:rPr>
          <w:rFonts w:hint="eastAsia" w:ascii="仿宋" w:hAnsi="仿宋" w:eastAsia="仿宋" w:cs="仿宋"/>
          <w:sz w:val="24"/>
          <w:lang w:val="zh-CN"/>
        </w:rPr>
        <w:t>文件规定的计量单位；</w:t>
      </w:r>
      <w:r>
        <w:rPr>
          <w:rFonts w:hint="eastAsia" w:ascii="仿宋" w:hAnsi="仿宋" w:eastAsia="仿宋" w:cs="仿宋"/>
          <w:sz w:val="24"/>
        </w:rPr>
        <w:t>采购</w:t>
      </w:r>
      <w:r>
        <w:rPr>
          <w:rFonts w:hint="eastAsia" w:ascii="仿宋" w:hAnsi="仿宋" w:eastAsia="仿宋" w:cs="仿宋"/>
          <w:sz w:val="24"/>
          <w:lang w:val="zh-CN"/>
        </w:rPr>
        <w:t>文件没有规定的，应采用中华人民共和国法定计量单位(国际单位制和国家选定的其他计量单位)。</w:t>
      </w:r>
    </w:p>
    <w:p w14:paraId="5AFC9C10">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1.4 如果在采购文件中没有允许提供备选方案，则每个供应商只允许提交一个采购方案，否则，将按无效响应处理。</w:t>
      </w:r>
    </w:p>
    <w:p w14:paraId="036DA573">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1.5本次协商的最小单元为“项目”。供应商可根据自身的资质情况和经营范围对本次项目进行响应，不得将其子目再行分解或只对本项目中的品目进行不完全响应，任何不完全的响应将会被拒绝。</w:t>
      </w:r>
    </w:p>
    <w:p w14:paraId="16EDFBAF">
      <w:pPr>
        <w:snapToGrid w:val="0"/>
        <w:spacing w:line="360" w:lineRule="auto"/>
        <w:ind w:firstLine="120" w:firstLineChars="50"/>
        <w:rPr>
          <w:rFonts w:ascii="仿宋" w:hAnsi="仿宋" w:eastAsia="仿宋" w:cs="仿宋"/>
          <w:b/>
          <w:sz w:val="24"/>
        </w:rPr>
      </w:pPr>
      <w:r>
        <w:rPr>
          <w:rFonts w:hint="eastAsia" w:ascii="仿宋" w:hAnsi="仿宋" w:eastAsia="仿宋" w:cs="仿宋"/>
          <w:b/>
          <w:sz w:val="24"/>
        </w:rPr>
        <w:t>2、协商报价</w:t>
      </w:r>
    </w:p>
    <w:p w14:paraId="7B8FDD49">
      <w:pPr>
        <w:snapToGrid w:val="0"/>
        <w:spacing w:line="360" w:lineRule="auto"/>
        <w:ind w:firstLine="600" w:firstLineChars="250"/>
        <w:rPr>
          <w:rFonts w:ascii="仿宋" w:hAnsi="仿宋" w:eastAsia="仿宋" w:cs="仿宋"/>
          <w:bCs/>
          <w:sz w:val="24"/>
        </w:rPr>
      </w:pPr>
      <w:r>
        <w:rPr>
          <w:rFonts w:hint="eastAsia" w:ascii="仿宋" w:hAnsi="仿宋" w:eastAsia="仿宋" w:cs="仿宋"/>
          <w:bCs/>
          <w:sz w:val="24"/>
        </w:rPr>
        <w:t>2.1协商报价是指</w:t>
      </w:r>
      <w:r>
        <w:rPr>
          <w:rFonts w:hint="eastAsia" w:ascii="仿宋" w:hAnsi="仿宋" w:eastAsia="仿宋" w:cs="仿宋"/>
          <w:sz w:val="24"/>
        </w:rPr>
        <w:t>完成该项目工作所发生的全部费用以及供应商利润、税金和政策性文件规定及合同包含的所有风险、责任等一切费用</w:t>
      </w:r>
      <w:r>
        <w:rPr>
          <w:rFonts w:hint="eastAsia" w:ascii="仿宋" w:hAnsi="仿宋" w:eastAsia="仿宋" w:cs="仿宋"/>
          <w:bCs/>
          <w:sz w:val="24"/>
        </w:rPr>
        <w:t>，以采购文件的内容和要求作  为依据；</w:t>
      </w:r>
    </w:p>
    <w:p w14:paraId="351E788B">
      <w:pPr>
        <w:snapToGrid w:val="0"/>
        <w:spacing w:line="360" w:lineRule="auto"/>
        <w:ind w:firstLine="600" w:firstLineChars="250"/>
        <w:rPr>
          <w:rFonts w:ascii="仿宋" w:hAnsi="仿宋" w:eastAsia="仿宋" w:cs="仿宋"/>
          <w:bCs/>
          <w:sz w:val="24"/>
        </w:rPr>
      </w:pPr>
      <w:r>
        <w:rPr>
          <w:rFonts w:hint="eastAsia" w:ascii="仿宋" w:hAnsi="仿宋" w:eastAsia="仿宋" w:cs="仿宋"/>
          <w:bCs/>
          <w:sz w:val="24"/>
        </w:rPr>
        <w:t>2.2供应商应在响应文件中的响应报价表上，标明费用组成；任何有选择的报价不予接受；</w:t>
      </w:r>
    </w:p>
    <w:p w14:paraId="24640286">
      <w:pPr>
        <w:snapToGrid w:val="0"/>
        <w:spacing w:line="360" w:lineRule="auto"/>
        <w:ind w:firstLine="600" w:firstLineChars="250"/>
        <w:rPr>
          <w:rFonts w:ascii="仿宋" w:hAnsi="仿宋" w:eastAsia="仿宋" w:cs="仿宋"/>
          <w:bCs/>
          <w:sz w:val="24"/>
        </w:rPr>
      </w:pPr>
      <w:r>
        <w:rPr>
          <w:rFonts w:hint="eastAsia" w:ascii="仿宋" w:hAnsi="仿宋" w:eastAsia="仿宋" w:cs="仿宋"/>
          <w:bCs/>
          <w:sz w:val="24"/>
        </w:rPr>
        <w:t>2.3协商货币：人民币；单位：元（精确到小数点后两位）；</w:t>
      </w:r>
    </w:p>
    <w:p w14:paraId="115CC40B">
      <w:pPr>
        <w:snapToGrid w:val="0"/>
        <w:spacing w:line="360" w:lineRule="auto"/>
        <w:ind w:firstLine="600" w:firstLineChars="250"/>
        <w:rPr>
          <w:rFonts w:ascii="仿宋" w:hAnsi="仿宋" w:eastAsia="仿宋" w:cs="仿宋"/>
          <w:bCs/>
          <w:sz w:val="24"/>
        </w:rPr>
      </w:pPr>
      <w:r>
        <w:rPr>
          <w:rFonts w:hint="eastAsia" w:ascii="仿宋" w:hAnsi="仿宋" w:eastAsia="仿宋" w:cs="仿宋"/>
          <w:bCs/>
          <w:sz w:val="24"/>
        </w:rPr>
        <w:t>2.4响应报价表应有法定代表人或被授权人的签字；</w:t>
      </w:r>
    </w:p>
    <w:p w14:paraId="095C9552">
      <w:pPr>
        <w:snapToGrid w:val="0"/>
        <w:spacing w:line="360" w:lineRule="auto"/>
        <w:ind w:firstLine="600" w:firstLineChars="250"/>
        <w:rPr>
          <w:rFonts w:ascii="仿宋" w:hAnsi="仿宋" w:eastAsia="仿宋" w:cs="仿宋"/>
          <w:bCs/>
          <w:sz w:val="24"/>
        </w:rPr>
      </w:pPr>
      <w:r>
        <w:rPr>
          <w:rFonts w:hint="eastAsia" w:ascii="仿宋" w:hAnsi="仿宋" w:eastAsia="仿宋" w:cs="仿宋"/>
          <w:bCs/>
          <w:sz w:val="24"/>
        </w:rPr>
        <w:t>2.5最终报价，在采购内容无实质性变更下，不得高于首次协商报价。</w:t>
      </w:r>
    </w:p>
    <w:p w14:paraId="61EC5BA4">
      <w:pPr>
        <w:snapToGrid w:val="0"/>
        <w:spacing w:line="360" w:lineRule="auto"/>
        <w:ind w:firstLine="600" w:firstLineChars="250"/>
        <w:rPr>
          <w:rFonts w:ascii="仿宋" w:hAnsi="仿宋" w:eastAsia="仿宋" w:cs="仿宋"/>
          <w:bCs/>
          <w:sz w:val="24"/>
        </w:rPr>
      </w:pPr>
      <w:r>
        <w:rPr>
          <w:rFonts w:hint="eastAsia" w:ascii="仿宋" w:hAnsi="仿宋" w:eastAsia="仿宋" w:cs="仿宋"/>
          <w:bCs/>
          <w:sz w:val="24"/>
        </w:rPr>
        <w:t>2.6凡因供应商对采购文件阅读不深、理解不透、误解、疏漏、或因市场行情了解不清造成的后果和风险均由协商供应商自负；</w:t>
      </w:r>
    </w:p>
    <w:p w14:paraId="3BFA0E87">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2.7供应商不得以低于成本的报价参加协商。当协商小组认为供应商的协商价或者某些分项报价明显不合理或者低于成本，有可能影响设计质量和不能诚信履约的，可要求该供应商在规定的期限内提供书面文件予以解释说明，并提交相关证明材料；否则，协商小组认定该供应商以低于成本价竞价，其响应文件作无效响应文件处理。</w:t>
      </w:r>
    </w:p>
    <w:p w14:paraId="4C0BA88E">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2.8供应商对响应项目只允许有一个报价，不接受超过采购文件中规定的预算金额的报价、可变动性报价、赠送及“零”报价，否则视为无效响应。</w:t>
      </w:r>
    </w:p>
    <w:p w14:paraId="122B9CA9">
      <w:pPr>
        <w:snapToGrid w:val="0"/>
        <w:spacing w:line="360" w:lineRule="auto"/>
        <w:ind w:firstLine="120" w:firstLineChars="50"/>
        <w:rPr>
          <w:rFonts w:ascii="仿宋" w:hAnsi="仿宋" w:eastAsia="仿宋" w:cs="仿宋"/>
          <w:b/>
          <w:sz w:val="24"/>
        </w:rPr>
      </w:pPr>
      <w:r>
        <w:rPr>
          <w:rFonts w:hint="eastAsia" w:ascii="仿宋" w:hAnsi="仿宋" w:eastAsia="仿宋" w:cs="仿宋"/>
          <w:b/>
          <w:sz w:val="24"/>
        </w:rPr>
        <w:t>3、证明供应商合格的资格证明文件</w:t>
      </w:r>
    </w:p>
    <w:p w14:paraId="21101407">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3.1供应商应按照采购文件“供应商须知前附表”的要求，在响应文件中提交合格的资格证明文件。如果资格证明文件不全或不合格的，将按无效响应处理。</w:t>
      </w:r>
    </w:p>
    <w:p w14:paraId="09257D96">
      <w:pPr>
        <w:snapToGrid w:val="0"/>
        <w:spacing w:line="360" w:lineRule="auto"/>
        <w:ind w:firstLine="120" w:firstLineChars="50"/>
        <w:rPr>
          <w:rFonts w:ascii="仿宋" w:hAnsi="仿宋" w:eastAsia="仿宋" w:cs="仿宋"/>
          <w:bCs/>
          <w:sz w:val="24"/>
        </w:rPr>
      </w:pPr>
      <w:r>
        <w:rPr>
          <w:rFonts w:hint="eastAsia" w:ascii="仿宋" w:hAnsi="仿宋" w:eastAsia="仿宋" w:cs="仿宋"/>
          <w:b/>
          <w:sz w:val="24"/>
        </w:rPr>
        <w:t>4、证明标的物的合格性和符合采购文件规定的文件</w:t>
      </w:r>
    </w:p>
    <w:p w14:paraId="07ED8817">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4.1供应商应在响应文件中提供货物及服务满足采购文件要求并符合国家法律法规、行业管理部门要求的其他强制性标准的证明文件。缺少证明文件或证明文件不合格的协商，与采购文件要求有重大偏离的协商，不符合国家法律法规、行业管理部门要求的其他强制性标准的响应文件将被作无效响应处理。</w:t>
      </w:r>
    </w:p>
    <w:p w14:paraId="61D627C8">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4.2逐条对采购文件提出的技术要求和商务要求进行应答，说明所提供的货物及服务对协商的技术和商务要求是否做出了实质性响应并提供支持文件。</w:t>
      </w:r>
    </w:p>
    <w:p w14:paraId="63E7CF82">
      <w:pPr>
        <w:snapToGrid w:val="0"/>
        <w:spacing w:line="360" w:lineRule="auto"/>
        <w:ind w:firstLine="120" w:firstLineChars="50"/>
        <w:rPr>
          <w:rFonts w:ascii="仿宋" w:hAnsi="仿宋" w:eastAsia="仿宋" w:cs="仿宋"/>
          <w:b/>
          <w:sz w:val="24"/>
        </w:rPr>
      </w:pPr>
      <w:r>
        <w:rPr>
          <w:rFonts w:hint="eastAsia" w:ascii="仿宋" w:hAnsi="仿宋" w:eastAsia="仿宋" w:cs="仿宋"/>
          <w:b/>
          <w:sz w:val="24"/>
        </w:rPr>
        <w:t>5、协商保证金（本项目不适用）</w:t>
      </w:r>
    </w:p>
    <w:p w14:paraId="2A8C5A92">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bCs/>
          <w:sz w:val="24"/>
        </w:rPr>
        <w:t>5.1</w:t>
      </w:r>
      <w:r>
        <w:rPr>
          <w:rFonts w:hint="eastAsia" w:ascii="仿宋" w:hAnsi="仿宋" w:eastAsia="仿宋" w:cs="仿宋"/>
          <w:sz w:val="24"/>
        </w:rPr>
        <w:t>保证金是用于保护本次协商免受协商供应商的行为而引起的风险。</w:t>
      </w:r>
    </w:p>
    <w:p w14:paraId="72D8F7F4">
      <w:pPr>
        <w:adjustRightInd w:val="0"/>
        <w:snapToGrid w:val="0"/>
        <w:spacing w:line="360" w:lineRule="auto"/>
        <w:ind w:firstLine="480" w:firstLineChars="200"/>
        <w:rPr>
          <w:rFonts w:ascii="仿宋" w:hAnsi="仿宋" w:eastAsia="仿宋" w:cs="仿宋"/>
          <w:b/>
          <w:sz w:val="24"/>
        </w:rPr>
      </w:pPr>
      <w:r>
        <w:rPr>
          <w:rFonts w:hint="eastAsia" w:ascii="仿宋" w:hAnsi="仿宋" w:eastAsia="仿宋" w:cs="仿宋"/>
          <w:sz w:val="24"/>
        </w:rPr>
        <w:t>5.2协商保证金由协商供应商通过银行转账、电汇、保函等非现金形式缴纳。</w:t>
      </w:r>
    </w:p>
    <w:p w14:paraId="7ED3D0AD">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5.3未交纳、未足额交纳或未按规定时间交纳保证金的，将被视为自动放弃协商权利。</w:t>
      </w:r>
    </w:p>
    <w:p w14:paraId="0E324A17">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5.4提交保证金后，各协商供应商须将其交纳保证金凭证复印件加盖供应商红章附在协商响应文件中，否则视为无效响应文件。</w:t>
      </w:r>
    </w:p>
    <w:p w14:paraId="16F0FB1D">
      <w:pPr>
        <w:adjustRightInd w:val="0"/>
        <w:snapToGrid w:val="0"/>
        <w:spacing w:line="360" w:lineRule="auto"/>
        <w:ind w:firstLine="482" w:firstLineChars="200"/>
        <w:rPr>
          <w:rFonts w:ascii="仿宋" w:hAnsi="仿宋" w:eastAsia="仿宋" w:cs="仿宋"/>
          <w:b/>
          <w:bCs/>
          <w:sz w:val="24"/>
        </w:rPr>
      </w:pPr>
      <w:r>
        <w:rPr>
          <w:rFonts w:hint="eastAsia" w:ascii="仿宋" w:hAnsi="仿宋" w:eastAsia="仿宋" w:cs="仿宋"/>
          <w:b/>
          <w:bCs/>
          <w:sz w:val="24"/>
        </w:rPr>
        <w:t>5.5协商保证金退还:</w:t>
      </w:r>
    </w:p>
    <w:p w14:paraId="1EE5F786">
      <w:pPr>
        <w:adjustRightInd w:val="0"/>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 xml:space="preserve">A. 未成交供应商：成交通知书发放后5个工作日内退还； </w:t>
      </w:r>
    </w:p>
    <w:p w14:paraId="33001E7B">
      <w:pPr>
        <w:adjustRightInd w:val="0"/>
        <w:snapToGrid w:val="0"/>
        <w:spacing w:line="360" w:lineRule="auto"/>
        <w:ind w:firstLine="482" w:firstLineChars="200"/>
        <w:rPr>
          <w:rFonts w:ascii="仿宋" w:hAnsi="仿宋" w:eastAsia="仿宋" w:cs="仿宋"/>
          <w:b/>
          <w:sz w:val="24"/>
        </w:rPr>
      </w:pPr>
      <w:r>
        <w:rPr>
          <w:rFonts w:hint="eastAsia" w:ascii="仿宋" w:hAnsi="仿宋" w:eastAsia="仿宋" w:cs="仿宋"/>
          <w:b/>
          <w:sz w:val="24"/>
        </w:rPr>
        <w:t>B. 成交供应商：成交供应商与采购单位合同签订之日起5个工作日内退还；（退还时，须向代理机构提供开户许可证复印件及合同原件壹份并加盖供应商公章）；</w:t>
      </w:r>
    </w:p>
    <w:p w14:paraId="5EE23124">
      <w:pPr>
        <w:adjustRightInd w:val="0"/>
        <w:snapToGrid w:val="0"/>
        <w:spacing w:line="360" w:lineRule="auto"/>
        <w:ind w:firstLine="482" w:firstLineChars="200"/>
        <w:rPr>
          <w:rFonts w:ascii="仿宋" w:hAnsi="仿宋" w:eastAsia="仿宋" w:cs="仿宋"/>
          <w:sz w:val="24"/>
        </w:rPr>
      </w:pPr>
      <w:r>
        <w:rPr>
          <w:rFonts w:hint="eastAsia" w:ascii="仿宋" w:hAnsi="仿宋" w:eastAsia="仿宋" w:cs="仿宋"/>
          <w:b/>
          <w:sz w:val="24"/>
        </w:rPr>
        <w:t>以上供应商自身原因导致无法退还的除外。</w:t>
      </w:r>
    </w:p>
    <w:p w14:paraId="61F58AA1">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5.6 供应商以担保机构保函形式交纳协商保证金的，协商结束之后供应商用收据原件在代理机构财务室换取担保机构保函原件</w:t>
      </w:r>
    </w:p>
    <w:p w14:paraId="1A8F5275">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5.7发生下列情况之一，协商保证金将不予退还：</w:t>
      </w:r>
    </w:p>
    <w:p w14:paraId="0A3F3E09">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5.7.1供应商在递交协商响应文件截止时间后，撤回协商响应文件的或者擅自退出协商活动的。</w:t>
      </w:r>
    </w:p>
    <w:p w14:paraId="4A931D45">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5.7.2供应商成交后放弃成交或未能按规定签订合同、无正当理由不与采购人签订合同的或未能按规定交纳招标代理服务费或由于供应商的原因导致成交无效的。</w:t>
      </w:r>
    </w:p>
    <w:p w14:paraId="5527E69F">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5.7.3将成交项目转让给他人，或者在协商响应文件中未说明，且未经采购人和招标代理机构同意，将成交项目分包给他人的。</w:t>
      </w:r>
    </w:p>
    <w:p w14:paraId="6930CB7A">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5.7.4供应商在协商响应文件中提供伪造、套改、虚假资料参与协商的。</w:t>
      </w:r>
    </w:p>
    <w:p w14:paraId="4ADE4740">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5.7.5供应商不按法定程序进行质疑和投诉,捏造事实，查无实据，造成恶劣影响，导致采购活动无法正常进行的;</w:t>
      </w:r>
    </w:p>
    <w:p w14:paraId="54471F49">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5.7.6供应商在协商响应文件中提供虚假材料的；</w:t>
      </w:r>
    </w:p>
    <w:p w14:paraId="1E31C3C9">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5.7.7采购文件规定的其他情形。</w:t>
      </w:r>
    </w:p>
    <w:p w14:paraId="7799CE38">
      <w:pPr>
        <w:snapToGrid w:val="0"/>
        <w:spacing w:line="360" w:lineRule="auto"/>
        <w:rPr>
          <w:rFonts w:ascii="仿宋" w:hAnsi="仿宋" w:eastAsia="仿宋" w:cs="仿宋"/>
          <w:b/>
          <w:sz w:val="24"/>
        </w:rPr>
      </w:pPr>
      <w:r>
        <w:rPr>
          <w:rFonts w:hint="eastAsia" w:ascii="仿宋" w:hAnsi="仿宋" w:eastAsia="仿宋" w:cs="仿宋"/>
          <w:b/>
          <w:sz w:val="24"/>
        </w:rPr>
        <w:t>6、响应文件的有效期</w:t>
      </w:r>
    </w:p>
    <w:p w14:paraId="420196DD">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协商有效期（含授权有效期）从递交响应文件的截止之日起 90 个日历天。有效期不满足采购文件要求的响应，将被视为非响应性而予以拒绝，将按无效响应处理。</w:t>
      </w:r>
    </w:p>
    <w:p w14:paraId="48A0A96A">
      <w:pPr>
        <w:snapToGrid w:val="0"/>
        <w:spacing w:line="360" w:lineRule="auto"/>
        <w:rPr>
          <w:rFonts w:ascii="仿宋" w:hAnsi="仿宋" w:eastAsia="仿宋" w:cs="仿宋"/>
          <w:b/>
          <w:sz w:val="24"/>
        </w:rPr>
      </w:pPr>
      <w:r>
        <w:rPr>
          <w:rFonts w:hint="eastAsia" w:ascii="仿宋" w:hAnsi="仿宋" w:eastAsia="仿宋" w:cs="仿宋"/>
          <w:b/>
          <w:sz w:val="24"/>
        </w:rPr>
        <w:t>7、协商响应文件的签署及规定</w:t>
      </w:r>
    </w:p>
    <w:p w14:paraId="5142DEB5">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7.1供应商须依据采购文件内容和响应文件格式的要求编制响应文件；</w:t>
      </w:r>
    </w:p>
    <w:p w14:paraId="075AEBE3">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7.2响应文件的正本和所有的副本均需打印或用不褪色的蓝（黑）墨水填写，注明“正本”“副本”字样。统一胶装、编码，在每一页的正下方清楚标明页码等字样；</w:t>
      </w:r>
    </w:p>
    <w:p w14:paraId="75613D10">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7.3响应文件份数，本次协商需提交响应文件共肆份，其中正本壹份，副本贰份，电子版协商响应文件（U盘或移动硬盘，谢绝光盘）壹份；在封面标明“正本”、“副本”及“电子版响应文件”字样；</w:t>
      </w:r>
    </w:p>
    <w:p w14:paraId="38BAC6D6">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7.4供应商在响应文件中指定的页面落款处，必须按采购文件要求加盖印章或签字；</w:t>
      </w:r>
    </w:p>
    <w:p w14:paraId="4E2585A9">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7.5供应商名称应填写全称，同时加盖公章；</w:t>
      </w:r>
    </w:p>
    <w:p w14:paraId="4D091A93">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7.6响应文件的任何行间插字、涂改和增删，必须由法定代表人或被授权人在改动处旁签字方为有效；</w:t>
      </w:r>
    </w:p>
    <w:p w14:paraId="1F5A034E">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7.7响应文件因字迹潦草或表达不清所引起的后果由供应商负责。</w:t>
      </w:r>
    </w:p>
    <w:p w14:paraId="7552EB8C">
      <w:pPr>
        <w:pStyle w:val="10"/>
        <w:adjustRightInd w:val="0"/>
        <w:snapToGrid w:val="0"/>
        <w:spacing w:line="360" w:lineRule="auto"/>
        <w:ind w:left="0" w:firstLine="482"/>
        <w:rPr>
          <w:rFonts w:ascii="仿宋" w:hAnsi="仿宋" w:eastAsia="仿宋" w:cs="仿宋"/>
          <w:b/>
          <w:bCs/>
          <w:szCs w:val="24"/>
          <w:lang w:eastAsia="zh-CN"/>
        </w:rPr>
      </w:pPr>
      <w:r>
        <w:rPr>
          <w:rFonts w:hint="eastAsia" w:ascii="仿宋" w:hAnsi="仿宋" w:eastAsia="仿宋" w:cs="仿宋"/>
          <w:b/>
          <w:bCs/>
          <w:szCs w:val="24"/>
          <w:lang w:eastAsia="zh-CN"/>
        </w:rPr>
        <w:t>7.8为响应国家环保号召，响应文件建议采用双面打印。</w:t>
      </w:r>
    </w:p>
    <w:p w14:paraId="7318DB33">
      <w:pPr>
        <w:adjustRightInd w:val="0"/>
        <w:snapToGrid w:val="0"/>
        <w:spacing w:line="360" w:lineRule="auto"/>
        <w:rPr>
          <w:rFonts w:ascii="仿宋" w:hAnsi="仿宋" w:eastAsia="仿宋" w:cs="仿宋"/>
          <w:b/>
          <w:sz w:val="24"/>
        </w:rPr>
      </w:pPr>
      <w:r>
        <w:rPr>
          <w:rFonts w:hint="eastAsia" w:ascii="仿宋" w:hAnsi="仿宋" w:eastAsia="仿宋" w:cs="仿宋"/>
          <w:b/>
          <w:sz w:val="24"/>
        </w:rPr>
        <w:t>8、文字要求</w:t>
      </w:r>
    </w:p>
    <w:p w14:paraId="76163984">
      <w:pPr>
        <w:adjustRightInd w:val="0"/>
        <w:snapToGrid w:val="0"/>
        <w:spacing w:line="360" w:lineRule="auto"/>
        <w:rPr>
          <w:rFonts w:ascii="仿宋" w:hAnsi="仿宋" w:eastAsia="仿宋" w:cs="仿宋"/>
          <w:sz w:val="24"/>
        </w:rPr>
      </w:pPr>
      <w:r>
        <w:rPr>
          <w:rFonts w:hint="eastAsia" w:ascii="仿宋" w:hAnsi="仿宋" w:eastAsia="仿宋" w:cs="仿宋"/>
          <w:sz w:val="24"/>
        </w:rPr>
        <w:t>本次协商只接受简体中文文字的响应文件。</w:t>
      </w:r>
    </w:p>
    <w:p w14:paraId="0A2C948B">
      <w:pPr>
        <w:snapToGrid w:val="0"/>
        <w:spacing w:line="360" w:lineRule="auto"/>
        <w:jc w:val="center"/>
        <w:rPr>
          <w:rFonts w:ascii="仿宋" w:hAnsi="仿宋" w:eastAsia="仿宋" w:cs="仿宋"/>
          <w:sz w:val="30"/>
          <w:szCs w:val="30"/>
        </w:rPr>
      </w:pPr>
      <w:r>
        <w:rPr>
          <w:rFonts w:hint="eastAsia" w:ascii="仿宋" w:hAnsi="仿宋" w:eastAsia="仿宋" w:cs="仿宋"/>
          <w:b/>
          <w:sz w:val="30"/>
          <w:szCs w:val="30"/>
        </w:rPr>
        <w:t>五、单一来源响应文件封装、递交</w:t>
      </w:r>
    </w:p>
    <w:p w14:paraId="335349B9">
      <w:pPr>
        <w:adjustRightInd w:val="0"/>
        <w:snapToGrid w:val="0"/>
        <w:spacing w:line="360" w:lineRule="auto"/>
        <w:rPr>
          <w:rFonts w:ascii="仿宋" w:hAnsi="仿宋" w:eastAsia="仿宋" w:cs="仿宋"/>
          <w:sz w:val="24"/>
        </w:rPr>
      </w:pPr>
      <w:r>
        <w:rPr>
          <w:rFonts w:hint="eastAsia" w:ascii="仿宋" w:hAnsi="仿宋" w:eastAsia="仿宋" w:cs="仿宋"/>
          <w:b/>
          <w:sz w:val="24"/>
        </w:rPr>
        <w:t>1、单一来源响应文件的封装及标记</w:t>
      </w:r>
    </w:p>
    <w:p w14:paraId="0ABB2FA0">
      <w:pPr>
        <w:adjustRightInd w:val="0"/>
        <w:snapToGrid w:val="0"/>
        <w:spacing w:line="360" w:lineRule="auto"/>
        <w:ind w:firstLine="480" w:firstLineChars="200"/>
        <w:rPr>
          <w:rFonts w:ascii="仿宋" w:hAnsi="仿宋" w:eastAsia="仿宋" w:cs="仿宋"/>
          <w:sz w:val="24"/>
          <w:lang w:val="zh-CN"/>
        </w:rPr>
      </w:pPr>
      <w:r>
        <w:rPr>
          <w:rFonts w:hint="eastAsia" w:ascii="仿宋" w:hAnsi="仿宋" w:eastAsia="仿宋" w:cs="仿宋"/>
          <w:sz w:val="24"/>
        </w:rPr>
        <w:t>1.1</w:t>
      </w:r>
      <w:r>
        <w:rPr>
          <w:rFonts w:hint="eastAsia" w:ascii="仿宋" w:hAnsi="仿宋" w:eastAsia="仿宋" w:cs="仿宋"/>
          <w:sz w:val="24"/>
          <w:lang w:val="zh-CN"/>
        </w:rPr>
        <w:t>供应商按要求</w:t>
      </w:r>
      <w:r>
        <w:rPr>
          <w:rFonts w:hint="eastAsia" w:ascii="仿宋" w:hAnsi="仿宋" w:eastAsia="仿宋" w:cs="仿宋"/>
          <w:sz w:val="24"/>
        </w:rPr>
        <w:t>准备</w:t>
      </w:r>
      <w:r>
        <w:rPr>
          <w:rFonts w:hint="eastAsia" w:ascii="仿宋" w:hAnsi="仿宋" w:eastAsia="仿宋" w:cs="仿宋"/>
          <w:sz w:val="24"/>
          <w:lang w:val="zh-CN"/>
        </w:rPr>
        <w:t>纸质版响应文件正本</w:t>
      </w:r>
      <w:r>
        <w:rPr>
          <w:rFonts w:hint="eastAsia" w:ascii="仿宋" w:hAnsi="仿宋" w:eastAsia="仿宋" w:cs="仿宋"/>
          <w:sz w:val="24"/>
        </w:rPr>
        <w:t>1</w:t>
      </w:r>
      <w:r>
        <w:rPr>
          <w:rFonts w:hint="eastAsia" w:ascii="仿宋" w:hAnsi="仿宋" w:eastAsia="仿宋" w:cs="仿宋"/>
          <w:sz w:val="24"/>
          <w:lang w:val="zh-CN"/>
        </w:rPr>
        <w:t>份、副本</w:t>
      </w:r>
      <w:r>
        <w:rPr>
          <w:rFonts w:hint="eastAsia" w:ascii="仿宋" w:hAnsi="仿宋" w:eastAsia="仿宋" w:cs="仿宋"/>
          <w:sz w:val="24"/>
        </w:rPr>
        <w:t>2</w:t>
      </w:r>
      <w:r>
        <w:rPr>
          <w:rFonts w:hint="eastAsia" w:ascii="仿宋" w:hAnsi="仿宋" w:eastAsia="仿宋" w:cs="仿宋"/>
          <w:sz w:val="24"/>
          <w:lang w:val="zh-CN"/>
        </w:rPr>
        <w:t>份，电子版</w:t>
      </w:r>
      <w:r>
        <w:rPr>
          <w:rFonts w:hint="eastAsia" w:ascii="仿宋" w:hAnsi="仿宋" w:eastAsia="仿宋" w:cs="仿宋"/>
          <w:sz w:val="24"/>
        </w:rPr>
        <w:t>响应</w:t>
      </w:r>
      <w:r>
        <w:rPr>
          <w:rFonts w:hint="eastAsia" w:ascii="仿宋" w:hAnsi="仿宋" w:eastAsia="仿宋" w:cs="仿宋"/>
          <w:sz w:val="24"/>
          <w:lang w:val="zh-CN"/>
        </w:rPr>
        <w:t>文件（</w:t>
      </w:r>
      <w:r>
        <w:rPr>
          <w:rFonts w:hint="eastAsia" w:ascii="仿宋" w:hAnsi="仿宋" w:eastAsia="仿宋" w:cs="仿宋"/>
          <w:sz w:val="24"/>
        </w:rPr>
        <w:t>U盘</w:t>
      </w:r>
      <w:r>
        <w:rPr>
          <w:rFonts w:hint="eastAsia" w:ascii="仿宋" w:hAnsi="仿宋" w:eastAsia="仿宋" w:cs="仿宋"/>
          <w:sz w:val="24"/>
          <w:lang w:val="zh-CN"/>
        </w:rPr>
        <w:t>）</w:t>
      </w:r>
      <w:r>
        <w:rPr>
          <w:rFonts w:hint="eastAsia" w:ascii="仿宋" w:hAnsi="仿宋" w:eastAsia="仿宋" w:cs="仿宋"/>
          <w:sz w:val="24"/>
        </w:rPr>
        <w:t>1</w:t>
      </w:r>
      <w:r>
        <w:rPr>
          <w:rFonts w:hint="eastAsia" w:ascii="仿宋" w:hAnsi="仿宋" w:eastAsia="仿宋" w:cs="仿宋"/>
          <w:sz w:val="24"/>
          <w:lang w:val="zh-CN"/>
        </w:rPr>
        <w:t>份</w:t>
      </w:r>
      <w:r>
        <w:rPr>
          <w:rFonts w:hint="eastAsia" w:ascii="仿宋" w:hAnsi="仿宋" w:eastAsia="仿宋" w:cs="仿宋"/>
          <w:sz w:val="24"/>
        </w:rPr>
        <w:t>（</w:t>
      </w:r>
      <w:r>
        <w:rPr>
          <w:rFonts w:hint="eastAsia" w:ascii="仿宋" w:hAnsi="仿宋" w:eastAsia="仿宋" w:cs="仿宋"/>
          <w:sz w:val="24"/>
          <w:lang w:val="zh-CN"/>
        </w:rPr>
        <w:t>若分包，应按包号编制响应文件</w:t>
      </w:r>
      <w:r>
        <w:rPr>
          <w:rFonts w:hint="eastAsia" w:ascii="仿宋" w:hAnsi="仿宋" w:eastAsia="仿宋" w:cs="仿宋"/>
          <w:sz w:val="24"/>
        </w:rPr>
        <w:t>）</w:t>
      </w:r>
      <w:r>
        <w:rPr>
          <w:rFonts w:hint="eastAsia" w:ascii="仿宋" w:hAnsi="仿宋" w:eastAsia="仿宋" w:cs="仿宋"/>
          <w:sz w:val="24"/>
          <w:lang w:val="zh-CN"/>
        </w:rPr>
        <w:t>。</w:t>
      </w:r>
    </w:p>
    <w:p w14:paraId="32A99EAA">
      <w:pPr>
        <w:adjustRightInd w:val="0"/>
        <w:snapToGrid w:val="0"/>
        <w:spacing w:line="360" w:lineRule="auto"/>
        <w:ind w:firstLine="480" w:firstLineChars="200"/>
        <w:rPr>
          <w:rFonts w:ascii="仿宋" w:hAnsi="仿宋" w:eastAsia="仿宋" w:cs="仿宋"/>
          <w:sz w:val="24"/>
          <w:lang w:val="zh-CN"/>
        </w:rPr>
      </w:pPr>
      <w:r>
        <w:rPr>
          <w:rFonts w:hint="eastAsia" w:ascii="仿宋" w:hAnsi="仿宋" w:eastAsia="仿宋" w:cs="仿宋"/>
          <w:sz w:val="24"/>
        </w:rPr>
        <w:t>1.2</w:t>
      </w:r>
      <w:r>
        <w:rPr>
          <w:rFonts w:hint="eastAsia" w:ascii="仿宋" w:hAnsi="仿宋" w:eastAsia="仿宋" w:cs="仿宋"/>
          <w:sz w:val="24"/>
          <w:lang w:val="zh-CN"/>
        </w:rPr>
        <w:t>纸质版响应文件的正本和所有的副本均需打（复）印或用不褪色墨水填写，副本可以采用正本签字盖章后的完整复印件，但要保证正副本内容一致，纸质版响应文件封面上应清楚地标记“正本”、“副本”字样。</w:t>
      </w:r>
    </w:p>
    <w:p w14:paraId="70494E63">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1.3响应文件必须按照采购文件第五章“响应文件格式”中的要求编制，</w:t>
      </w:r>
      <w:r>
        <w:rPr>
          <w:rFonts w:hint="eastAsia" w:ascii="仿宋" w:hAnsi="仿宋" w:eastAsia="仿宋" w:cs="仿宋"/>
          <w:sz w:val="24"/>
          <w:lang w:val="zh-CN"/>
        </w:rPr>
        <w:t>响应文件应除封面外应逐页编码，为节约纸张建议采用A4纸张双面打印，牢固胶装成册，</w:t>
      </w:r>
      <w:r>
        <w:rPr>
          <w:rFonts w:hint="eastAsia" w:ascii="仿宋" w:hAnsi="仿宋" w:eastAsia="仿宋" w:cs="仿宋"/>
          <w:sz w:val="24"/>
        </w:rPr>
        <w:t>并按格式要求签署盖章。响应</w:t>
      </w:r>
      <w:r>
        <w:rPr>
          <w:rFonts w:hint="eastAsia" w:ascii="仿宋" w:hAnsi="仿宋" w:eastAsia="仿宋" w:cs="仿宋"/>
          <w:sz w:val="24"/>
          <w:lang w:val="zh-CN"/>
        </w:rPr>
        <w:t>文件中供应商名称盖章处必须加盖供应商公章，</w:t>
      </w:r>
      <w:r>
        <w:rPr>
          <w:rFonts w:hint="eastAsia" w:ascii="仿宋" w:hAnsi="仿宋" w:eastAsia="仿宋" w:cs="仿宋"/>
          <w:sz w:val="24"/>
        </w:rPr>
        <w:t>采购文件中凡是需要法定代表人签字或盖章之处非法人单位的负责人均参照执行。</w:t>
      </w:r>
    </w:p>
    <w:p w14:paraId="44720762">
      <w:pPr>
        <w:adjustRightInd w:val="0"/>
        <w:snapToGrid w:val="0"/>
        <w:spacing w:line="360" w:lineRule="auto"/>
        <w:ind w:firstLine="480" w:firstLineChars="200"/>
        <w:rPr>
          <w:rFonts w:ascii="仿宋" w:hAnsi="仿宋" w:eastAsia="仿宋" w:cs="仿宋"/>
          <w:sz w:val="24"/>
          <w:lang w:val="zh-CN"/>
        </w:rPr>
      </w:pPr>
      <w:r>
        <w:rPr>
          <w:rFonts w:hint="eastAsia" w:ascii="仿宋" w:hAnsi="仿宋" w:eastAsia="仿宋" w:cs="仿宋"/>
          <w:sz w:val="24"/>
        </w:rPr>
        <w:t>1.4</w:t>
      </w:r>
      <w:r>
        <w:rPr>
          <w:rFonts w:hint="eastAsia" w:ascii="仿宋" w:hAnsi="仿宋" w:eastAsia="仿宋" w:cs="仿宋"/>
          <w:sz w:val="24"/>
          <w:lang w:val="zh-CN"/>
        </w:rPr>
        <w:t>除供应商对错处做必要修改外，</w:t>
      </w:r>
      <w:r>
        <w:rPr>
          <w:rFonts w:hint="eastAsia" w:ascii="仿宋" w:hAnsi="仿宋" w:eastAsia="仿宋" w:cs="仿宋"/>
          <w:sz w:val="24"/>
        </w:rPr>
        <w:t>响应文件</w:t>
      </w:r>
      <w:r>
        <w:rPr>
          <w:rFonts w:hint="eastAsia" w:ascii="仿宋" w:hAnsi="仿宋" w:eastAsia="仿宋" w:cs="仿宋"/>
          <w:sz w:val="24"/>
          <w:lang w:val="zh-CN"/>
        </w:rPr>
        <w:t>不得行间插字、涂改和增删，如有修改错漏处，必须由供应商法定代表人或其授权代表签字或盖章。</w:t>
      </w:r>
    </w:p>
    <w:p w14:paraId="6364DE5E">
      <w:pPr>
        <w:adjustRightInd w:val="0"/>
        <w:snapToGrid w:val="0"/>
        <w:spacing w:line="360" w:lineRule="auto"/>
        <w:ind w:firstLine="480" w:firstLineChars="200"/>
        <w:rPr>
          <w:rFonts w:ascii="仿宋" w:hAnsi="仿宋" w:eastAsia="仿宋" w:cs="仿宋"/>
          <w:b/>
          <w:bCs/>
          <w:sz w:val="24"/>
        </w:rPr>
      </w:pPr>
      <w:r>
        <w:rPr>
          <w:rFonts w:hint="eastAsia" w:ascii="仿宋" w:hAnsi="仿宋" w:eastAsia="仿宋" w:cs="仿宋"/>
          <w:sz w:val="24"/>
        </w:rPr>
        <w:t>1.5</w:t>
      </w:r>
      <w:r>
        <w:rPr>
          <w:rFonts w:hint="eastAsia" w:ascii="仿宋" w:hAnsi="仿宋" w:eastAsia="仿宋" w:cs="仿宋"/>
          <w:b/>
          <w:bCs/>
          <w:sz w:val="24"/>
        </w:rPr>
        <w:t>电子版响应文件内容与纸质版正本响应文件的内容保持一致，具有同等法律效力，须将</w:t>
      </w:r>
      <w:r>
        <w:rPr>
          <w:rFonts w:hint="eastAsia" w:ascii="仿宋" w:hAnsi="仿宋" w:eastAsia="仿宋" w:cs="仿宋"/>
          <w:b/>
          <w:bCs/>
          <w:sz w:val="24"/>
          <w:lang w:val="zh-CN"/>
        </w:rPr>
        <w:t>签字、盖章</w:t>
      </w:r>
      <w:r>
        <w:rPr>
          <w:rFonts w:hint="eastAsia" w:ascii="仿宋" w:hAnsi="仿宋" w:eastAsia="仿宋" w:cs="仿宋"/>
          <w:b/>
          <w:bCs/>
          <w:sz w:val="24"/>
        </w:rPr>
        <w:t>后</w:t>
      </w:r>
      <w:r>
        <w:rPr>
          <w:rFonts w:hint="eastAsia" w:ascii="仿宋" w:hAnsi="仿宋" w:eastAsia="仿宋" w:cs="仿宋"/>
          <w:b/>
          <w:bCs/>
          <w:sz w:val="24"/>
          <w:lang w:val="zh-CN"/>
        </w:rPr>
        <w:t>的</w:t>
      </w:r>
      <w:r>
        <w:rPr>
          <w:rFonts w:hint="eastAsia" w:ascii="仿宋" w:hAnsi="仿宋" w:eastAsia="仿宋" w:cs="仿宋"/>
          <w:b/>
          <w:bCs/>
          <w:sz w:val="24"/>
        </w:rPr>
        <w:t>纸质版响应文件</w:t>
      </w:r>
      <w:r>
        <w:rPr>
          <w:rFonts w:hint="eastAsia" w:ascii="仿宋" w:hAnsi="仿宋" w:eastAsia="仿宋" w:cs="仿宋"/>
          <w:b/>
          <w:bCs/>
          <w:sz w:val="24"/>
          <w:lang w:val="zh-CN"/>
        </w:rPr>
        <w:t>正本扫描</w:t>
      </w:r>
      <w:r>
        <w:rPr>
          <w:rFonts w:hint="eastAsia" w:ascii="仿宋" w:hAnsi="仿宋" w:eastAsia="仿宋" w:cs="仿宋"/>
          <w:b/>
          <w:bCs/>
          <w:sz w:val="24"/>
        </w:rPr>
        <w:t>后生成的</w:t>
      </w:r>
      <w:r>
        <w:rPr>
          <w:rFonts w:hint="eastAsia" w:ascii="仿宋" w:hAnsi="仿宋" w:eastAsia="仿宋" w:cs="仿宋"/>
          <w:b/>
          <w:bCs/>
          <w:sz w:val="24"/>
          <w:lang w:val="zh-CN"/>
        </w:rPr>
        <w:t>PDF文件</w:t>
      </w:r>
      <w:r>
        <w:rPr>
          <w:rFonts w:hint="eastAsia" w:ascii="仿宋" w:hAnsi="仿宋" w:eastAsia="仿宋" w:cs="仿宋"/>
          <w:b/>
          <w:bCs/>
          <w:sz w:val="24"/>
        </w:rPr>
        <w:t>刻录入U盘存储。注：为便于扫描，可在正本未装订、无骑缝章时扫描；递交的U盘应仅存储该文件；U盘作为投标资料介质不予退还。</w:t>
      </w:r>
    </w:p>
    <w:p w14:paraId="6EA0C896">
      <w:pPr>
        <w:snapToGrid w:val="0"/>
        <w:spacing w:line="360" w:lineRule="auto"/>
        <w:rPr>
          <w:rFonts w:ascii="仿宋" w:hAnsi="仿宋" w:eastAsia="仿宋" w:cs="仿宋"/>
          <w:sz w:val="24"/>
        </w:rPr>
      </w:pPr>
      <w:r>
        <w:rPr>
          <w:rFonts w:hint="eastAsia" w:ascii="仿宋" w:hAnsi="仿宋" w:eastAsia="仿宋" w:cs="仿宋"/>
          <w:b/>
          <w:sz w:val="24"/>
        </w:rPr>
        <w:t>2.单一来源响应文件递交</w:t>
      </w:r>
    </w:p>
    <w:p w14:paraId="3A2C0E47">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2.1供应商应在开标当日并于递交响应文件的截止时间前将响应文件密封送达至响应文件递交地点。</w:t>
      </w:r>
    </w:p>
    <w:p w14:paraId="74D46EAE">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2.2采购代理机构在采购文件规定的响应文件递交截止时间前，只负责响应文件的接收、登记和组织工作，对其响应文件的有效性不负任何责任。</w:t>
      </w:r>
    </w:p>
    <w:p w14:paraId="03E23284">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2.3响应文件递交后，在响应文件递交截止时间前，供应商可以补充、修改或撤回其响应文件，并书面通知采购代理机构。补充、修改的内容应按采购文件的要求签署、盖章，密封后，作为响应文件的组成部分。</w:t>
      </w:r>
    </w:p>
    <w:p w14:paraId="0DDD1274">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2.4响应文件递交截止时间后，供应商不得对其响应文件做任何修改。</w:t>
      </w:r>
    </w:p>
    <w:p w14:paraId="022E176A">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2.5采购代理机构因采购人推迟协商截止时间时，应以书面的形式，通知所有供应商；在这种情况下，采购代理机构和供应商的权利和义务将受到新的截止期的约束。</w:t>
      </w:r>
    </w:p>
    <w:p w14:paraId="3DB1198C">
      <w:pPr>
        <w:snapToGrid w:val="0"/>
        <w:spacing w:line="360" w:lineRule="auto"/>
        <w:ind w:firstLine="482" w:firstLineChars="200"/>
        <w:rPr>
          <w:rFonts w:ascii="仿宋" w:hAnsi="仿宋" w:eastAsia="仿宋" w:cs="仿宋"/>
          <w:b/>
          <w:sz w:val="24"/>
          <w:lang w:val="zh-CN"/>
        </w:rPr>
      </w:pPr>
      <w:r>
        <w:rPr>
          <w:rFonts w:hint="eastAsia" w:ascii="仿宋" w:hAnsi="仿宋" w:eastAsia="仿宋" w:cs="仿宋"/>
          <w:b/>
          <w:sz w:val="24"/>
        </w:rPr>
        <w:t>3.响应文件递交时间截止，</w:t>
      </w:r>
      <w:r>
        <w:rPr>
          <w:rFonts w:hint="eastAsia" w:ascii="仿宋" w:hAnsi="仿宋" w:eastAsia="仿宋" w:cs="仿宋"/>
          <w:b/>
          <w:sz w:val="24"/>
          <w:lang w:val="zh-CN"/>
        </w:rPr>
        <w:t>出现下列情况之一的，其响应文件将被拒绝接收：</w:t>
      </w:r>
    </w:p>
    <w:p w14:paraId="0285B93B">
      <w:pPr>
        <w:snapToGrid w:val="0"/>
        <w:spacing w:line="360" w:lineRule="auto"/>
        <w:ind w:firstLine="480" w:firstLineChars="200"/>
        <w:rPr>
          <w:rFonts w:ascii="仿宋" w:hAnsi="仿宋" w:eastAsia="仿宋" w:cs="仿宋"/>
          <w:sz w:val="24"/>
          <w:lang w:val="zh-CN"/>
        </w:rPr>
      </w:pPr>
      <w:r>
        <w:rPr>
          <w:rFonts w:hint="eastAsia" w:ascii="仿宋" w:hAnsi="仿宋" w:eastAsia="仿宋" w:cs="仿宋"/>
          <w:sz w:val="24"/>
        </w:rPr>
        <w:t>3.1</w:t>
      </w:r>
      <w:r>
        <w:rPr>
          <w:rFonts w:hint="eastAsia" w:ascii="仿宋" w:hAnsi="仿宋" w:eastAsia="仿宋" w:cs="仿宋"/>
          <w:sz w:val="24"/>
          <w:lang w:val="zh-CN"/>
        </w:rPr>
        <w:t>逾期送达的；</w:t>
      </w:r>
    </w:p>
    <w:p w14:paraId="28FDC988">
      <w:pPr>
        <w:snapToGrid w:val="0"/>
        <w:spacing w:line="360" w:lineRule="auto"/>
        <w:ind w:firstLine="480" w:firstLineChars="200"/>
        <w:rPr>
          <w:rFonts w:ascii="仿宋" w:hAnsi="仿宋" w:eastAsia="仿宋" w:cs="仿宋"/>
          <w:sz w:val="24"/>
          <w:lang w:val="zh-CN"/>
        </w:rPr>
      </w:pPr>
      <w:r>
        <w:rPr>
          <w:rFonts w:hint="eastAsia" w:ascii="仿宋" w:hAnsi="仿宋" w:eastAsia="仿宋" w:cs="仿宋"/>
          <w:sz w:val="24"/>
        </w:rPr>
        <w:t>3.2</w:t>
      </w:r>
      <w:r>
        <w:rPr>
          <w:rFonts w:hint="eastAsia" w:ascii="仿宋" w:hAnsi="仿宋" w:eastAsia="仿宋" w:cs="仿宋"/>
          <w:sz w:val="24"/>
          <w:lang w:val="zh-CN"/>
        </w:rPr>
        <w:t>未按照</w:t>
      </w:r>
      <w:r>
        <w:rPr>
          <w:rFonts w:hint="eastAsia" w:ascii="仿宋" w:hAnsi="仿宋" w:eastAsia="仿宋" w:cs="仿宋"/>
          <w:sz w:val="24"/>
        </w:rPr>
        <w:t>采购</w:t>
      </w:r>
      <w:r>
        <w:rPr>
          <w:rFonts w:hint="eastAsia" w:ascii="仿宋" w:hAnsi="仿宋" w:eastAsia="仿宋" w:cs="仿宋"/>
          <w:sz w:val="24"/>
          <w:lang w:val="zh-CN"/>
        </w:rPr>
        <w:t>文件要求密封或加写标记的；</w:t>
      </w:r>
    </w:p>
    <w:p w14:paraId="5C20A602">
      <w:pPr>
        <w:snapToGrid w:val="0"/>
        <w:spacing w:line="360" w:lineRule="auto"/>
        <w:ind w:firstLine="480" w:firstLineChars="200"/>
        <w:rPr>
          <w:rFonts w:ascii="仿宋" w:hAnsi="仿宋" w:eastAsia="仿宋" w:cs="仿宋"/>
          <w:sz w:val="24"/>
          <w:lang w:val="zh-CN"/>
        </w:rPr>
      </w:pPr>
      <w:r>
        <w:rPr>
          <w:rFonts w:hint="eastAsia" w:ascii="仿宋" w:hAnsi="仿宋" w:eastAsia="仿宋" w:cs="仿宋"/>
          <w:sz w:val="24"/>
        </w:rPr>
        <w:t>3.3</w:t>
      </w:r>
      <w:r>
        <w:rPr>
          <w:rFonts w:hint="eastAsia" w:ascii="仿宋" w:hAnsi="仿宋" w:eastAsia="仿宋" w:cs="仿宋"/>
          <w:sz w:val="24"/>
          <w:lang w:val="zh-CN"/>
        </w:rPr>
        <w:t>递交的响应文件与本项目不相符的；</w:t>
      </w:r>
    </w:p>
    <w:p w14:paraId="1D3A56D1">
      <w:pPr>
        <w:snapToGrid w:val="0"/>
        <w:spacing w:line="360" w:lineRule="auto"/>
        <w:ind w:firstLine="480" w:firstLineChars="200"/>
        <w:rPr>
          <w:rFonts w:ascii="仿宋" w:hAnsi="仿宋" w:eastAsia="仿宋" w:cs="仿宋"/>
          <w:sz w:val="24"/>
          <w:lang w:val="zh-CN"/>
        </w:rPr>
      </w:pPr>
      <w:r>
        <w:rPr>
          <w:rFonts w:hint="eastAsia" w:ascii="仿宋" w:hAnsi="仿宋" w:eastAsia="仿宋" w:cs="仿宋"/>
          <w:sz w:val="24"/>
        </w:rPr>
        <w:t>3.4</w:t>
      </w:r>
      <w:r>
        <w:rPr>
          <w:rFonts w:hint="eastAsia" w:ascii="仿宋" w:hAnsi="仿宋" w:eastAsia="仿宋" w:cs="仿宋"/>
          <w:sz w:val="24"/>
          <w:lang w:val="zh-CN"/>
        </w:rPr>
        <w:t>供应商名称与获取</w:t>
      </w:r>
      <w:r>
        <w:rPr>
          <w:rFonts w:hint="eastAsia" w:ascii="仿宋" w:hAnsi="仿宋" w:eastAsia="仿宋" w:cs="仿宋"/>
          <w:sz w:val="24"/>
        </w:rPr>
        <w:t>采购</w:t>
      </w:r>
      <w:r>
        <w:rPr>
          <w:rFonts w:hint="eastAsia" w:ascii="仿宋" w:hAnsi="仿宋" w:eastAsia="仿宋" w:cs="仿宋"/>
          <w:sz w:val="24"/>
          <w:lang w:val="zh-CN"/>
        </w:rPr>
        <w:t>文件时填写的报名登记表中名称不相符的；</w:t>
      </w:r>
    </w:p>
    <w:p w14:paraId="028E6789">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3.5无论供应商成交与否或者废标，其响应文件恕不退还。</w:t>
      </w:r>
    </w:p>
    <w:p w14:paraId="6849D025">
      <w:pPr>
        <w:snapToGrid w:val="0"/>
        <w:spacing w:line="360" w:lineRule="auto"/>
        <w:rPr>
          <w:rFonts w:ascii="仿宋" w:hAnsi="仿宋" w:eastAsia="仿宋" w:cs="仿宋"/>
          <w:sz w:val="24"/>
        </w:rPr>
      </w:pPr>
      <w:r>
        <w:rPr>
          <w:rFonts w:hint="eastAsia" w:ascii="仿宋" w:hAnsi="仿宋" w:eastAsia="仿宋" w:cs="仿宋"/>
          <w:b/>
          <w:sz w:val="24"/>
        </w:rPr>
        <w:t>4.单一来源响应文件的修改和撤回</w:t>
      </w:r>
    </w:p>
    <w:p w14:paraId="5C271AF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4.1响应文件递交后，如果供应商提出书面修改和撤回响应文件要求，在协商截止时间前以书面形式送达采购代理机构；</w:t>
      </w:r>
    </w:p>
    <w:p w14:paraId="2900B81A">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4.2供应商修改响应文件的书面材料，须密封送达采购代理机构，修改或补充的内容应按采购文件要求签署、盖章、密封、标记，并作为响应文件的组成部分；</w:t>
      </w:r>
    </w:p>
    <w:p w14:paraId="280772C4">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4.3撤回响应文件应以书面（或传真）的形式通知采购代理机构。如采取传真形式撤回响应文件，随后必须补充由法定代表人或被授权人签署的要求撤回响应文件的正式文件；撤回响应文件的时间以送达采购代理机构到达日期为准；</w:t>
      </w:r>
    </w:p>
    <w:p w14:paraId="55AF47D0">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4.4在协商截止时间后到采购文件规定的协商有效期满之间的这段时间内，供应商不得撤回其响应文件；</w:t>
      </w:r>
    </w:p>
    <w:p w14:paraId="6FEB2F21">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4.5供应商在响应文件递交截止时间后，不得对其响应文件做任何修改。</w:t>
      </w:r>
    </w:p>
    <w:p w14:paraId="6810745D">
      <w:pPr>
        <w:snapToGrid w:val="0"/>
        <w:spacing w:line="360" w:lineRule="auto"/>
        <w:jc w:val="center"/>
        <w:rPr>
          <w:rFonts w:ascii="仿宋" w:hAnsi="仿宋" w:eastAsia="仿宋" w:cs="仿宋"/>
          <w:sz w:val="30"/>
          <w:szCs w:val="30"/>
        </w:rPr>
      </w:pPr>
      <w:r>
        <w:rPr>
          <w:rFonts w:hint="eastAsia" w:ascii="仿宋" w:hAnsi="仿宋" w:eastAsia="仿宋" w:cs="仿宋"/>
          <w:b/>
          <w:sz w:val="30"/>
          <w:szCs w:val="30"/>
        </w:rPr>
        <w:t>六、协商、澄清、成交</w:t>
      </w:r>
    </w:p>
    <w:p w14:paraId="12B45308">
      <w:pPr>
        <w:adjustRightInd w:val="0"/>
        <w:snapToGrid w:val="0"/>
        <w:spacing w:line="360" w:lineRule="auto"/>
        <w:rPr>
          <w:rFonts w:ascii="仿宋" w:hAnsi="仿宋" w:eastAsia="仿宋" w:cs="仿宋"/>
          <w:b/>
          <w:sz w:val="24"/>
        </w:rPr>
      </w:pPr>
      <w:r>
        <w:rPr>
          <w:rFonts w:hint="eastAsia" w:ascii="仿宋" w:hAnsi="仿宋" w:eastAsia="仿宋" w:cs="仿宋"/>
          <w:b/>
          <w:sz w:val="24"/>
        </w:rPr>
        <w:t>1、协商</w:t>
      </w:r>
    </w:p>
    <w:p w14:paraId="24693A42">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1.1采购代理机构按单一来源采购文件规定的时间、地点组织协商；协商大会由采购单位代表、协商小组成员、监督机构代表、供应商代表及采购代理机构工作人员参加，参会代表应签名报到，以证明其出席；</w:t>
      </w:r>
    </w:p>
    <w:p w14:paraId="6E84DD42">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1.2为确保协商工作公开、公平、公正，依法成立协商小组。协商小组由采购单位及有关专家组成，其中技术、经济等方面的专家不少于协商小组成员总数的三分之二，专家组成由有关人员在陕西省财政厅政府采购专家库中随机抽取，协商小组成员应当遵守并履行下列责任和义务：</w:t>
      </w:r>
    </w:p>
    <w:p w14:paraId="44D23E44">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1）要严格遵守采购相关法律制度，依法履行各自职责，公正、客观、审慎地组织和参与评审工作；</w:t>
      </w:r>
    </w:p>
    <w:p w14:paraId="5DD7366C">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2）对单一来源响应文件进行资格性、符合性检查，并作出评价；</w:t>
      </w:r>
    </w:p>
    <w:p w14:paraId="00C8B2B1">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3）按单一来源采购文件规定的评审方法和标准，进行比较和评价； </w:t>
      </w:r>
    </w:p>
    <w:p w14:paraId="123CFBFB">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4）要求供应商对单一来源响应文件有关事项作出解释或澄清；</w:t>
      </w:r>
    </w:p>
    <w:p w14:paraId="6C328269">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5）要依法独立评审，按照单一来源采购文件的要求和评标标准进行评标，推荐成交候选单位名单，对评审意见承担个人责任；</w:t>
      </w:r>
    </w:p>
    <w:p w14:paraId="155D257A">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6）对需要共同认定的事项存在争议的，按照少数服从多数的原则作出结论。持不同意见的协商小组成员应当在评审报告上签署不同意见并说明理由，否则视为同意； </w:t>
      </w:r>
    </w:p>
    <w:p w14:paraId="0F0F78AA">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7）对评审情况以及在评审过程中获悉的国家秘密、商业秘密负有保密责任；</w:t>
      </w:r>
    </w:p>
    <w:p w14:paraId="4F88D5A6">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8）配合财政部门的投诉处理工作；</w:t>
      </w:r>
    </w:p>
    <w:p w14:paraId="216B5EA6">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9）配合采购单位、采购代理机构答复供应商提出的质疑。</w:t>
      </w:r>
    </w:p>
    <w:p w14:paraId="28EBCD79">
      <w:pPr>
        <w:adjustRightInd w:val="0"/>
        <w:snapToGrid w:val="0"/>
        <w:spacing w:line="360" w:lineRule="auto"/>
        <w:rPr>
          <w:rFonts w:ascii="仿宋" w:hAnsi="仿宋" w:eastAsia="仿宋" w:cs="仿宋"/>
          <w:sz w:val="24"/>
        </w:rPr>
      </w:pPr>
      <w:r>
        <w:rPr>
          <w:rFonts w:hint="eastAsia" w:ascii="仿宋" w:hAnsi="仿宋" w:eastAsia="仿宋" w:cs="仿宋"/>
          <w:sz w:val="24"/>
        </w:rPr>
        <w:t>1.3协商时，单一来源响应文件中出现下列情况，修正原则为：</w:t>
      </w:r>
    </w:p>
    <w:p w14:paraId="22A7FBF3">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1）单一来源响应文件中响应报价表内容与单一来源响应文件中明细内容不一致的，以响应报价表为准；</w:t>
      </w:r>
    </w:p>
    <w:p w14:paraId="5F2247CE">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2）协商报价的大写金额和小写金额不一致的，以大写金额为准；</w:t>
      </w:r>
    </w:p>
    <w:p w14:paraId="3C7CEBE8">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3）总价金额与按单价汇总金额不一致的，以单价金额计算结果为准；</w:t>
      </w:r>
    </w:p>
    <w:p w14:paraId="52922021">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4）单价金额小数点有明显错位的，以总价为准，并修改单价；</w:t>
      </w:r>
    </w:p>
    <w:p w14:paraId="2212A498">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5）单一来源响应文件正本与副本不一致的，以正本为准；</w:t>
      </w:r>
    </w:p>
    <w:p w14:paraId="0C0D5BF0">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6）多处内容交叉不符时，以协商小组成员会评审结果为准；</w:t>
      </w:r>
    </w:p>
    <w:p w14:paraId="21B50383">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7）文字与图表不符时以文字为准；</w:t>
      </w:r>
    </w:p>
    <w:p w14:paraId="5A2658F4">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rPr>
        <w:t>按上述修正错误的原则及方法调整或修正单一来源响应文件的报价，供应商同意后，调整后的报价对供应商起约束作用。如果供应商不接受修正后的报价，则其协商活动将被拒绝，并且其协商保证金也将被没收。</w:t>
      </w:r>
    </w:p>
    <w:p w14:paraId="3158203A">
      <w:pPr>
        <w:adjustRightInd w:val="0"/>
        <w:snapToGrid w:val="0"/>
        <w:spacing w:line="360" w:lineRule="auto"/>
        <w:rPr>
          <w:rFonts w:ascii="仿宋" w:hAnsi="仿宋" w:eastAsia="仿宋" w:cs="仿宋"/>
          <w:b/>
          <w:sz w:val="24"/>
        </w:rPr>
      </w:pPr>
      <w:r>
        <w:rPr>
          <w:rFonts w:hint="eastAsia" w:ascii="仿宋" w:hAnsi="仿宋" w:eastAsia="仿宋" w:cs="仿宋"/>
          <w:b/>
          <w:sz w:val="24"/>
        </w:rPr>
        <w:t>2、单一来源采购响应文件的初审</w:t>
      </w:r>
    </w:p>
    <w:p w14:paraId="78EDE441">
      <w:pPr>
        <w:adjustRightInd w:val="0"/>
        <w:snapToGrid w:val="0"/>
        <w:spacing w:line="360" w:lineRule="auto"/>
        <w:ind w:firstLine="482" w:firstLineChars="200"/>
        <w:rPr>
          <w:rFonts w:ascii="仿宋" w:hAnsi="仿宋" w:eastAsia="仿宋" w:cs="仿宋"/>
          <w:sz w:val="24"/>
        </w:rPr>
      </w:pPr>
      <w:r>
        <w:rPr>
          <w:rFonts w:hint="eastAsia" w:ascii="仿宋" w:hAnsi="仿宋" w:eastAsia="仿宋" w:cs="仿宋"/>
          <w:b/>
          <w:bCs/>
          <w:sz w:val="24"/>
        </w:rPr>
        <w:t>2.1资格性审查（由采购人审查）：</w:t>
      </w:r>
      <w:r>
        <w:rPr>
          <w:rFonts w:hint="eastAsia" w:ascii="仿宋" w:hAnsi="仿宋" w:eastAsia="仿宋" w:cs="仿宋"/>
          <w:sz w:val="24"/>
        </w:rPr>
        <w:t>单一来源响应文件是否符合单一来源采购文件的要求，对单一来源响应文件中的资质证明文件资格审查，以确定供应商是否具备协商资格；</w:t>
      </w:r>
    </w:p>
    <w:p w14:paraId="6D52BADA">
      <w:pPr>
        <w:snapToGrid w:val="0"/>
        <w:spacing w:line="360" w:lineRule="auto"/>
        <w:ind w:firstLine="482" w:firstLineChars="200"/>
        <w:rPr>
          <w:rFonts w:ascii="仿宋" w:hAnsi="仿宋" w:eastAsia="仿宋" w:cs="仿宋"/>
          <w:sz w:val="24"/>
        </w:rPr>
      </w:pPr>
      <w:r>
        <w:rPr>
          <w:rFonts w:hint="eastAsia" w:ascii="仿宋" w:hAnsi="仿宋" w:eastAsia="仿宋" w:cs="仿宋"/>
          <w:b/>
          <w:bCs/>
          <w:sz w:val="24"/>
        </w:rPr>
        <w:t>2.2符合性审查：</w:t>
      </w:r>
      <w:r>
        <w:rPr>
          <w:rFonts w:hint="eastAsia" w:ascii="仿宋" w:hAnsi="仿宋" w:eastAsia="仿宋" w:cs="仿宋"/>
          <w:sz w:val="24"/>
        </w:rPr>
        <w:t>协商小组从单一来源响应文件的有效性、完整性和对单一来源采购文件的响应程度进行初步审查，以确定其是否对单一来源采购文件实质性内容作出响应（采购人可根据具体项目的情况对实质性要求作特别的具体规定）。初步审查按下表进行：</w:t>
      </w:r>
    </w:p>
    <w:tbl>
      <w:tblPr>
        <w:tblStyle w:val="25"/>
        <w:tblW w:w="9064" w:type="dxa"/>
        <w:tblInd w:w="108" w:type="dxa"/>
        <w:tblLayout w:type="fixed"/>
        <w:tblCellMar>
          <w:top w:w="0" w:type="dxa"/>
          <w:left w:w="10" w:type="dxa"/>
          <w:bottom w:w="0" w:type="dxa"/>
          <w:right w:w="10" w:type="dxa"/>
        </w:tblCellMar>
      </w:tblPr>
      <w:tblGrid>
        <w:gridCol w:w="681"/>
        <w:gridCol w:w="3352"/>
        <w:gridCol w:w="5031"/>
      </w:tblGrid>
      <w:tr w14:paraId="158FE88E">
        <w:tblPrEx>
          <w:tblCellMar>
            <w:top w:w="0" w:type="dxa"/>
            <w:left w:w="10" w:type="dxa"/>
            <w:bottom w:w="0" w:type="dxa"/>
            <w:right w:w="1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7B9BC55">
            <w:pPr>
              <w:snapToGrid w:val="0"/>
              <w:spacing w:line="360" w:lineRule="auto"/>
              <w:jc w:val="center"/>
              <w:rPr>
                <w:rFonts w:ascii="仿宋" w:hAnsi="仿宋" w:eastAsia="仿宋" w:cs="仿宋"/>
                <w:b/>
                <w:bCs/>
                <w:sz w:val="24"/>
              </w:rPr>
            </w:pPr>
            <w:r>
              <w:rPr>
                <w:rFonts w:hint="eastAsia" w:ascii="仿宋" w:hAnsi="仿宋" w:eastAsia="仿宋" w:cs="仿宋"/>
                <w:b/>
                <w:bCs/>
                <w:sz w:val="24"/>
              </w:rPr>
              <w:t>序号</w:t>
            </w:r>
          </w:p>
        </w:tc>
        <w:tc>
          <w:tcPr>
            <w:tcW w:w="3352"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8352BC4">
            <w:pPr>
              <w:snapToGrid w:val="0"/>
              <w:spacing w:line="360" w:lineRule="auto"/>
              <w:jc w:val="center"/>
              <w:rPr>
                <w:rFonts w:ascii="仿宋" w:hAnsi="仿宋" w:eastAsia="仿宋" w:cs="仿宋"/>
                <w:b/>
                <w:bCs/>
                <w:sz w:val="24"/>
              </w:rPr>
            </w:pPr>
            <w:r>
              <w:rPr>
                <w:rFonts w:hint="eastAsia" w:ascii="仿宋" w:hAnsi="仿宋" w:eastAsia="仿宋" w:cs="仿宋"/>
                <w:b/>
                <w:bCs/>
                <w:sz w:val="24"/>
              </w:rPr>
              <w:t>评审内容</w:t>
            </w:r>
          </w:p>
        </w:tc>
        <w:tc>
          <w:tcPr>
            <w:tcW w:w="503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8C488E6">
            <w:pPr>
              <w:snapToGrid w:val="0"/>
              <w:spacing w:line="360" w:lineRule="auto"/>
              <w:jc w:val="center"/>
              <w:rPr>
                <w:rFonts w:ascii="仿宋" w:hAnsi="仿宋" w:eastAsia="仿宋" w:cs="仿宋"/>
                <w:b/>
                <w:bCs/>
                <w:sz w:val="24"/>
              </w:rPr>
            </w:pPr>
            <w:r>
              <w:rPr>
                <w:rFonts w:hint="eastAsia" w:ascii="仿宋" w:hAnsi="仿宋" w:eastAsia="仿宋" w:cs="仿宋"/>
                <w:b/>
                <w:bCs/>
                <w:sz w:val="24"/>
              </w:rPr>
              <w:t>评审标准</w:t>
            </w:r>
          </w:p>
        </w:tc>
      </w:tr>
      <w:tr w14:paraId="232B6037">
        <w:tblPrEx>
          <w:tblCellMar>
            <w:top w:w="0" w:type="dxa"/>
            <w:left w:w="10" w:type="dxa"/>
            <w:bottom w:w="0" w:type="dxa"/>
            <w:right w:w="1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B65DED4">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3352"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3FBB0E5">
            <w:pPr>
              <w:pStyle w:val="40"/>
              <w:adjustRightInd w:val="0"/>
              <w:snapToGrid w:val="0"/>
              <w:spacing w:line="360" w:lineRule="auto"/>
              <w:jc w:val="center"/>
              <w:rPr>
                <w:rFonts w:hint="default" w:ascii="仿宋" w:hAnsi="仿宋" w:eastAsia="仿宋" w:cs="仿宋"/>
                <w:sz w:val="24"/>
                <w:szCs w:val="24"/>
              </w:rPr>
            </w:pPr>
            <w:r>
              <w:rPr>
                <w:rFonts w:ascii="仿宋" w:hAnsi="仿宋" w:eastAsia="仿宋" w:cs="仿宋"/>
                <w:sz w:val="24"/>
                <w:szCs w:val="24"/>
              </w:rPr>
              <w:t>供应商名称</w:t>
            </w:r>
          </w:p>
        </w:tc>
        <w:tc>
          <w:tcPr>
            <w:tcW w:w="503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364F339">
            <w:pPr>
              <w:pStyle w:val="40"/>
              <w:adjustRightInd w:val="0"/>
              <w:snapToGrid w:val="0"/>
              <w:spacing w:line="360" w:lineRule="auto"/>
              <w:jc w:val="both"/>
              <w:rPr>
                <w:rFonts w:hint="default" w:ascii="仿宋" w:hAnsi="仿宋" w:eastAsia="仿宋" w:cs="仿宋"/>
                <w:sz w:val="24"/>
                <w:szCs w:val="24"/>
              </w:rPr>
            </w:pPr>
            <w:r>
              <w:rPr>
                <w:rFonts w:ascii="仿宋" w:hAnsi="仿宋" w:eastAsia="仿宋" w:cs="仿宋"/>
                <w:sz w:val="24"/>
                <w:szCs w:val="24"/>
              </w:rPr>
              <w:t>供应商名称和公章、营业执照一致</w:t>
            </w:r>
          </w:p>
        </w:tc>
      </w:tr>
      <w:tr w14:paraId="391C562B">
        <w:tblPrEx>
          <w:tblCellMar>
            <w:top w:w="0" w:type="dxa"/>
            <w:left w:w="10" w:type="dxa"/>
            <w:bottom w:w="0" w:type="dxa"/>
            <w:right w:w="1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4BEA088">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3352"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33E1CC1">
            <w:pPr>
              <w:pStyle w:val="40"/>
              <w:adjustRightInd w:val="0"/>
              <w:snapToGrid w:val="0"/>
              <w:spacing w:line="360" w:lineRule="auto"/>
              <w:jc w:val="center"/>
              <w:rPr>
                <w:rFonts w:hint="default" w:ascii="仿宋" w:hAnsi="仿宋" w:eastAsia="仿宋" w:cs="仿宋"/>
                <w:sz w:val="24"/>
                <w:szCs w:val="24"/>
              </w:rPr>
            </w:pPr>
            <w:r>
              <w:rPr>
                <w:rFonts w:ascii="仿宋" w:hAnsi="仿宋" w:eastAsia="仿宋" w:cs="仿宋"/>
                <w:sz w:val="24"/>
                <w:szCs w:val="24"/>
              </w:rPr>
              <w:t>协商报价</w:t>
            </w:r>
          </w:p>
        </w:tc>
        <w:tc>
          <w:tcPr>
            <w:tcW w:w="503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2ACD12A">
            <w:pPr>
              <w:pStyle w:val="40"/>
              <w:adjustRightInd w:val="0"/>
              <w:snapToGrid w:val="0"/>
              <w:spacing w:line="360" w:lineRule="auto"/>
              <w:jc w:val="both"/>
              <w:rPr>
                <w:rFonts w:hint="default" w:ascii="仿宋" w:hAnsi="仿宋" w:eastAsia="仿宋" w:cs="仿宋"/>
                <w:sz w:val="24"/>
                <w:szCs w:val="24"/>
              </w:rPr>
            </w:pPr>
            <w:r>
              <w:rPr>
                <w:rFonts w:ascii="仿宋" w:hAnsi="仿宋" w:eastAsia="仿宋" w:cs="仿宋"/>
                <w:sz w:val="24"/>
                <w:szCs w:val="24"/>
              </w:rPr>
              <w:t>完整无缺项，无选择性报价</w:t>
            </w:r>
          </w:p>
        </w:tc>
      </w:tr>
      <w:tr w14:paraId="018DC8CA">
        <w:tblPrEx>
          <w:tblCellMar>
            <w:top w:w="0" w:type="dxa"/>
            <w:left w:w="10" w:type="dxa"/>
            <w:bottom w:w="0" w:type="dxa"/>
            <w:right w:w="1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6D84933">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3352"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532D8FF">
            <w:pPr>
              <w:pStyle w:val="40"/>
              <w:adjustRightInd w:val="0"/>
              <w:snapToGrid w:val="0"/>
              <w:spacing w:line="360" w:lineRule="auto"/>
              <w:jc w:val="center"/>
              <w:rPr>
                <w:rFonts w:hint="default" w:ascii="仿宋" w:hAnsi="仿宋" w:eastAsia="仿宋" w:cs="仿宋"/>
                <w:sz w:val="24"/>
                <w:szCs w:val="24"/>
              </w:rPr>
            </w:pPr>
            <w:r>
              <w:rPr>
                <w:rFonts w:ascii="仿宋" w:hAnsi="仿宋" w:eastAsia="仿宋" w:cs="仿宋"/>
                <w:sz w:val="24"/>
                <w:szCs w:val="24"/>
              </w:rPr>
              <w:t>响应文件的有效期</w:t>
            </w:r>
          </w:p>
        </w:tc>
        <w:tc>
          <w:tcPr>
            <w:tcW w:w="503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89B6EF6">
            <w:pPr>
              <w:pStyle w:val="40"/>
              <w:adjustRightInd w:val="0"/>
              <w:snapToGrid w:val="0"/>
              <w:spacing w:line="360" w:lineRule="auto"/>
              <w:jc w:val="both"/>
              <w:rPr>
                <w:rFonts w:hint="default" w:ascii="仿宋" w:hAnsi="仿宋" w:eastAsia="仿宋" w:cs="仿宋"/>
                <w:sz w:val="24"/>
                <w:szCs w:val="24"/>
              </w:rPr>
            </w:pPr>
            <w:r>
              <w:rPr>
                <w:rFonts w:ascii="仿宋" w:hAnsi="仿宋" w:eastAsia="仿宋" w:cs="仿宋"/>
                <w:sz w:val="24"/>
                <w:szCs w:val="24"/>
              </w:rPr>
              <w:t>自开标之日起不少于90个日历日</w:t>
            </w:r>
          </w:p>
        </w:tc>
      </w:tr>
      <w:tr w14:paraId="44A96AE8">
        <w:tblPrEx>
          <w:tblCellMar>
            <w:top w:w="0" w:type="dxa"/>
            <w:left w:w="10" w:type="dxa"/>
            <w:bottom w:w="0" w:type="dxa"/>
            <w:right w:w="1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B900228">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3352"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014D7B0">
            <w:pPr>
              <w:pStyle w:val="40"/>
              <w:adjustRightInd w:val="0"/>
              <w:snapToGrid w:val="0"/>
              <w:spacing w:line="360" w:lineRule="auto"/>
              <w:jc w:val="center"/>
              <w:rPr>
                <w:rFonts w:hint="default" w:ascii="仿宋" w:hAnsi="仿宋" w:eastAsia="仿宋" w:cs="仿宋"/>
                <w:sz w:val="24"/>
                <w:szCs w:val="24"/>
              </w:rPr>
            </w:pPr>
            <w:r>
              <w:rPr>
                <w:rFonts w:ascii="仿宋" w:hAnsi="仿宋" w:eastAsia="仿宋" w:cs="仿宋"/>
                <w:sz w:val="24"/>
                <w:szCs w:val="24"/>
              </w:rPr>
              <w:t>响应文件签字、盖章</w:t>
            </w:r>
          </w:p>
        </w:tc>
        <w:tc>
          <w:tcPr>
            <w:tcW w:w="503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48A85E1">
            <w:pPr>
              <w:pStyle w:val="40"/>
              <w:adjustRightInd w:val="0"/>
              <w:snapToGrid w:val="0"/>
              <w:spacing w:line="360" w:lineRule="auto"/>
              <w:jc w:val="both"/>
              <w:rPr>
                <w:rFonts w:hint="default" w:ascii="仿宋" w:hAnsi="仿宋" w:eastAsia="仿宋" w:cs="仿宋"/>
                <w:sz w:val="24"/>
                <w:szCs w:val="24"/>
              </w:rPr>
            </w:pPr>
            <w:r>
              <w:rPr>
                <w:rFonts w:ascii="仿宋" w:hAnsi="仿宋" w:eastAsia="仿宋" w:cs="仿宋"/>
                <w:sz w:val="24"/>
                <w:szCs w:val="24"/>
              </w:rPr>
              <w:t>响应文件的签字盖章合格有效；</w:t>
            </w:r>
          </w:p>
        </w:tc>
      </w:tr>
      <w:tr w14:paraId="49E49D66">
        <w:tblPrEx>
          <w:tblCellMar>
            <w:top w:w="0" w:type="dxa"/>
            <w:left w:w="10" w:type="dxa"/>
            <w:bottom w:w="0" w:type="dxa"/>
            <w:right w:w="1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533985C">
            <w:pPr>
              <w:snapToGrid w:val="0"/>
              <w:spacing w:line="360" w:lineRule="auto"/>
              <w:jc w:val="center"/>
              <w:rPr>
                <w:rFonts w:ascii="仿宋" w:hAnsi="仿宋" w:eastAsia="仿宋" w:cs="仿宋"/>
                <w:sz w:val="24"/>
              </w:rPr>
            </w:pPr>
            <w:r>
              <w:rPr>
                <w:rFonts w:hint="eastAsia" w:ascii="仿宋" w:hAnsi="仿宋" w:eastAsia="仿宋" w:cs="仿宋"/>
                <w:sz w:val="24"/>
              </w:rPr>
              <w:t>5</w:t>
            </w:r>
          </w:p>
        </w:tc>
        <w:tc>
          <w:tcPr>
            <w:tcW w:w="3352"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79400BB">
            <w:pPr>
              <w:pStyle w:val="40"/>
              <w:jc w:val="center"/>
              <w:rPr>
                <w:rFonts w:hint="default" w:ascii="仿宋" w:hAnsi="仿宋" w:eastAsia="仿宋" w:cs="仿宋"/>
                <w:sz w:val="24"/>
                <w:szCs w:val="24"/>
                <w:lang w:eastAsia="zh-CN"/>
              </w:rPr>
            </w:pPr>
            <w:r>
              <w:rPr>
                <w:rFonts w:ascii="仿宋" w:hAnsi="仿宋" w:eastAsia="仿宋" w:cs="仿宋"/>
                <w:sz w:val="24"/>
                <w:szCs w:val="24"/>
                <w:lang w:eastAsia="zh-CN"/>
              </w:rPr>
              <w:t>采购</w:t>
            </w:r>
            <w:r>
              <w:rPr>
                <w:rFonts w:ascii="仿宋" w:hAnsi="仿宋" w:eastAsia="仿宋" w:cs="仿宋"/>
                <w:sz w:val="24"/>
                <w:szCs w:val="24"/>
              </w:rPr>
              <w:t>文件商务条款</w:t>
            </w:r>
          </w:p>
        </w:tc>
        <w:tc>
          <w:tcPr>
            <w:tcW w:w="503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C900FF7">
            <w:pPr>
              <w:pStyle w:val="40"/>
              <w:jc w:val="both"/>
              <w:rPr>
                <w:rFonts w:hint="default" w:ascii="仿宋" w:hAnsi="仿宋" w:eastAsia="仿宋" w:cs="仿宋"/>
                <w:sz w:val="24"/>
                <w:szCs w:val="24"/>
              </w:rPr>
            </w:pPr>
            <w:r>
              <w:rPr>
                <w:rFonts w:ascii="仿宋" w:hAnsi="仿宋" w:eastAsia="仿宋" w:cs="仿宋"/>
                <w:sz w:val="24"/>
                <w:szCs w:val="24"/>
              </w:rPr>
              <w:t>响应</w:t>
            </w:r>
            <w:r>
              <w:rPr>
                <w:rFonts w:ascii="仿宋" w:hAnsi="仿宋" w:eastAsia="仿宋" w:cs="仿宋"/>
                <w:sz w:val="24"/>
                <w:szCs w:val="24"/>
                <w:lang w:eastAsia="zh-CN"/>
              </w:rPr>
              <w:t>采购</w:t>
            </w:r>
            <w:r>
              <w:rPr>
                <w:rFonts w:ascii="仿宋" w:hAnsi="仿宋" w:eastAsia="仿宋" w:cs="仿宋"/>
                <w:sz w:val="24"/>
                <w:szCs w:val="24"/>
              </w:rPr>
              <w:t>文件商务条款，无重大保留或偏差</w:t>
            </w:r>
          </w:p>
        </w:tc>
      </w:tr>
      <w:tr w14:paraId="1AECC9E3">
        <w:tblPrEx>
          <w:tblCellMar>
            <w:top w:w="0" w:type="dxa"/>
            <w:left w:w="10" w:type="dxa"/>
            <w:bottom w:w="0" w:type="dxa"/>
            <w:right w:w="1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209B00E">
            <w:pPr>
              <w:snapToGrid w:val="0"/>
              <w:spacing w:line="360" w:lineRule="auto"/>
              <w:jc w:val="center"/>
              <w:rPr>
                <w:rFonts w:ascii="仿宋" w:hAnsi="仿宋" w:eastAsia="仿宋" w:cs="仿宋"/>
                <w:sz w:val="24"/>
              </w:rPr>
            </w:pPr>
            <w:r>
              <w:rPr>
                <w:rFonts w:hint="eastAsia" w:ascii="仿宋" w:hAnsi="仿宋" w:eastAsia="仿宋" w:cs="仿宋"/>
                <w:sz w:val="24"/>
              </w:rPr>
              <w:t>6</w:t>
            </w:r>
          </w:p>
        </w:tc>
        <w:tc>
          <w:tcPr>
            <w:tcW w:w="3352"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177075C">
            <w:pPr>
              <w:pStyle w:val="40"/>
              <w:adjustRightInd w:val="0"/>
              <w:snapToGrid w:val="0"/>
              <w:spacing w:line="360" w:lineRule="auto"/>
              <w:jc w:val="center"/>
              <w:rPr>
                <w:rFonts w:hint="default" w:ascii="仿宋" w:hAnsi="仿宋" w:eastAsia="仿宋" w:cs="仿宋"/>
                <w:sz w:val="24"/>
                <w:szCs w:val="24"/>
              </w:rPr>
            </w:pPr>
            <w:r>
              <w:rPr>
                <w:rFonts w:ascii="仿宋" w:hAnsi="仿宋" w:eastAsia="仿宋" w:cs="仿宋"/>
                <w:sz w:val="24"/>
                <w:szCs w:val="24"/>
                <w:lang w:eastAsia="zh-CN"/>
              </w:rPr>
              <w:t>服务</w:t>
            </w:r>
            <w:r>
              <w:rPr>
                <w:rFonts w:ascii="仿宋" w:hAnsi="仿宋" w:eastAsia="仿宋" w:cs="仿宋"/>
                <w:sz w:val="24"/>
                <w:szCs w:val="24"/>
              </w:rPr>
              <w:t>要求</w:t>
            </w:r>
          </w:p>
        </w:tc>
        <w:tc>
          <w:tcPr>
            <w:tcW w:w="503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55EB833">
            <w:pPr>
              <w:pStyle w:val="40"/>
              <w:adjustRightInd w:val="0"/>
              <w:snapToGrid w:val="0"/>
              <w:spacing w:line="360" w:lineRule="auto"/>
              <w:jc w:val="both"/>
              <w:rPr>
                <w:rFonts w:hint="default" w:ascii="仿宋" w:hAnsi="仿宋" w:eastAsia="仿宋" w:cs="仿宋"/>
                <w:sz w:val="24"/>
                <w:szCs w:val="24"/>
              </w:rPr>
            </w:pPr>
            <w:r>
              <w:rPr>
                <w:rFonts w:ascii="仿宋" w:hAnsi="仿宋" w:eastAsia="仿宋" w:cs="仿宋"/>
                <w:sz w:val="24"/>
                <w:szCs w:val="24"/>
              </w:rPr>
              <w:t>供应商</w:t>
            </w:r>
            <w:r>
              <w:rPr>
                <w:rFonts w:ascii="仿宋" w:hAnsi="仿宋" w:eastAsia="仿宋" w:cs="仿宋"/>
                <w:sz w:val="24"/>
                <w:szCs w:val="24"/>
                <w:lang w:eastAsia="zh-CN"/>
              </w:rPr>
              <w:t>服务</w:t>
            </w:r>
            <w:r>
              <w:rPr>
                <w:rFonts w:ascii="仿宋" w:hAnsi="仿宋" w:eastAsia="仿宋" w:cs="仿宋"/>
                <w:sz w:val="24"/>
                <w:szCs w:val="24"/>
              </w:rPr>
              <w:t>须完全满足采购文件要求，否则其响应文件作为无效处理。</w:t>
            </w:r>
          </w:p>
        </w:tc>
      </w:tr>
      <w:tr w14:paraId="3CC37DAC">
        <w:tblPrEx>
          <w:tblCellMar>
            <w:top w:w="0" w:type="dxa"/>
            <w:left w:w="10" w:type="dxa"/>
            <w:bottom w:w="0" w:type="dxa"/>
            <w:right w:w="10" w:type="dxa"/>
          </w:tblCellMar>
        </w:tblPrEx>
        <w:trPr>
          <w:trHeight w:val="567" w:hRule="atLeast"/>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5726844">
            <w:pPr>
              <w:snapToGrid w:val="0"/>
              <w:spacing w:line="360" w:lineRule="auto"/>
              <w:jc w:val="center"/>
              <w:rPr>
                <w:rFonts w:ascii="仿宋" w:hAnsi="仿宋" w:eastAsia="仿宋" w:cs="仿宋"/>
                <w:sz w:val="24"/>
              </w:rPr>
            </w:pPr>
            <w:r>
              <w:rPr>
                <w:rFonts w:hint="eastAsia" w:ascii="仿宋" w:hAnsi="仿宋" w:eastAsia="仿宋" w:cs="仿宋"/>
                <w:sz w:val="24"/>
              </w:rPr>
              <w:t>7</w:t>
            </w:r>
          </w:p>
        </w:tc>
        <w:tc>
          <w:tcPr>
            <w:tcW w:w="3352"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2DC4564">
            <w:pPr>
              <w:pStyle w:val="40"/>
              <w:adjustRightInd w:val="0"/>
              <w:snapToGrid w:val="0"/>
              <w:spacing w:line="360" w:lineRule="auto"/>
              <w:jc w:val="center"/>
              <w:rPr>
                <w:rFonts w:hint="default" w:ascii="仿宋" w:hAnsi="仿宋" w:eastAsia="仿宋" w:cs="仿宋"/>
                <w:sz w:val="24"/>
                <w:szCs w:val="24"/>
                <w:lang w:eastAsia="zh-CN"/>
              </w:rPr>
            </w:pPr>
            <w:r>
              <w:rPr>
                <w:rFonts w:ascii="仿宋" w:hAnsi="仿宋" w:eastAsia="仿宋" w:cs="仿宋"/>
                <w:sz w:val="24"/>
                <w:szCs w:val="24"/>
              </w:rPr>
              <w:t>其它情形</w:t>
            </w:r>
          </w:p>
        </w:tc>
        <w:tc>
          <w:tcPr>
            <w:tcW w:w="503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487EF79">
            <w:pPr>
              <w:pStyle w:val="40"/>
              <w:adjustRightInd w:val="0"/>
              <w:snapToGrid w:val="0"/>
              <w:spacing w:line="360" w:lineRule="auto"/>
              <w:jc w:val="both"/>
              <w:rPr>
                <w:rFonts w:hint="default" w:ascii="仿宋" w:hAnsi="仿宋" w:eastAsia="仿宋" w:cs="仿宋"/>
                <w:sz w:val="24"/>
                <w:szCs w:val="24"/>
              </w:rPr>
            </w:pPr>
            <w:r>
              <w:rPr>
                <w:rFonts w:ascii="仿宋" w:hAnsi="仿宋" w:eastAsia="仿宋" w:cs="仿宋"/>
                <w:sz w:val="24"/>
                <w:szCs w:val="24"/>
              </w:rPr>
              <w:t>无不符合法律法规或采购文件规定的</w:t>
            </w:r>
            <w:r>
              <w:rPr>
                <w:rFonts w:ascii="仿宋" w:hAnsi="仿宋" w:eastAsia="仿宋" w:cs="仿宋"/>
                <w:sz w:val="24"/>
                <w:szCs w:val="24"/>
                <w:lang w:eastAsia="zh-CN"/>
              </w:rPr>
              <w:t>响应</w:t>
            </w:r>
            <w:r>
              <w:rPr>
                <w:rFonts w:ascii="仿宋" w:hAnsi="仿宋" w:eastAsia="仿宋" w:cs="仿宋"/>
                <w:sz w:val="24"/>
                <w:szCs w:val="24"/>
              </w:rPr>
              <w:t>无效条款</w:t>
            </w:r>
          </w:p>
        </w:tc>
      </w:tr>
    </w:tbl>
    <w:p w14:paraId="76B39234">
      <w:pPr>
        <w:snapToGrid w:val="0"/>
        <w:spacing w:line="360" w:lineRule="auto"/>
        <w:ind w:firstLine="240" w:firstLineChars="100"/>
        <w:rPr>
          <w:rFonts w:ascii="仿宋" w:hAnsi="仿宋" w:eastAsia="仿宋" w:cs="仿宋"/>
          <w:sz w:val="24"/>
        </w:rPr>
      </w:pPr>
      <w:r>
        <w:rPr>
          <w:rFonts w:hint="eastAsia" w:ascii="仿宋" w:hAnsi="仿宋" w:eastAsia="仿宋" w:cs="仿宋"/>
          <w:sz w:val="24"/>
        </w:rPr>
        <w:t>说明：以上各项有1项不合格，评审不予通过，作为未实质性响应单一来源采购文件。在资格性、符合性检查时，审查未通过的，不得进入后续评审环节。</w:t>
      </w:r>
    </w:p>
    <w:p w14:paraId="0B462DA8">
      <w:pPr>
        <w:snapToGrid w:val="0"/>
        <w:spacing w:line="360" w:lineRule="auto"/>
        <w:rPr>
          <w:rFonts w:ascii="仿宋" w:hAnsi="仿宋" w:eastAsia="仿宋" w:cs="仿宋"/>
          <w:sz w:val="24"/>
        </w:rPr>
      </w:pPr>
      <w:r>
        <w:rPr>
          <w:rFonts w:hint="eastAsia" w:ascii="仿宋" w:hAnsi="仿宋" w:eastAsia="仿宋" w:cs="仿宋"/>
          <w:b/>
          <w:sz w:val="24"/>
        </w:rPr>
        <w:t>3、协商澄清</w:t>
      </w:r>
    </w:p>
    <w:p w14:paraId="75D417BB">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3.1协商小组有权就单一来源响应文件中含义不明确、同类问题表述不一致、或者有明显文字和计算错误的内容等要求向上述步骤初审合格的供应商提出询问或澄清要求；供应商将有关询标澄清、补正、说明的内容应以书面形式提交；</w:t>
      </w:r>
    </w:p>
    <w:p w14:paraId="19B02A6F">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3.2单一来源采购文件、单一来源响应文件作为协商的依据，澄清、补正、说明的内容只作为协商参考。协商澄清时供应商只作说明和解释，不得借此对协商报价、主要服务范围及服务内容等实质性内容做任何修改；如澄清、补正、说明的内容与协商响应文件内容有重大相悖或矛盾，将被认定为无效文件；</w:t>
      </w:r>
    </w:p>
    <w:p w14:paraId="0DCD3EB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3.3供应商对单一来源响应文件的澄清不得改变协商报价及实质内容。</w:t>
      </w:r>
    </w:p>
    <w:p w14:paraId="1360FB6A">
      <w:pPr>
        <w:snapToGrid w:val="0"/>
        <w:spacing w:line="360" w:lineRule="auto"/>
        <w:rPr>
          <w:rFonts w:ascii="仿宋" w:hAnsi="仿宋" w:eastAsia="仿宋" w:cs="仿宋"/>
          <w:b/>
          <w:sz w:val="24"/>
        </w:rPr>
      </w:pPr>
      <w:r>
        <w:rPr>
          <w:rFonts w:hint="eastAsia" w:ascii="仿宋" w:hAnsi="仿宋" w:eastAsia="仿宋" w:cs="仿宋"/>
          <w:b/>
          <w:sz w:val="24"/>
        </w:rPr>
        <w:t>4、协商方法</w:t>
      </w:r>
    </w:p>
    <w:p w14:paraId="586F6195">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协商原则：协商小组根据符合单一来源采购的参数、质量和服务的要求。</w:t>
      </w:r>
    </w:p>
    <w:p w14:paraId="2FFC0307">
      <w:pPr>
        <w:snapToGrid w:val="0"/>
        <w:spacing w:line="360" w:lineRule="auto"/>
        <w:rPr>
          <w:rFonts w:ascii="仿宋" w:hAnsi="仿宋" w:eastAsia="仿宋" w:cs="仿宋"/>
          <w:b/>
          <w:sz w:val="24"/>
        </w:rPr>
      </w:pPr>
      <w:r>
        <w:rPr>
          <w:rFonts w:hint="eastAsia" w:ascii="仿宋" w:hAnsi="仿宋" w:eastAsia="仿宋" w:cs="仿宋"/>
          <w:b/>
          <w:sz w:val="24"/>
        </w:rPr>
        <w:t>5、协商内容</w:t>
      </w:r>
    </w:p>
    <w:p w14:paraId="78354870">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协商确定的最终价格及服务等仍不能满足采购人的要求，采购人及协商小组将保留最终放弃本次协商的权利。</w:t>
      </w:r>
    </w:p>
    <w:p w14:paraId="10226DCC">
      <w:pPr>
        <w:snapToGrid w:val="0"/>
        <w:spacing w:line="360" w:lineRule="auto"/>
        <w:rPr>
          <w:rFonts w:ascii="仿宋" w:hAnsi="仿宋" w:eastAsia="仿宋" w:cs="仿宋"/>
          <w:b/>
          <w:sz w:val="24"/>
        </w:rPr>
      </w:pPr>
      <w:r>
        <w:rPr>
          <w:rFonts w:hint="eastAsia" w:ascii="仿宋" w:hAnsi="仿宋" w:eastAsia="仿宋" w:cs="仿宋"/>
          <w:b/>
          <w:sz w:val="24"/>
        </w:rPr>
        <w:t>6、成交</w:t>
      </w:r>
    </w:p>
    <w:p w14:paraId="6E146D6A">
      <w:pPr>
        <w:snapToGrid w:val="0"/>
        <w:spacing w:line="360" w:lineRule="auto"/>
        <w:ind w:firstLine="480" w:firstLineChars="200"/>
        <w:rPr>
          <w:rFonts w:ascii="仿宋" w:hAnsi="仿宋" w:eastAsia="仿宋" w:cs="仿宋"/>
          <w:sz w:val="24"/>
          <w:lang w:val="zh-CN"/>
        </w:rPr>
      </w:pPr>
      <w:r>
        <w:rPr>
          <w:rFonts w:hint="eastAsia" w:ascii="仿宋" w:hAnsi="仿宋" w:eastAsia="仿宋" w:cs="仿宋"/>
          <w:sz w:val="24"/>
        </w:rPr>
        <w:t>6.1</w:t>
      </w:r>
      <w:r>
        <w:rPr>
          <w:rFonts w:hint="eastAsia" w:ascii="仿宋" w:hAnsi="仿宋" w:eastAsia="仿宋" w:cs="仿宋"/>
          <w:sz w:val="24"/>
          <w:lang w:val="zh-CN"/>
        </w:rPr>
        <w:t>采购代理机构应在评审结束后</w:t>
      </w:r>
      <w:r>
        <w:rPr>
          <w:rFonts w:hint="eastAsia" w:ascii="仿宋" w:hAnsi="仿宋" w:eastAsia="仿宋" w:cs="仿宋"/>
          <w:sz w:val="24"/>
        </w:rPr>
        <w:t>2</w:t>
      </w:r>
      <w:r>
        <w:rPr>
          <w:rFonts w:hint="eastAsia" w:ascii="仿宋" w:hAnsi="仿宋" w:eastAsia="仿宋" w:cs="仿宋"/>
          <w:sz w:val="24"/>
          <w:lang w:val="zh-CN"/>
        </w:rPr>
        <w:t>个工作日内将评审报告送采购人。</w:t>
      </w:r>
    </w:p>
    <w:p w14:paraId="65A61C18">
      <w:pPr>
        <w:snapToGrid w:val="0"/>
        <w:spacing w:line="360" w:lineRule="auto"/>
        <w:ind w:firstLine="480" w:firstLineChars="200"/>
        <w:rPr>
          <w:rFonts w:ascii="仿宋" w:hAnsi="仿宋" w:eastAsia="仿宋" w:cs="仿宋"/>
          <w:sz w:val="24"/>
          <w:lang w:val="zh-CN"/>
        </w:rPr>
      </w:pPr>
      <w:r>
        <w:rPr>
          <w:rFonts w:hint="eastAsia" w:ascii="仿宋" w:hAnsi="仿宋" w:eastAsia="仿宋" w:cs="仿宋"/>
          <w:sz w:val="24"/>
        </w:rPr>
        <w:t>6.2</w:t>
      </w:r>
      <w:r>
        <w:rPr>
          <w:rFonts w:hint="eastAsia" w:ascii="仿宋" w:hAnsi="仿宋" w:eastAsia="仿宋" w:cs="仿宋"/>
          <w:sz w:val="24"/>
          <w:lang w:val="zh-CN"/>
        </w:rPr>
        <w:t>采购人在收到评审报告后</w:t>
      </w:r>
      <w:r>
        <w:rPr>
          <w:rFonts w:hint="eastAsia" w:ascii="仿宋" w:hAnsi="仿宋" w:eastAsia="仿宋" w:cs="仿宋"/>
          <w:sz w:val="24"/>
        </w:rPr>
        <w:t>5</w:t>
      </w:r>
      <w:r>
        <w:rPr>
          <w:rFonts w:hint="eastAsia" w:ascii="仿宋" w:hAnsi="仿宋" w:eastAsia="仿宋" w:cs="仿宋"/>
          <w:sz w:val="24"/>
          <w:lang w:val="zh-CN"/>
        </w:rPr>
        <w:t>个工作日内，</w:t>
      </w:r>
      <w:r>
        <w:rPr>
          <w:rFonts w:hint="eastAsia" w:ascii="仿宋" w:hAnsi="仿宋" w:eastAsia="仿宋" w:cs="仿宋"/>
          <w:sz w:val="24"/>
        </w:rPr>
        <w:t>在</w:t>
      </w:r>
      <w:r>
        <w:rPr>
          <w:rFonts w:hint="eastAsia" w:ascii="仿宋" w:hAnsi="仿宋" w:eastAsia="仿宋" w:cs="仿宋"/>
          <w:sz w:val="24"/>
          <w:lang w:val="zh-CN"/>
        </w:rPr>
        <w:t>评审报告</w:t>
      </w:r>
      <w:r>
        <w:rPr>
          <w:rFonts w:hint="eastAsia" w:ascii="仿宋" w:hAnsi="仿宋" w:eastAsia="仿宋" w:cs="仿宋"/>
          <w:sz w:val="24"/>
        </w:rPr>
        <w:t>确定</w:t>
      </w:r>
      <w:r>
        <w:rPr>
          <w:rFonts w:hint="eastAsia" w:ascii="仿宋" w:hAnsi="仿宋" w:eastAsia="仿宋" w:cs="仿宋"/>
          <w:sz w:val="24"/>
          <w:lang w:val="zh-CN"/>
        </w:rPr>
        <w:t>的成交候选人</w:t>
      </w:r>
      <w:r>
        <w:rPr>
          <w:rFonts w:hint="eastAsia" w:ascii="仿宋" w:hAnsi="仿宋" w:eastAsia="仿宋" w:cs="仿宋"/>
          <w:sz w:val="24"/>
        </w:rPr>
        <w:t>名单</w:t>
      </w:r>
      <w:r>
        <w:rPr>
          <w:rFonts w:hint="eastAsia" w:ascii="仿宋" w:hAnsi="仿宋" w:eastAsia="仿宋" w:cs="仿宋"/>
          <w:sz w:val="24"/>
          <w:lang w:val="zh-CN"/>
        </w:rPr>
        <w:t>中</w:t>
      </w:r>
      <w:r>
        <w:rPr>
          <w:rFonts w:hint="eastAsia" w:ascii="仿宋" w:hAnsi="仿宋" w:eastAsia="仿宋" w:cs="仿宋"/>
          <w:sz w:val="24"/>
        </w:rPr>
        <w:t>按顺序</w:t>
      </w:r>
      <w:r>
        <w:rPr>
          <w:rFonts w:hint="eastAsia" w:ascii="仿宋" w:hAnsi="仿宋" w:eastAsia="仿宋" w:cs="仿宋"/>
          <w:sz w:val="24"/>
          <w:lang w:val="zh-CN"/>
        </w:rPr>
        <w:t>确定成交供应商，复函采购代理机构。采购人在收到评</w:t>
      </w:r>
      <w:r>
        <w:rPr>
          <w:rFonts w:hint="eastAsia" w:ascii="仿宋" w:hAnsi="仿宋" w:eastAsia="仿宋" w:cs="仿宋"/>
          <w:sz w:val="24"/>
        </w:rPr>
        <w:t>审</w:t>
      </w:r>
      <w:r>
        <w:rPr>
          <w:rFonts w:hint="eastAsia" w:ascii="仿宋" w:hAnsi="仿宋" w:eastAsia="仿宋" w:cs="仿宋"/>
          <w:sz w:val="24"/>
          <w:lang w:val="zh-CN"/>
        </w:rPr>
        <w:t>报告5个工作日内未按评</w:t>
      </w:r>
      <w:r>
        <w:rPr>
          <w:rFonts w:hint="eastAsia" w:ascii="仿宋" w:hAnsi="仿宋" w:eastAsia="仿宋" w:cs="仿宋"/>
          <w:sz w:val="24"/>
        </w:rPr>
        <w:t>审</w:t>
      </w:r>
      <w:r>
        <w:rPr>
          <w:rFonts w:hint="eastAsia" w:ascii="仿宋" w:hAnsi="仿宋" w:eastAsia="仿宋" w:cs="仿宋"/>
          <w:sz w:val="24"/>
          <w:lang w:val="zh-CN"/>
        </w:rPr>
        <w:t>报告推荐的</w:t>
      </w:r>
      <w:r>
        <w:rPr>
          <w:rFonts w:hint="eastAsia" w:ascii="仿宋" w:hAnsi="仿宋" w:eastAsia="仿宋" w:cs="仿宋"/>
          <w:sz w:val="24"/>
        </w:rPr>
        <w:t>成交</w:t>
      </w:r>
      <w:r>
        <w:rPr>
          <w:rFonts w:hint="eastAsia" w:ascii="仿宋" w:hAnsi="仿宋" w:eastAsia="仿宋" w:cs="仿宋"/>
          <w:sz w:val="24"/>
          <w:lang w:val="zh-CN"/>
        </w:rPr>
        <w:t>候选人顺序确定</w:t>
      </w:r>
      <w:r>
        <w:rPr>
          <w:rFonts w:hint="eastAsia" w:ascii="仿宋" w:hAnsi="仿宋" w:eastAsia="仿宋" w:cs="仿宋"/>
          <w:sz w:val="24"/>
        </w:rPr>
        <w:t>成交供应商</w:t>
      </w:r>
      <w:r>
        <w:rPr>
          <w:rFonts w:hint="eastAsia" w:ascii="仿宋" w:hAnsi="仿宋" w:eastAsia="仿宋" w:cs="仿宋"/>
          <w:sz w:val="24"/>
          <w:lang w:val="zh-CN"/>
        </w:rPr>
        <w:t>，又不能说明合法理由的，视同按评</w:t>
      </w:r>
      <w:r>
        <w:rPr>
          <w:rFonts w:hint="eastAsia" w:ascii="仿宋" w:hAnsi="仿宋" w:eastAsia="仿宋" w:cs="仿宋"/>
          <w:sz w:val="24"/>
        </w:rPr>
        <w:t>审</w:t>
      </w:r>
      <w:r>
        <w:rPr>
          <w:rFonts w:hint="eastAsia" w:ascii="仿宋" w:hAnsi="仿宋" w:eastAsia="仿宋" w:cs="仿宋"/>
          <w:sz w:val="24"/>
          <w:lang w:val="zh-CN"/>
        </w:rPr>
        <w:t>报告推荐的顺序确定排名第一的</w:t>
      </w:r>
      <w:r>
        <w:rPr>
          <w:rFonts w:hint="eastAsia" w:ascii="仿宋" w:hAnsi="仿宋" w:eastAsia="仿宋" w:cs="仿宋"/>
          <w:sz w:val="24"/>
        </w:rPr>
        <w:t>成交</w:t>
      </w:r>
      <w:r>
        <w:rPr>
          <w:rFonts w:hint="eastAsia" w:ascii="仿宋" w:hAnsi="仿宋" w:eastAsia="仿宋" w:cs="仿宋"/>
          <w:sz w:val="24"/>
          <w:lang w:val="zh-CN"/>
        </w:rPr>
        <w:t>候选人为</w:t>
      </w:r>
      <w:r>
        <w:rPr>
          <w:rFonts w:hint="eastAsia" w:ascii="仿宋" w:hAnsi="仿宋" w:eastAsia="仿宋" w:cs="仿宋"/>
          <w:sz w:val="24"/>
        </w:rPr>
        <w:t>成交供应商</w:t>
      </w:r>
      <w:r>
        <w:rPr>
          <w:rFonts w:hint="eastAsia" w:ascii="仿宋" w:hAnsi="仿宋" w:eastAsia="仿宋" w:cs="仿宋"/>
          <w:sz w:val="24"/>
          <w:lang w:val="zh-CN"/>
        </w:rPr>
        <w:t>。</w:t>
      </w:r>
    </w:p>
    <w:p w14:paraId="5073116A">
      <w:pPr>
        <w:snapToGrid w:val="0"/>
        <w:spacing w:line="360" w:lineRule="auto"/>
        <w:ind w:firstLine="480" w:firstLineChars="200"/>
        <w:rPr>
          <w:rFonts w:ascii="仿宋" w:hAnsi="仿宋" w:eastAsia="仿宋" w:cs="仿宋"/>
          <w:sz w:val="24"/>
          <w:lang w:val="zh-CN"/>
        </w:rPr>
      </w:pPr>
      <w:r>
        <w:rPr>
          <w:rFonts w:hint="eastAsia" w:ascii="仿宋" w:hAnsi="仿宋" w:eastAsia="仿宋" w:cs="仿宋"/>
          <w:sz w:val="24"/>
        </w:rPr>
        <w:t>6.3</w:t>
      </w:r>
      <w:r>
        <w:rPr>
          <w:rFonts w:hint="eastAsia" w:ascii="仿宋" w:hAnsi="仿宋" w:eastAsia="仿宋" w:cs="仿宋"/>
          <w:sz w:val="24"/>
          <w:lang w:val="zh-CN"/>
        </w:rPr>
        <w:t>采购代理机构应当自</w:t>
      </w:r>
      <w:r>
        <w:rPr>
          <w:rFonts w:hint="eastAsia" w:ascii="仿宋" w:hAnsi="仿宋" w:eastAsia="仿宋" w:cs="仿宋"/>
          <w:sz w:val="24"/>
        </w:rPr>
        <w:t>成交供应商</w:t>
      </w:r>
      <w:r>
        <w:rPr>
          <w:rFonts w:hint="eastAsia" w:ascii="仿宋" w:hAnsi="仿宋" w:eastAsia="仿宋" w:cs="仿宋"/>
          <w:sz w:val="24"/>
          <w:lang w:val="zh-CN"/>
        </w:rPr>
        <w:t>确定之日起2个工作日内，在省级以上财政部门指定的媒体上公告成交结果，公告期限为1个工作日，并向成交供应商发“成交通知书”。</w:t>
      </w:r>
    </w:p>
    <w:p w14:paraId="0B0A3C6F">
      <w:pPr>
        <w:snapToGrid w:val="0"/>
        <w:spacing w:line="360" w:lineRule="auto"/>
        <w:jc w:val="center"/>
        <w:rPr>
          <w:rFonts w:ascii="仿宋" w:hAnsi="仿宋" w:eastAsia="仿宋" w:cs="仿宋"/>
          <w:sz w:val="30"/>
          <w:szCs w:val="30"/>
        </w:rPr>
      </w:pPr>
      <w:r>
        <w:rPr>
          <w:rFonts w:hint="eastAsia" w:ascii="仿宋" w:hAnsi="仿宋" w:eastAsia="仿宋" w:cs="仿宋"/>
          <w:b/>
          <w:sz w:val="30"/>
          <w:szCs w:val="30"/>
        </w:rPr>
        <w:t>七、签订合同</w:t>
      </w:r>
    </w:p>
    <w:p w14:paraId="7E29185B">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1、采购文件、成交供应商的响应文件及补充文件等均为签订政府采购合同的依据。 </w:t>
      </w:r>
    </w:p>
    <w:p w14:paraId="37BABB76">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2、成交供应商应当在成交通知书发出之日起30日内与采购人签订政府采购合同。 </w:t>
      </w:r>
    </w:p>
    <w:p w14:paraId="0857EF46">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3、采购人不得向成交供应商提出超出采购文件以外的任何要求作为签订合同的条件，不得与成交供应商订立背离采购文件确定的合同文本以及背离采购标的、规格型号、采购金额、采购数量、技术和服务要求等实质性内容的协议。 </w:t>
      </w:r>
    </w:p>
    <w:p w14:paraId="4FB51617">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4、自政府采购合同签订之日起 2 个工作日内，本项目政府采购合同在协商须知前附表规定的媒体上公告，但政府采购合同中涉及国家秘密、商业秘密的内容除外。 </w:t>
      </w:r>
    </w:p>
    <w:p w14:paraId="715ACB36">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5、政府采购合同履行中，采购人需追加与合同标的相同的货物、工程或者服务的，在不改变合同其他条款的前提下，可以与成交供应商协商签订补充合同，但所有补充合同的采购金额不得超过原合同采购金额的百分之十； </w:t>
      </w:r>
    </w:p>
    <w:p w14:paraId="419C166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6、成交供应商因不可抗力或者自身原因不能履行政府采购合同的，采购人可以与排位在成交供应商之后第一位的成交候选人签订政府采购合同，以此类推，也可以重新开展采购活动。因自身原因拒绝签订政府采购合同的成交供应商不得参加对该项目重新开展的采购活动。</w:t>
      </w:r>
    </w:p>
    <w:p w14:paraId="055EDC3F">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7、成交后，成交供应商应按照合同约定履行义务，完成采购项目的服务，经采购人同意，成交供应商可以依法采取分包方式履行合同。分包部分为成交项目的部分非主体、非关键性工作。接受分包的供应商应当具备相应的资格条件，并不得再次分包。分包履行的，成交供应商就采购项目和分包项目向采购人负责，分包供应商就分包项目承担责任。</w:t>
      </w:r>
    </w:p>
    <w:p w14:paraId="7078C0B1">
      <w:pPr>
        <w:snapToGrid w:val="0"/>
        <w:spacing w:line="360" w:lineRule="auto"/>
        <w:jc w:val="center"/>
        <w:rPr>
          <w:rFonts w:ascii="仿宋" w:hAnsi="仿宋" w:eastAsia="仿宋" w:cs="仿宋"/>
          <w:b/>
          <w:sz w:val="30"/>
          <w:szCs w:val="30"/>
        </w:rPr>
      </w:pPr>
      <w:r>
        <w:rPr>
          <w:rFonts w:hint="eastAsia" w:ascii="仿宋" w:hAnsi="仿宋" w:eastAsia="仿宋" w:cs="仿宋"/>
          <w:b/>
          <w:sz w:val="30"/>
          <w:szCs w:val="30"/>
        </w:rPr>
        <w:t>八、成交服务费</w:t>
      </w:r>
    </w:p>
    <w:p w14:paraId="1A8CB72D">
      <w:pPr>
        <w:snapToGrid w:val="0"/>
        <w:spacing w:line="360" w:lineRule="auto"/>
        <w:rPr>
          <w:rFonts w:ascii="仿宋" w:hAnsi="仿宋" w:eastAsia="仿宋" w:cs="仿宋"/>
          <w:sz w:val="24"/>
        </w:rPr>
      </w:pPr>
      <w:r>
        <w:rPr>
          <w:rFonts w:hint="eastAsia" w:ascii="仿宋" w:hAnsi="仿宋" w:eastAsia="仿宋" w:cs="仿宋"/>
          <w:sz w:val="24"/>
        </w:rPr>
        <w:t>1、招标代理服务费按“协商供应商须知前附表”规定金额收取。</w:t>
      </w:r>
    </w:p>
    <w:p w14:paraId="4D6ACC26">
      <w:pPr>
        <w:snapToGrid w:val="0"/>
        <w:spacing w:line="360" w:lineRule="auto"/>
        <w:rPr>
          <w:rFonts w:ascii="仿宋" w:hAnsi="仿宋" w:eastAsia="仿宋" w:cs="仿宋"/>
          <w:sz w:val="24"/>
        </w:rPr>
      </w:pPr>
      <w:r>
        <w:rPr>
          <w:rFonts w:hint="eastAsia" w:ascii="仿宋" w:hAnsi="仿宋" w:eastAsia="仿宋" w:cs="仿宋"/>
          <w:sz w:val="24"/>
        </w:rPr>
        <w:t>2、招标代理服务费交纳信息</w:t>
      </w:r>
    </w:p>
    <w:p w14:paraId="71B8EB47">
      <w:pPr>
        <w:snapToGrid w:val="0"/>
        <w:spacing w:line="360" w:lineRule="auto"/>
        <w:rPr>
          <w:rFonts w:ascii="仿宋" w:hAnsi="仿宋" w:eastAsia="仿宋" w:cs="仿宋"/>
          <w:sz w:val="24"/>
        </w:rPr>
      </w:pPr>
      <w:r>
        <w:rPr>
          <w:rFonts w:hint="eastAsia" w:ascii="仿宋" w:hAnsi="仿宋" w:eastAsia="仿宋" w:cs="仿宋"/>
          <w:sz w:val="24"/>
        </w:rPr>
        <w:t>银行户名：陕西德仁招标有限公司</w:t>
      </w:r>
    </w:p>
    <w:p w14:paraId="76A64D77">
      <w:pPr>
        <w:snapToGrid w:val="0"/>
        <w:spacing w:line="360" w:lineRule="auto"/>
        <w:rPr>
          <w:rFonts w:ascii="仿宋" w:hAnsi="仿宋" w:eastAsia="仿宋" w:cs="仿宋"/>
          <w:sz w:val="24"/>
        </w:rPr>
      </w:pPr>
      <w:r>
        <w:rPr>
          <w:rFonts w:hint="eastAsia" w:ascii="仿宋" w:hAnsi="仿宋" w:eastAsia="仿宋" w:cs="仿宋"/>
          <w:sz w:val="24"/>
        </w:rPr>
        <w:t>开户银行：招商银行股份有限公司西安城南支行</w:t>
      </w:r>
    </w:p>
    <w:p w14:paraId="3F0D3A55">
      <w:pPr>
        <w:snapToGrid w:val="0"/>
        <w:spacing w:line="360" w:lineRule="auto"/>
        <w:rPr>
          <w:rFonts w:ascii="仿宋" w:hAnsi="仿宋" w:eastAsia="仿宋" w:cs="仿宋"/>
          <w:sz w:val="24"/>
        </w:rPr>
      </w:pPr>
      <w:r>
        <w:rPr>
          <w:rFonts w:hint="eastAsia" w:ascii="仿宋" w:hAnsi="仿宋" w:eastAsia="仿宋" w:cs="仿宋"/>
          <w:sz w:val="24"/>
        </w:rPr>
        <w:t>账    号：1299 0904 6810 901</w:t>
      </w:r>
    </w:p>
    <w:p w14:paraId="7815A6EB">
      <w:pPr>
        <w:snapToGrid w:val="0"/>
        <w:spacing w:line="360" w:lineRule="auto"/>
        <w:rPr>
          <w:rFonts w:ascii="仿宋" w:hAnsi="仿宋" w:eastAsia="仿宋" w:cs="仿宋"/>
          <w:sz w:val="24"/>
        </w:rPr>
      </w:pPr>
      <w:r>
        <w:rPr>
          <w:rFonts w:hint="eastAsia" w:ascii="仿宋" w:hAnsi="仿宋" w:eastAsia="仿宋" w:cs="仿宋"/>
          <w:sz w:val="24"/>
        </w:rPr>
        <w:t xml:space="preserve">联系人：苏会计  </w:t>
      </w:r>
    </w:p>
    <w:p w14:paraId="32073467">
      <w:pPr>
        <w:snapToGrid w:val="0"/>
        <w:spacing w:line="360" w:lineRule="auto"/>
        <w:rPr>
          <w:rFonts w:ascii="仿宋" w:hAnsi="仿宋" w:eastAsia="仿宋" w:cs="仿宋"/>
          <w:sz w:val="24"/>
        </w:rPr>
      </w:pPr>
      <w:r>
        <w:rPr>
          <w:rFonts w:hint="eastAsia" w:ascii="仿宋" w:hAnsi="仿宋" w:eastAsia="仿宋" w:cs="仿宋"/>
          <w:sz w:val="24"/>
        </w:rPr>
        <w:t xml:space="preserve">联系电话：029-89185132 </w:t>
      </w:r>
    </w:p>
    <w:p w14:paraId="7743D131">
      <w:pPr>
        <w:snapToGrid w:val="0"/>
        <w:spacing w:line="360" w:lineRule="auto"/>
        <w:rPr>
          <w:rFonts w:ascii="仿宋" w:hAnsi="仿宋" w:eastAsia="仿宋" w:cs="仿宋"/>
          <w:sz w:val="24"/>
        </w:rPr>
      </w:pPr>
      <w:r>
        <w:rPr>
          <w:rFonts w:hint="eastAsia" w:ascii="仿宋" w:hAnsi="仿宋" w:eastAsia="仿宋" w:cs="仿宋"/>
          <w:sz w:val="24"/>
        </w:rPr>
        <w:t>邮箱：sxdrzb@qq.com</w:t>
      </w:r>
    </w:p>
    <w:p w14:paraId="46B29328">
      <w:pPr>
        <w:pStyle w:val="13"/>
        <w:adjustRightInd w:val="0"/>
        <w:snapToGrid w:val="0"/>
        <w:spacing w:line="360" w:lineRule="auto"/>
        <w:rPr>
          <w:rFonts w:ascii="仿宋" w:hAnsi="仿宋" w:eastAsia="仿宋" w:cs="仿宋"/>
          <w:sz w:val="24"/>
          <w:szCs w:val="24"/>
        </w:rPr>
      </w:pPr>
    </w:p>
    <w:p w14:paraId="5CB88338">
      <w:pPr>
        <w:snapToGrid w:val="0"/>
        <w:spacing w:line="360" w:lineRule="auto"/>
        <w:jc w:val="center"/>
        <w:rPr>
          <w:rFonts w:ascii="仿宋" w:hAnsi="仿宋" w:eastAsia="仿宋" w:cs="仿宋"/>
          <w:b/>
          <w:sz w:val="30"/>
          <w:szCs w:val="30"/>
        </w:rPr>
      </w:pPr>
      <w:r>
        <w:rPr>
          <w:rFonts w:hint="eastAsia" w:ascii="仿宋" w:hAnsi="仿宋" w:eastAsia="仿宋" w:cs="仿宋"/>
          <w:b/>
          <w:sz w:val="30"/>
          <w:szCs w:val="30"/>
        </w:rPr>
        <w:t>九、其它事项</w:t>
      </w:r>
    </w:p>
    <w:p w14:paraId="2DB6AFC6">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1、当最终报价超出财政预算，且采购人又无力支付，协商小组有权决定协商失败。</w:t>
      </w:r>
    </w:p>
    <w:p w14:paraId="7E348924">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成交人确定后，成交人无正当理由拖延或拒签合同的，或未能按照规定的时间提供履约担保，采购单位有权取消其成交资格，同时报请监督机构予以通报，禁止其进入政府采购市场，并没收其协商保证金。给采购单位造成损失超过协商保证金额的，还应当对超过部分予以赔偿，并依法承担相应法律责任。</w:t>
      </w:r>
    </w:p>
    <w:p w14:paraId="090F8E13">
      <w:pPr>
        <w:pStyle w:val="3"/>
        <w:rPr>
          <w:rFonts w:ascii="仿宋" w:hAnsi="仿宋" w:eastAsia="仿宋" w:cs="仿宋"/>
          <w:lang w:eastAsia="zh-CN"/>
        </w:rPr>
        <w:sectPr>
          <w:headerReference r:id="rId12" w:type="default"/>
          <w:footerReference r:id="rId13" w:type="default"/>
          <w:pgSz w:w="11906" w:h="16838"/>
          <w:pgMar w:top="1440" w:right="1417" w:bottom="1440" w:left="1587" w:header="850" w:footer="992" w:gutter="0"/>
          <w:cols w:space="720" w:num="1"/>
          <w:docGrid w:type="lines" w:linePitch="317" w:charSpace="0"/>
        </w:sectPr>
      </w:pPr>
    </w:p>
    <w:p w14:paraId="35186867">
      <w:pPr>
        <w:pStyle w:val="2"/>
        <w:keepNext w:val="0"/>
        <w:spacing w:before="158" w:after="158" w:line="360" w:lineRule="auto"/>
        <w:ind w:firstLine="3052" w:firstLineChars="950"/>
        <w:jc w:val="both"/>
        <w:rPr>
          <w:rFonts w:ascii="仿宋" w:hAnsi="仿宋" w:eastAsia="仿宋" w:cs="仿宋"/>
          <w:sz w:val="32"/>
          <w:szCs w:val="32"/>
        </w:rPr>
      </w:pPr>
      <w:bookmarkStart w:id="6" w:name="_Toc17442"/>
      <w:r>
        <w:rPr>
          <w:rFonts w:hint="eastAsia" w:ascii="仿宋" w:hAnsi="仿宋" w:eastAsia="仿宋" w:cs="仿宋"/>
          <w:sz w:val="32"/>
          <w:szCs w:val="32"/>
        </w:rPr>
        <w:t>第三章  协商要求</w:t>
      </w:r>
      <w:bookmarkEnd w:id="6"/>
    </w:p>
    <w:p w14:paraId="7911A184">
      <w:pPr>
        <w:spacing w:line="360" w:lineRule="auto"/>
        <w:outlineLvl w:val="1"/>
        <w:rPr>
          <w:rFonts w:ascii="仿宋" w:hAnsi="仿宋" w:eastAsia="仿宋" w:cs="仿宋"/>
          <w:b/>
          <w:bCs/>
          <w:sz w:val="24"/>
        </w:rPr>
      </w:pPr>
      <w:r>
        <w:rPr>
          <w:rFonts w:hint="eastAsia" w:ascii="仿宋" w:hAnsi="仿宋" w:eastAsia="仿宋" w:cs="仿宋"/>
          <w:b/>
          <w:bCs/>
          <w:sz w:val="24"/>
        </w:rPr>
        <w:t>合同包1-采购需求（特定(单)病种质量监测系统售后服务）</w:t>
      </w:r>
    </w:p>
    <w:p w14:paraId="1795B7FD">
      <w:pPr>
        <w:snapToGrid w:val="0"/>
        <w:spacing w:line="360" w:lineRule="auto"/>
        <w:jc w:val="left"/>
        <w:rPr>
          <w:rFonts w:ascii="仿宋" w:hAnsi="仿宋" w:eastAsia="仿宋" w:cs="仿宋"/>
          <w:sz w:val="24"/>
        </w:rPr>
      </w:pPr>
      <w:bookmarkStart w:id="7" w:name="heading_25"/>
      <w:r>
        <w:rPr>
          <w:rFonts w:hint="eastAsia" w:ascii="仿宋" w:hAnsi="仿宋" w:eastAsia="仿宋" w:cs="仿宋"/>
          <w:b/>
          <w:sz w:val="24"/>
        </w:rPr>
        <w:t>一、项目概述</w:t>
      </w:r>
      <w:bookmarkEnd w:id="7"/>
    </w:p>
    <w:p w14:paraId="21F92FD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采购人自2022年5月13日开始使用特定（单）病种质量监测系统，至今已上线自动抽取15个特定病种的医疗信息，为保障采购人信息系统正常运行，维护正常的医疗秩序，确保采购人15个特定病种填报数据真实有效上报国家平台，保障信息系统数据共享，降低网络安全风险，现委托具备对应系统原厂维护授权、专业信息系统运维服务能力的供应商，为采购人提供上述系统的全流程售后运维与技术支持服务，进一步加强医院信息系统维护管理与技术支持，完善医院信息系统运维管理体系，提升系统安全保障与服务支撑能力。</w:t>
      </w:r>
    </w:p>
    <w:p w14:paraId="4D7D26F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本项目服务商须为系统原软件厂商，或取得原厂商针对本项目出具的唯一专项授权文件，具备系统源代码级维护、原厂补丁更新、合规性升级的完整技术能力，确保服务的合法性、连续性与技术匹配性。</w:t>
      </w:r>
    </w:p>
    <w:p w14:paraId="1D962537">
      <w:pPr>
        <w:snapToGrid w:val="0"/>
        <w:spacing w:line="360" w:lineRule="auto"/>
        <w:jc w:val="left"/>
        <w:rPr>
          <w:rFonts w:ascii="仿宋" w:hAnsi="仿宋" w:eastAsia="仿宋" w:cs="仿宋"/>
          <w:sz w:val="24"/>
        </w:rPr>
      </w:pPr>
      <w:bookmarkStart w:id="8" w:name="heading_26"/>
      <w:r>
        <w:rPr>
          <w:rFonts w:hint="eastAsia" w:ascii="仿宋" w:hAnsi="仿宋" w:eastAsia="仿宋" w:cs="仿宋"/>
          <w:b/>
          <w:sz w:val="24"/>
        </w:rPr>
        <w:t>二、技术要求</w:t>
      </w:r>
      <w:bookmarkEnd w:id="8"/>
    </w:p>
    <w:p w14:paraId="3D734A6D">
      <w:pPr>
        <w:snapToGrid w:val="0"/>
        <w:spacing w:line="360" w:lineRule="auto"/>
        <w:jc w:val="left"/>
        <w:rPr>
          <w:rFonts w:ascii="仿宋" w:hAnsi="仿宋" w:eastAsia="仿宋" w:cs="仿宋"/>
          <w:sz w:val="24"/>
        </w:rPr>
      </w:pPr>
      <w:bookmarkStart w:id="9" w:name="heading_27"/>
      <w:r>
        <w:rPr>
          <w:rFonts w:hint="eastAsia" w:ascii="仿宋" w:hAnsi="仿宋" w:eastAsia="仿宋" w:cs="仿宋"/>
          <w:b/>
          <w:sz w:val="24"/>
        </w:rPr>
        <w:t>1. 名词解释</w:t>
      </w:r>
      <w:bookmarkEnd w:id="9"/>
    </w:p>
    <w:p w14:paraId="72FB4F1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本文件所涉及名词定义严格遵循国家信息技术服务标准（ITSS）、医疗信息化行业规范及相关法律法规，具体如下：</w:t>
      </w:r>
    </w:p>
    <w:p w14:paraId="6EE9D5BF">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 维护：指服务供应商为采购人提供许可软件的全生命周期技术支撑，包括但不限于故障排查与修复、技术指导、运行优化、合规适配、安全加固等服务工作的总称。</w:t>
      </w:r>
    </w:p>
    <w:p w14:paraId="037895F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1.2 现场：指采购人许可系统部署、使用的全部场所，含医院本部院区、各分院区、社区服务点等所有系统终端部署点位。</w:t>
      </w:r>
    </w:p>
    <w:p w14:paraId="699A927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1.3 现场维护：指服务供应商针对采购人提出的技术服务请求，派遣具备对应资质的技术人员到采购人指定现场，完成问题处置、技术服务的全过程。</w:t>
      </w:r>
    </w:p>
    <w:p w14:paraId="671459C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1.4 远程维护：指服务供应商针对采购人提出的技术服务请求，通过加密专线、安全远程接入方式，向采购人提供问题解答、技术指导、远程故障排查与修复的服务过程，远程操作须全程留痕、符合医院网络安全管理规定。</w:t>
      </w:r>
    </w:p>
    <w:p w14:paraId="7FD3D7F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1.5 软件更新：指为保障系统合规性、安全性、功能性，对许可软件进行的安全补丁更新、故障优化、版本迭代、政策适配性升级、功能完善的全过程，不限于仅故障场景。</w:t>
      </w:r>
    </w:p>
    <w:p w14:paraId="4FFD786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1.6 技术支持：指服务供应商为保障许可软件和系统持续稳定运行，在服务期内通过电话、互联网、现场服务等方式，向采购人提供的7×24小时技术援助、操作指导与问题处置服务。</w:t>
      </w:r>
    </w:p>
    <w:p w14:paraId="704FC96E">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1.7 热线支持：指服务供应商客户服务中心通过专属服务热线，7×24小时向采购人提供技术问题解答、服务请求受理、故障派单的服务过程。</w:t>
      </w:r>
    </w:p>
    <w:p w14:paraId="651B09F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1.8 在线技术支持：指服务供应商客户服务中心通过安全在线支持系统，接收、解答采购人问题，发布相关技术解决方案、操作指引的服务过程。</w:t>
      </w:r>
    </w:p>
    <w:p w14:paraId="0825D8A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1.9 响应时间：指服务供应商接到采购人正式服务请求后，到与采购人完成沟通、明确故障情况、出具服务承诺与初步处置方案的时间。</w:t>
      </w:r>
    </w:p>
    <w:p w14:paraId="5B35606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1.10 解决时间：指服务供应商从接到服务请求起，到系统故障完全修复、业务恢复正常运行、问题闭环处置的时间。</w:t>
      </w:r>
    </w:p>
    <w:p w14:paraId="2F24958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1.11 数据安全事件：指系统运行过程中发生的，可能或已经导致医疗数据、患者个人信息、单病种上报数据泄露、损毁、篡改、丢失，以及系统被非法入侵、攻击等影响数据安全的事件。</w:t>
      </w:r>
    </w:p>
    <w:p w14:paraId="4E484AB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1.12 等保合规：指系统运行与运维服务须符合国家网络安全等级保护2.0标准对应级别的全部要求。</w:t>
      </w:r>
    </w:p>
    <w:p w14:paraId="4B33DD34">
      <w:pPr>
        <w:snapToGrid w:val="0"/>
        <w:spacing w:line="360" w:lineRule="auto"/>
        <w:jc w:val="left"/>
        <w:rPr>
          <w:rFonts w:ascii="仿宋" w:hAnsi="仿宋" w:eastAsia="仿宋" w:cs="仿宋"/>
          <w:sz w:val="24"/>
        </w:rPr>
      </w:pPr>
      <w:bookmarkStart w:id="10" w:name="heading_28"/>
      <w:r>
        <w:rPr>
          <w:rFonts w:hint="eastAsia" w:ascii="仿宋" w:hAnsi="仿宋" w:eastAsia="仿宋" w:cs="仿宋"/>
          <w:b/>
          <w:sz w:val="24"/>
        </w:rPr>
        <w:t>2. 运维服务系统范围</w:t>
      </w:r>
      <w:bookmarkEnd w:id="10"/>
    </w:p>
    <w:p w14:paraId="4DFBB08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采购人委托供应商提供售后运维服务的信息系统，包含但不限于下表所列全部模块、子系统及配套硬件设备，同时覆盖系统与院内HIS、LIS、PACS、EMR、电子病历系统等现有及未来新增信息系统的接口运维服务，确保系统互联互通与单病种数据上报全流程合规。</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4571"/>
        <w:gridCol w:w="4571"/>
      </w:tblGrid>
      <w:tr w14:paraId="2EB07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13" w:hRule="atLeast"/>
        </w:trPr>
        <w:tc>
          <w:tcPr>
            <w:tcW w:w="2500" w:type="pct"/>
            <w:tcMar>
              <w:top w:w="60" w:type="dxa"/>
              <w:left w:w="120" w:type="dxa"/>
              <w:bottom w:w="30" w:type="dxa"/>
              <w:right w:w="120" w:type="dxa"/>
            </w:tcMar>
            <w:vAlign w:val="center"/>
          </w:tcPr>
          <w:p w14:paraId="152DEFAE">
            <w:pPr>
              <w:snapToGrid w:val="0"/>
              <w:spacing w:line="360" w:lineRule="auto"/>
              <w:jc w:val="center"/>
              <w:rPr>
                <w:rFonts w:ascii="仿宋" w:hAnsi="仿宋" w:eastAsia="仿宋" w:cs="仿宋"/>
                <w:b/>
                <w:sz w:val="24"/>
              </w:rPr>
            </w:pPr>
            <w:r>
              <w:rPr>
                <w:rFonts w:hint="eastAsia" w:ascii="仿宋" w:hAnsi="仿宋" w:eastAsia="仿宋" w:cs="仿宋"/>
                <w:b/>
                <w:sz w:val="24"/>
              </w:rPr>
              <w:t>系统模块名称</w:t>
            </w:r>
          </w:p>
        </w:tc>
        <w:tc>
          <w:tcPr>
            <w:tcW w:w="2500" w:type="pct"/>
            <w:tcMar>
              <w:top w:w="60" w:type="dxa"/>
              <w:left w:w="120" w:type="dxa"/>
              <w:bottom w:w="30" w:type="dxa"/>
              <w:right w:w="120" w:type="dxa"/>
            </w:tcMar>
            <w:vAlign w:val="center"/>
          </w:tcPr>
          <w:p w14:paraId="45956480">
            <w:pPr>
              <w:snapToGrid w:val="0"/>
              <w:spacing w:line="360" w:lineRule="auto"/>
              <w:jc w:val="center"/>
              <w:rPr>
                <w:rFonts w:ascii="仿宋" w:hAnsi="仿宋" w:eastAsia="仿宋" w:cs="仿宋"/>
                <w:b/>
                <w:sz w:val="24"/>
              </w:rPr>
            </w:pPr>
            <w:r>
              <w:rPr>
                <w:rFonts w:hint="eastAsia" w:ascii="仿宋" w:hAnsi="仿宋" w:eastAsia="仿宋" w:cs="仿宋"/>
                <w:b/>
                <w:sz w:val="24"/>
              </w:rPr>
              <w:t>子系统功能名称</w:t>
            </w:r>
          </w:p>
        </w:tc>
      </w:tr>
      <w:tr w14:paraId="1C224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restart"/>
            <w:tcMar>
              <w:top w:w="60" w:type="dxa"/>
              <w:left w:w="120" w:type="dxa"/>
              <w:bottom w:w="30" w:type="dxa"/>
              <w:right w:w="120" w:type="dxa"/>
            </w:tcMar>
            <w:vAlign w:val="center"/>
          </w:tcPr>
          <w:p w14:paraId="79B1D1A6">
            <w:pPr>
              <w:snapToGrid w:val="0"/>
              <w:spacing w:line="360" w:lineRule="auto"/>
              <w:jc w:val="center"/>
              <w:rPr>
                <w:rFonts w:ascii="仿宋" w:hAnsi="仿宋" w:eastAsia="仿宋" w:cs="仿宋"/>
                <w:sz w:val="24"/>
              </w:rPr>
            </w:pPr>
            <w:r>
              <w:rPr>
                <w:rFonts w:hint="eastAsia" w:ascii="仿宋" w:hAnsi="仿宋" w:eastAsia="仿宋" w:cs="仿宋"/>
                <w:sz w:val="24"/>
              </w:rPr>
              <w:t>数据填报</w:t>
            </w:r>
          </w:p>
        </w:tc>
        <w:tc>
          <w:tcPr>
            <w:tcW w:w="2500" w:type="pct"/>
            <w:tcMar>
              <w:top w:w="60" w:type="dxa"/>
              <w:left w:w="120" w:type="dxa"/>
              <w:bottom w:w="30" w:type="dxa"/>
              <w:right w:w="120" w:type="dxa"/>
            </w:tcMar>
          </w:tcPr>
          <w:p w14:paraId="1D96E545">
            <w:pPr>
              <w:snapToGrid w:val="0"/>
              <w:spacing w:line="360" w:lineRule="auto"/>
              <w:jc w:val="left"/>
              <w:rPr>
                <w:rFonts w:ascii="仿宋" w:hAnsi="仿宋" w:eastAsia="仿宋" w:cs="仿宋"/>
                <w:sz w:val="24"/>
              </w:rPr>
            </w:pPr>
            <w:r>
              <w:rPr>
                <w:rFonts w:hint="eastAsia" w:ascii="仿宋" w:hAnsi="仿宋" w:eastAsia="仿宋" w:cs="仿宋"/>
                <w:sz w:val="24"/>
              </w:rPr>
              <w:t>病种填报</w:t>
            </w:r>
          </w:p>
        </w:tc>
      </w:tr>
      <w:tr w14:paraId="3F116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2C2A89A3">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35D9C274">
            <w:pPr>
              <w:snapToGrid w:val="0"/>
              <w:spacing w:line="360" w:lineRule="auto"/>
              <w:jc w:val="left"/>
              <w:rPr>
                <w:rFonts w:ascii="仿宋" w:hAnsi="仿宋" w:eastAsia="仿宋" w:cs="仿宋"/>
                <w:sz w:val="24"/>
              </w:rPr>
            </w:pPr>
            <w:r>
              <w:rPr>
                <w:rFonts w:hint="eastAsia" w:ascii="仿宋" w:hAnsi="仿宋" w:eastAsia="仿宋" w:cs="仿宋"/>
                <w:sz w:val="24"/>
              </w:rPr>
              <w:t>人工补录</w:t>
            </w:r>
          </w:p>
        </w:tc>
      </w:tr>
      <w:tr w14:paraId="4AA92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73EBBD04">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1950A2CA">
            <w:pPr>
              <w:snapToGrid w:val="0"/>
              <w:spacing w:line="360" w:lineRule="auto"/>
              <w:jc w:val="left"/>
              <w:rPr>
                <w:rFonts w:ascii="仿宋" w:hAnsi="仿宋" w:eastAsia="仿宋" w:cs="仿宋"/>
                <w:sz w:val="24"/>
              </w:rPr>
            </w:pPr>
            <w:r>
              <w:rPr>
                <w:rFonts w:hint="eastAsia" w:ascii="仿宋" w:hAnsi="仿宋" w:eastAsia="仿宋" w:cs="仿宋"/>
                <w:sz w:val="24"/>
              </w:rPr>
              <w:t>填报内容校验</w:t>
            </w:r>
          </w:p>
        </w:tc>
      </w:tr>
      <w:tr w14:paraId="086C7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1A8FFFB6">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22A76685">
            <w:pPr>
              <w:snapToGrid w:val="0"/>
              <w:spacing w:line="360" w:lineRule="auto"/>
              <w:jc w:val="left"/>
              <w:rPr>
                <w:rFonts w:ascii="仿宋" w:hAnsi="仿宋" w:eastAsia="仿宋" w:cs="仿宋"/>
                <w:sz w:val="24"/>
              </w:rPr>
            </w:pPr>
            <w:r>
              <w:rPr>
                <w:rFonts w:hint="eastAsia" w:ascii="仿宋" w:hAnsi="仿宋" w:eastAsia="仿宋" w:cs="仿宋"/>
                <w:sz w:val="24"/>
              </w:rPr>
              <w:t>原始病例溯源</w:t>
            </w:r>
          </w:p>
        </w:tc>
      </w:tr>
      <w:tr w14:paraId="0D020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12216F34">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005ECAF3">
            <w:pPr>
              <w:snapToGrid w:val="0"/>
              <w:spacing w:line="360" w:lineRule="auto"/>
              <w:jc w:val="left"/>
              <w:rPr>
                <w:rFonts w:ascii="仿宋" w:hAnsi="仿宋" w:eastAsia="仿宋" w:cs="仿宋"/>
                <w:sz w:val="24"/>
              </w:rPr>
            </w:pPr>
            <w:r>
              <w:rPr>
                <w:rFonts w:hint="eastAsia" w:ascii="仿宋" w:hAnsi="仿宋" w:eastAsia="仿宋" w:cs="仿宋"/>
                <w:sz w:val="24"/>
              </w:rPr>
              <w:t>数据查阅</w:t>
            </w:r>
          </w:p>
        </w:tc>
      </w:tr>
      <w:tr w14:paraId="7A65F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22E26291">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632E8123">
            <w:pPr>
              <w:snapToGrid w:val="0"/>
              <w:spacing w:line="360" w:lineRule="auto"/>
              <w:jc w:val="left"/>
              <w:rPr>
                <w:rFonts w:ascii="仿宋" w:hAnsi="仿宋" w:eastAsia="仿宋" w:cs="仿宋"/>
                <w:sz w:val="24"/>
              </w:rPr>
            </w:pPr>
            <w:r>
              <w:rPr>
                <w:rFonts w:hint="eastAsia" w:ascii="仿宋" w:hAnsi="仿宋" w:eastAsia="仿宋" w:cs="仿宋"/>
                <w:sz w:val="24"/>
              </w:rPr>
              <w:t>重复上报提醒</w:t>
            </w:r>
          </w:p>
        </w:tc>
      </w:tr>
      <w:tr w14:paraId="533FE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restart"/>
            <w:tcMar>
              <w:top w:w="60" w:type="dxa"/>
              <w:left w:w="120" w:type="dxa"/>
              <w:bottom w:w="30" w:type="dxa"/>
              <w:right w:w="120" w:type="dxa"/>
            </w:tcMar>
            <w:vAlign w:val="center"/>
          </w:tcPr>
          <w:p w14:paraId="05FFFE96">
            <w:pPr>
              <w:snapToGrid w:val="0"/>
              <w:spacing w:line="360" w:lineRule="auto"/>
              <w:jc w:val="center"/>
              <w:rPr>
                <w:rFonts w:ascii="仿宋" w:hAnsi="仿宋" w:eastAsia="仿宋" w:cs="仿宋"/>
                <w:sz w:val="24"/>
              </w:rPr>
            </w:pPr>
            <w:r>
              <w:rPr>
                <w:rFonts w:hint="eastAsia" w:ascii="仿宋" w:hAnsi="仿宋" w:eastAsia="仿宋" w:cs="仿宋"/>
                <w:sz w:val="24"/>
              </w:rPr>
              <w:t>数据管理</w:t>
            </w:r>
          </w:p>
        </w:tc>
        <w:tc>
          <w:tcPr>
            <w:tcW w:w="2500" w:type="pct"/>
            <w:tcMar>
              <w:top w:w="60" w:type="dxa"/>
              <w:left w:w="120" w:type="dxa"/>
              <w:bottom w:w="30" w:type="dxa"/>
              <w:right w:w="120" w:type="dxa"/>
            </w:tcMar>
          </w:tcPr>
          <w:p w14:paraId="5D4077FF">
            <w:pPr>
              <w:snapToGrid w:val="0"/>
              <w:spacing w:line="360" w:lineRule="auto"/>
              <w:jc w:val="left"/>
              <w:rPr>
                <w:rFonts w:ascii="仿宋" w:hAnsi="仿宋" w:eastAsia="仿宋" w:cs="仿宋"/>
                <w:sz w:val="24"/>
              </w:rPr>
            </w:pPr>
            <w:r>
              <w:rPr>
                <w:rFonts w:hint="eastAsia" w:ascii="仿宋" w:hAnsi="仿宋" w:eastAsia="仿宋" w:cs="仿宋"/>
                <w:sz w:val="24"/>
              </w:rPr>
              <w:t>数据检索</w:t>
            </w:r>
          </w:p>
        </w:tc>
      </w:tr>
      <w:tr w14:paraId="363E2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2DD58C92">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3693D023">
            <w:pPr>
              <w:snapToGrid w:val="0"/>
              <w:spacing w:line="360" w:lineRule="auto"/>
              <w:jc w:val="left"/>
              <w:rPr>
                <w:rFonts w:ascii="仿宋" w:hAnsi="仿宋" w:eastAsia="仿宋" w:cs="仿宋"/>
                <w:sz w:val="24"/>
              </w:rPr>
            </w:pPr>
            <w:r>
              <w:rPr>
                <w:rFonts w:hint="eastAsia" w:ascii="仿宋" w:hAnsi="仿宋" w:eastAsia="仿宋" w:cs="仿宋"/>
                <w:sz w:val="24"/>
              </w:rPr>
              <w:t>数据审核</w:t>
            </w:r>
          </w:p>
        </w:tc>
      </w:tr>
      <w:tr w14:paraId="4F4CE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387CE39A">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6A32164F">
            <w:pPr>
              <w:snapToGrid w:val="0"/>
              <w:spacing w:line="360" w:lineRule="auto"/>
              <w:jc w:val="left"/>
              <w:rPr>
                <w:rFonts w:ascii="仿宋" w:hAnsi="仿宋" w:eastAsia="仿宋" w:cs="仿宋"/>
                <w:sz w:val="24"/>
              </w:rPr>
            </w:pPr>
            <w:r>
              <w:rPr>
                <w:rFonts w:hint="eastAsia" w:ascii="仿宋" w:hAnsi="仿宋" w:eastAsia="仿宋" w:cs="仿宋"/>
                <w:sz w:val="24"/>
              </w:rPr>
              <w:t>数据导出</w:t>
            </w:r>
          </w:p>
        </w:tc>
      </w:tr>
      <w:tr w14:paraId="62251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restart"/>
            <w:tcMar>
              <w:top w:w="60" w:type="dxa"/>
              <w:left w:w="120" w:type="dxa"/>
              <w:bottom w:w="30" w:type="dxa"/>
              <w:right w:w="120" w:type="dxa"/>
            </w:tcMar>
            <w:vAlign w:val="center"/>
          </w:tcPr>
          <w:p w14:paraId="4C0131DA">
            <w:pPr>
              <w:snapToGrid w:val="0"/>
              <w:spacing w:line="360" w:lineRule="auto"/>
              <w:jc w:val="center"/>
              <w:rPr>
                <w:rFonts w:ascii="仿宋" w:hAnsi="仿宋" w:eastAsia="仿宋" w:cs="仿宋"/>
                <w:sz w:val="24"/>
              </w:rPr>
            </w:pPr>
            <w:r>
              <w:rPr>
                <w:rFonts w:hint="eastAsia" w:ascii="仿宋" w:hAnsi="仿宋" w:eastAsia="仿宋" w:cs="仿宋"/>
                <w:sz w:val="24"/>
              </w:rPr>
              <w:t>漏报管理</w:t>
            </w:r>
          </w:p>
        </w:tc>
        <w:tc>
          <w:tcPr>
            <w:tcW w:w="2500" w:type="pct"/>
            <w:tcMar>
              <w:top w:w="60" w:type="dxa"/>
              <w:left w:w="120" w:type="dxa"/>
              <w:bottom w:w="30" w:type="dxa"/>
              <w:right w:w="120" w:type="dxa"/>
            </w:tcMar>
          </w:tcPr>
          <w:p w14:paraId="5F35ECB4">
            <w:pPr>
              <w:snapToGrid w:val="0"/>
              <w:spacing w:line="360" w:lineRule="auto"/>
              <w:jc w:val="left"/>
              <w:rPr>
                <w:rFonts w:ascii="仿宋" w:hAnsi="仿宋" w:eastAsia="仿宋" w:cs="仿宋"/>
                <w:sz w:val="24"/>
              </w:rPr>
            </w:pPr>
            <w:r>
              <w:rPr>
                <w:rFonts w:hint="eastAsia" w:ascii="仿宋" w:hAnsi="仿宋" w:eastAsia="仿宋" w:cs="仿宋"/>
                <w:sz w:val="24"/>
              </w:rPr>
              <w:t>回收站</w:t>
            </w:r>
          </w:p>
        </w:tc>
      </w:tr>
      <w:tr w14:paraId="0002A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09A0CB8C">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525B0602">
            <w:pPr>
              <w:snapToGrid w:val="0"/>
              <w:spacing w:line="360" w:lineRule="auto"/>
              <w:jc w:val="left"/>
              <w:rPr>
                <w:rFonts w:ascii="仿宋" w:hAnsi="仿宋" w:eastAsia="仿宋" w:cs="仿宋"/>
                <w:sz w:val="24"/>
              </w:rPr>
            </w:pPr>
            <w:r>
              <w:rPr>
                <w:rFonts w:hint="eastAsia" w:ascii="仿宋" w:hAnsi="仿宋" w:eastAsia="仿宋" w:cs="仿宋"/>
                <w:sz w:val="24"/>
              </w:rPr>
              <w:t>获取数据</w:t>
            </w:r>
          </w:p>
        </w:tc>
      </w:tr>
      <w:tr w14:paraId="12289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0989EC8E">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5E1BD988">
            <w:pPr>
              <w:snapToGrid w:val="0"/>
              <w:spacing w:line="360" w:lineRule="auto"/>
              <w:jc w:val="left"/>
              <w:rPr>
                <w:rFonts w:ascii="仿宋" w:hAnsi="仿宋" w:eastAsia="仿宋" w:cs="仿宋"/>
                <w:sz w:val="24"/>
              </w:rPr>
            </w:pPr>
            <w:r>
              <w:rPr>
                <w:rFonts w:hint="eastAsia" w:ascii="仿宋" w:hAnsi="仿宋" w:eastAsia="仿宋" w:cs="仿宋"/>
                <w:sz w:val="24"/>
              </w:rPr>
              <w:t>漏报查询</w:t>
            </w:r>
          </w:p>
        </w:tc>
      </w:tr>
      <w:tr w14:paraId="72CF1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15DD4FE9">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05F75E30">
            <w:pPr>
              <w:snapToGrid w:val="0"/>
              <w:spacing w:line="360" w:lineRule="auto"/>
              <w:jc w:val="left"/>
              <w:rPr>
                <w:rFonts w:ascii="仿宋" w:hAnsi="仿宋" w:eastAsia="仿宋" w:cs="仿宋"/>
                <w:sz w:val="24"/>
              </w:rPr>
            </w:pPr>
            <w:r>
              <w:rPr>
                <w:rFonts w:hint="eastAsia" w:ascii="仿宋" w:hAnsi="仿宋" w:eastAsia="仿宋" w:cs="仿宋"/>
                <w:sz w:val="24"/>
              </w:rPr>
              <w:t>漏报处理</w:t>
            </w:r>
          </w:p>
        </w:tc>
      </w:tr>
      <w:tr w14:paraId="647BC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4F70E197">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55084526">
            <w:pPr>
              <w:snapToGrid w:val="0"/>
              <w:spacing w:line="360" w:lineRule="auto"/>
              <w:jc w:val="left"/>
              <w:rPr>
                <w:rFonts w:ascii="仿宋" w:hAnsi="仿宋" w:eastAsia="仿宋" w:cs="仿宋"/>
                <w:sz w:val="24"/>
              </w:rPr>
            </w:pPr>
            <w:r>
              <w:rPr>
                <w:rFonts w:hint="eastAsia" w:ascii="仿宋" w:hAnsi="仿宋" w:eastAsia="仿宋" w:cs="仿宋"/>
                <w:sz w:val="24"/>
              </w:rPr>
              <w:t>漏报导出</w:t>
            </w:r>
          </w:p>
        </w:tc>
      </w:tr>
      <w:tr w14:paraId="6BFAB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restart"/>
            <w:tcMar>
              <w:top w:w="60" w:type="dxa"/>
              <w:left w:w="120" w:type="dxa"/>
              <w:bottom w:w="30" w:type="dxa"/>
              <w:right w:w="120" w:type="dxa"/>
            </w:tcMar>
            <w:vAlign w:val="center"/>
          </w:tcPr>
          <w:p w14:paraId="53507E46">
            <w:pPr>
              <w:snapToGrid w:val="0"/>
              <w:spacing w:line="360" w:lineRule="auto"/>
              <w:jc w:val="center"/>
              <w:rPr>
                <w:rFonts w:ascii="仿宋" w:hAnsi="仿宋" w:eastAsia="仿宋" w:cs="仿宋"/>
                <w:sz w:val="24"/>
              </w:rPr>
            </w:pPr>
            <w:r>
              <w:rPr>
                <w:rFonts w:hint="eastAsia" w:ascii="仿宋" w:hAnsi="仿宋" w:eastAsia="仿宋" w:cs="仿宋"/>
                <w:sz w:val="24"/>
              </w:rPr>
              <w:t>质控统计</w:t>
            </w:r>
          </w:p>
        </w:tc>
        <w:tc>
          <w:tcPr>
            <w:tcW w:w="2500" w:type="pct"/>
            <w:tcMar>
              <w:top w:w="60" w:type="dxa"/>
              <w:left w:w="120" w:type="dxa"/>
              <w:bottom w:w="30" w:type="dxa"/>
              <w:right w:w="120" w:type="dxa"/>
            </w:tcMar>
          </w:tcPr>
          <w:p w14:paraId="2755EB8F">
            <w:pPr>
              <w:snapToGrid w:val="0"/>
              <w:spacing w:line="360" w:lineRule="auto"/>
              <w:jc w:val="left"/>
              <w:rPr>
                <w:rFonts w:ascii="仿宋" w:hAnsi="仿宋" w:eastAsia="仿宋" w:cs="仿宋"/>
                <w:sz w:val="24"/>
              </w:rPr>
            </w:pPr>
            <w:r>
              <w:rPr>
                <w:rFonts w:hint="eastAsia" w:ascii="仿宋" w:hAnsi="仿宋" w:eastAsia="仿宋" w:cs="仿宋"/>
                <w:sz w:val="24"/>
              </w:rPr>
              <w:t>统计概览</w:t>
            </w:r>
          </w:p>
        </w:tc>
      </w:tr>
      <w:tr w14:paraId="6902A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0CBDB30C">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0F907DAB">
            <w:pPr>
              <w:snapToGrid w:val="0"/>
              <w:spacing w:line="360" w:lineRule="auto"/>
              <w:jc w:val="left"/>
              <w:rPr>
                <w:rFonts w:ascii="仿宋" w:hAnsi="仿宋" w:eastAsia="仿宋" w:cs="仿宋"/>
                <w:sz w:val="24"/>
              </w:rPr>
            </w:pPr>
            <w:r>
              <w:rPr>
                <w:rFonts w:hint="eastAsia" w:ascii="仿宋" w:hAnsi="仿宋" w:eastAsia="仿宋" w:cs="仿宋"/>
                <w:sz w:val="24"/>
              </w:rPr>
              <w:t>数据汇总</w:t>
            </w:r>
          </w:p>
        </w:tc>
      </w:tr>
      <w:tr w14:paraId="04343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0AF2DF7A">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725EC306">
            <w:pPr>
              <w:snapToGrid w:val="0"/>
              <w:spacing w:line="360" w:lineRule="auto"/>
              <w:jc w:val="left"/>
              <w:rPr>
                <w:rFonts w:ascii="仿宋" w:hAnsi="仿宋" w:eastAsia="仿宋" w:cs="仿宋"/>
                <w:sz w:val="24"/>
              </w:rPr>
            </w:pPr>
            <w:r>
              <w:rPr>
                <w:rFonts w:hint="eastAsia" w:ascii="仿宋" w:hAnsi="仿宋" w:eastAsia="仿宋" w:cs="仿宋"/>
                <w:sz w:val="24"/>
              </w:rPr>
              <w:t>病种过程质量指标统计</w:t>
            </w:r>
          </w:p>
        </w:tc>
      </w:tr>
      <w:tr w14:paraId="4C33F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0EE42A4C">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11814A27">
            <w:pPr>
              <w:snapToGrid w:val="0"/>
              <w:spacing w:line="360" w:lineRule="auto"/>
              <w:jc w:val="left"/>
              <w:rPr>
                <w:rFonts w:ascii="仿宋" w:hAnsi="仿宋" w:eastAsia="仿宋" w:cs="仿宋"/>
                <w:sz w:val="24"/>
              </w:rPr>
            </w:pPr>
            <w:r>
              <w:rPr>
                <w:rFonts w:hint="eastAsia" w:ascii="仿宋" w:hAnsi="仿宋" w:eastAsia="仿宋" w:cs="仿宋"/>
                <w:sz w:val="24"/>
              </w:rPr>
              <w:t>质控指标完成情况统计</w:t>
            </w:r>
          </w:p>
        </w:tc>
      </w:tr>
      <w:tr w14:paraId="2CE08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73694847">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10A9FDAF">
            <w:pPr>
              <w:snapToGrid w:val="0"/>
              <w:spacing w:line="360" w:lineRule="auto"/>
              <w:jc w:val="left"/>
              <w:rPr>
                <w:rFonts w:ascii="仿宋" w:hAnsi="仿宋" w:eastAsia="仿宋" w:cs="仿宋"/>
                <w:sz w:val="24"/>
              </w:rPr>
            </w:pPr>
            <w:r>
              <w:rPr>
                <w:rFonts w:hint="eastAsia" w:ascii="仿宋" w:hAnsi="仿宋" w:eastAsia="仿宋" w:cs="仿宋"/>
                <w:sz w:val="24"/>
              </w:rPr>
              <w:t>公共项汇总统计</w:t>
            </w:r>
          </w:p>
        </w:tc>
      </w:tr>
      <w:tr w14:paraId="2F6EE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49A6D5F7">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02098377">
            <w:pPr>
              <w:snapToGrid w:val="0"/>
              <w:spacing w:line="360" w:lineRule="auto"/>
              <w:jc w:val="left"/>
              <w:rPr>
                <w:rFonts w:ascii="仿宋" w:hAnsi="仿宋" w:eastAsia="仿宋" w:cs="仿宋"/>
                <w:sz w:val="24"/>
              </w:rPr>
            </w:pPr>
            <w:r>
              <w:rPr>
                <w:rFonts w:hint="eastAsia" w:ascii="仿宋" w:hAnsi="仿宋" w:eastAsia="仿宋" w:cs="仿宋"/>
                <w:sz w:val="24"/>
              </w:rPr>
              <w:t>统计导出</w:t>
            </w:r>
          </w:p>
        </w:tc>
      </w:tr>
      <w:tr w14:paraId="305B4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4F6E5442">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4C770080">
            <w:pPr>
              <w:snapToGrid w:val="0"/>
              <w:spacing w:line="360" w:lineRule="auto"/>
              <w:jc w:val="left"/>
              <w:rPr>
                <w:rFonts w:ascii="仿宋" w:hAnsi="仿宋" w:eastAsia="仿宋" w:cs="仿宋"/>
                <w:sz w:val="24"/>
              </w:rPr>
            </w:pPr>
            <w:r>
              <w:rPr>
                <w:rFonts w:hint="eastAsia" w:ascii="仿宋" w:hAnsi="仿宋" w:eastAsia="仿宋" w:cs="仿宋"/>
                <w:sz w:val="24"/>
              </w:rPr>
              <w:t>质控数据分析报告</w:t>
            </w:r>
          </w:p>
        </w:tc>
      </w:tr>
      <w:tr w14:paraId="542B1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restart"/>
            <w:tcMar>
              <w:top w:w="60" w:type="dxa"/>
              <w:left w:w="120" w:type="dxa"/>
              <w:bottom w:w="30" w:type="dxa"/>
              <w:right w:w="120" w:type="dxa"/>
            </w:tcMar>
            <w:vAlign w:val="center"/>
          </w:tcPr>
          <w:p w14:paraId="13D29DC4">
            <w:pPr>
              <w:snapToGrid w:val="0"/>
              <w:spacing w:line="360" w:lineRule="auto"/>
              <w:jc w:val="center"/>
              <w:rPr>
                <w:rFonts w:ascii="仿宋" w:hAnsi="仿宋" w:eastAsia="仿宋" w:cs="仿宋"/>
                <w:sz w:val="24"/>
              </w:rPr>
            </w:pPr>
            <w:r>
              <w:rPr>
                <w:rFonts w:hint="eastAsia" w:ascii="仿宋" w:hAnsi="仿宋" w:eastAsia="仿宋" w:cs="仿宋"/>
                <w:sz w:val="24"/>
              </w:rPr>
              <w:t>智能语义分析</w:t>
            </w:r>
          </w:p>
        </w:tc>
        <w:tc>
          <w:tcPr>
            <w:tcW w:w="2500" w:type="pct"/>
            <w:tcMar>
              <w:top w:w="60" w:type="dxa"/>
              <w:left w:w="120" w:type="dxa"/>
              <w:bottom w:w="30" w:type="dxa"/>
              <w:right w:w="120" w:type="dxa"/>
            </w:tcMar>
          </w:tcPr>
          <w:p w14:paraId="4DB6E6B3">
            <w:pPr>
              <w:snapToGrid w:val="0"/>
              <w:spacing w:line="360" w:lineRule="auto"/>
              <w:jc w:val="left"/>
              <w:rPr>
                <w:rFonts w:ascii="仿宋" w:hAnsi="仿宋" w:eastAsia="仿宋" w:cs="仿宋"/>
                <w:sz w:val="24"/>
              </w:rPr>
            </w:pPr>
            <w:r>
              <w:rPr>
                <w:rFonts w:hint="eastAsia" w:ascii="仿宋" w:hAnsi="仿宋" w:eastAsia="仿宋" w:cs="仿宋"/>
                <w:sz w:val="24"/>
              </w:rPr>
              <w:t>规则库</w:t>
            </w:r>
          </w:p>
        </w:tc>
      </w:tr>
      <w:tr w14:paraId="67D45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tcPr>
          <w:p w14:paraId="3A1B1144">
            <w:pPr>
              <w:snapToGrid w:val="0"/>
              <w:spacing w:line="360" w:lineRule="auto"/>
              <w:rPr>
                <w:rFonts w:ascii="仿宋" w:hAnsi="仿宋" w:eastAsia="仿宋" w:cs="仿宋"/>
                <w:sz w:val="24"/>
              </w:rPr>
            </w:pPr>
          </w:p>
        </w:tc>
        <w:tc>
          <w:tcPr>
            <w:tcW w:w="2500" w:type="pct"/>
            <w:tcMar>
              <w:top w:w="60" w:type="dxa"/>
              <w:left w:w="120" w:type="dxa"/>
              <w:bottom w:w="30" w:type="dxa"/>
              <w:right w:w="120" w:type="dxa"/>
            </w:tcMar>
          </w:tcPr>
          <w:p w14:paraId="73BD2775">
            <w:pPr>
              <w:snapToGrid w:val="0"/>
              <w:spacing w:line="360" w:lineRule="auto"/>
              <w:jc w:val="left"/>
              <w:rPr>
                <w:rFonts w:ascii="仿宋" w:hAnsi="仿宋" w:eastAsia="仿宋" w:cs="仿宋"/>
                <w:sz w:val="24"/>
              </w:rPr>
            </w:pPr>
            <w:r>
              <w:rPr>
                <w:rFonts w:hint="eastAsia" w:ascii="仿宋" w:hAnsi="仿宋" w:eastAsia="仿宋" w:cs="仿宋"/>
                <w:sz w:val="24"/>
              </w:rPr>
              <w:t>字典库</w:t>
            </w:r>
          </w:p>
        </w:tc>
      </w:tr>
      <w:tr w14:paraId="52415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tcPr>
          <w:p w14:paraId="67AD4719">
            <w:pPr>
              <w:snapToGrid w:val="0"/>
              <w:spacing w:line="360" w:lineRule="auto"/>
              <w:rPr>
                <w:rFonts w:ascii="仿宋" w:hAnsi="仿宋" w:eastAsia="仿宋" w:cs="仿宋"/>
                <w:sz w:val="24"/>
              </w:rPr>
            </w:pPr>
          </w:p>
        </w:tc>
        <w:tc>
          <w:tcPr>
            <w:tcW w:w="2500" w:type="pct"/>
            <w:tcMar>
              <w:top w:w="60" w:type="dxa"/>
              <w:left w:w="120" w:type="dxa"/>
              <w:bottom w:w="30" w:type="dxa"/>
              <w:right w:w="120" w:type="dxa"/>
            </w:tcMar>
          </w:tcPr>
          <w:p w14:paraId="1E38D638">
            <w:pPr>
              <w:snapToGrid w:val="0"/>
              <w:spacing w:line="360" w:lineRule="auto"/>
              <w:jc w:val="left"/>
              <w:rPr>
                <w:rFonts w:ascii="仿宋" w:hAnsi="仿宋" w:eastAsia="仿宋" w:cs="仿宋"/>
                <w:sz w:val="24"/>
              </w:rPr>
            </w:pPr>
            <w:r>
              <w:rPr>
                <w:rFonts w:hint="eastAsia" w:ascii="仿宋" w:hAnsi="仿宋" w:eastAsia="仿宋" w:cs="仿宋"/>
                <w:sz w:val="24"/>
              </w:rPr>
              <w:t>数据抽取</w:t>
            </w:r>
          </w:p>
        </w:tc>
      </w:tr>
      <w:tr w14:paraId="293ED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tcPr>
          <w:p w14:paraId="419A7A83">
            <w:pPr>
              <w:snapToGrid w:val="0"/>
              <w:spacing w:line="360" w:lineRule="auto"/>
              <w:rPr>
                <w:rFonts w:ascii="仿宋" w:hAnsi="仿宋" w:eastAsia="仿宋" w:cs="仿宋"/>
                <w:sz w:val="24"/>
              </w:rPr>
            </w:pPr>
          </w:p>
        </w:tc>
        <w:tc>
          <w:tcPr>
            <w:tcW w:w="2500" w:type="pct"/>
            <w:tcMar>
              <w:top w:w="60" w:type="dxa"/>
              <w:left w:w="120" w:type="dxa"/>
              <w:bottom w:w="30" w:type="dxa"/>
              <w:right w:w="120" w:type="dxa"/>
            </w:tcMar>
          </w:tcPr>
          <w:p w14:paraId="4C0FF4A0">
            <w:pPr>
              <w:snapToGrid w:val="0"/>
              <w:spacing w:line="360" w:lineRule="auto"/>
              <w:jc w:val="left"/>
              <w:rPr>
                <w:rFonts w:ascii="仿宋" w:hAnsi="仿宋" w:eastAsia="仿宋" w:cs="仿宋"/>
                <w:sz w:val="24"/>
              </w:rPr>
            </w:pPr>
            <w:r>
              <w:rPr>
                <w:rFonts w:hint="eastAsia" w:ascii="仿宋" w:hAnsi="仿宋" w:eastAsia="仿宋" w:cs="仿宋"/>
                <w:sz w:val="24"/>
              </w:rPr>
              <w:t>数据清洗</w:t>
            </w:r>
          </w:p>
        </w:tc>
      </w:tr>
      <w:tr w14:paraId="0F1A7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tcPr>
          <w:p w14:paraId="443266EF">
            <w:pPr>
              <w:snapToGrid w:val="0"/>
              <w:spacing w:line="360" w:lineRule="auto"/>
              <w:rPr>
                <w:rFonts w:ascii="仿宋" w:hAnsi="仿宋" w:eastAsia="仿宋" w:cs="仿宋"/>
                <w:sz w:val="24"/>
              </w:rPr>
            </w:pPr>
          </w:p>
        </w:tc>
        <w:tc>
          <w:tcPr>
            <w:tcW w:w="2500" w:type="pct"/>
            <w:tcMar>
              <w:top w:w="60" w:type="dxa"/>
              <w:left w:w="120" w:type="dxa"/>
              <w:bottom w:w="30" w:type="dxa"/>
              <w:right w:w="120" w:type="dxa"/>
            </w:tcMar>
          </w:tcPr>
          <w:p w14:paraId="52B870E3">
            <w:pPr>
              <w:snapToGrid w:val="0"/>
              <w:spacing w:line="360" w:lineRule="auto"/>
              <w:jc w:val="left"/>
              <w:rPr>
                <w:rFonts w:ascii="仿宋" w:hAnsi="仿宋" w:eastAsia="仿宋" w:cs="仿宋"/>
                <w:sz w:val="24"/>
              </w:rPr>
            </w:pPr>
            <w:r>
              <w:rPr>
                <w:rFonts w:hint="eastAsia" w:ascii="仿宋" w:hAnsi="仿宋" w:eastAsia="仿宋" w:cs="仿宋"/>
                <w:sz w:val="24"/>
              </w:rPr>
              <w:t>数据标准化</w:t>
            </w:r>
          </w:p>
        </w:tc>
      </w:tr>
      <w:tr w14:paraId="34D00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restart"/>
            <w:tcMar>
              <w:top w:w="60" w:type="dxa"/>
              <w:left w:w="120" w:type="dxa"/>
              <w:bottom w:w="30" w:type="dxa"/>
              <w:right w:w="120" w:type="dxa"/>
            </w:tcMar>
          </w:tcPr>
          <w:p w14:paraId="69E71617">
            <w:pPr>
              <w:snapToGrid w:val="0"/>
              <w:spacing w:line="360" w:lineRule="auto"/>
              <w:jc w:val="left"/>
              <w:rPr>
                <w:rFonts w:ascii="仿宋" w:hAnsi="仿宋" w:eastAsia="仿宋" w:cs="仿宋"/>
                <w:sz w:val="24"/>
              </w:rPr>
            </w:pPr>
            <w:r>
              <w:rPr>
                <w:rFonts w:hint="eastAsia" w:ascii="仿宋" w:hAnsi="仿宋" w:eastAsia="仿宋" w:cs="仿宋"/>
                <w:sz w:val="24"/>
              </w:rPr>
              <w:t>系统管理与信息公告</w:t>
            </w:r>
          </w:p>
        </w:tc>
        <w:tc>
          <w:tcPr>
            <w:tcW w:w="2500" w:type="pct"/>
            <w:tcMar>
              <w:top w:w="60" w:type="dxa"/>
              <w:left w:w="120" w:type="dxa"/>
              <w:bottom w:w="30" w:type="dxa"/>
              <w:right w:w="120" w:type="dxa"/>
            </w:tcMar>
          </w:tcPr>
          <w:p w14:paraId="6BF8E31A">
            <w:pPr>
              <w:snapToGrid w:val="0"/>
              <w:spacing w:line="360" w:lineRule="auto"/>
              <w:jc w:val="left"/>
              <w:rPr>
                <w:rFonts w:ascii="仿宋" w:hAnsi="仿宋" w:eastAsia="仿宋" w:cs="仿宋"/>
                <w:sz w:val="24"/>
              </w:rPr>
            </w:pPr>
            <w:r>
              <w:rPr>
                <w:rFonts w:hint="eastAsia" w:ascii="仿宋" w:hAnsi="仿宋" w:eastAsia="仿宋" w:cs="仿宋"/>
                <w:sz w:val="24"/>
              </w:rPr>
              <w:t>系统设置</w:t>
            </w:r>
          </w:p>
        </w:tc>
      </w:tr>
      <w:tr w14:paraId="6412F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tcPr>
          <w:p w14:paraId="3349ABA8">
            <w:pPr>
              <w:snapToGrid w:val="0"/>
              <w:spacing w:line="360" w:lineRule="auto"/>
              <w:rPr>
                <w:rFonts w:ascii="仿宋" w:hAnsi="仿宋" w:eastAsia="仿宋" w:cs="仿宋"/>
                <w:sz w:val="24"/>
              </w:rPr>
            </w:pPr>
          </w:p>
        </w:tc>
        <w:tc>
          <w:tcPr>
            <w:tcW w:w="2500" w:type="pct"/>
            <w:tcMar>
              <w:top w:w="60" w:type="dxa"/>
              <w:left w:w="120" w:type="dxa"/>
              <w:bottom w:w="30" w:type="dxa"/>
              <w:right w:w="120" w:type="dxa"/>
            </w:tcMar>
          </w:tcPr>
          <w:p w14:paraId="1FD62523">
            <w:pPr>
              <w:snapToGrid w:val="0"/>
              <w:spacing w:line="360" w:lineRule="auto"/>
              <w:jc w:val="left"/>
              <w:rPr>
                <w:rFonts w:ascii="仿宋" w:hAnsi="仿宋" w:eastAsia="仿宋" w:cs="仿宋"/>
                <w:sz w:val="24"/>
              </w:rPr>
            </w:pPr>
            <w:r>
              <w:rPr>
                <w:rFonts w:hint="eastAsia" w:ascii="仿宋" w:hAnsi="仿宋" w:eastAsia="仿宋" w:cs="仿宋"/>
                <w:sz w:val="24"/>
              </w:rPr>
              <w:t>角色管理</w:t>
            </w:r>
          </w:p>
        </w:tc>
      </w:tr>
      <w:tr w14:paraId="7C273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tcPr>
          <w:p w14:paraId="49900475">
            <w:pPr>
              <w:snapToGrid w:val="0"/>
              <w:spacing w:line="360" w:lineRule="auto"/>
              <w:rPr>
                <w:rFonts w:ascii="仿宋" w:hAnsi="仿宋" w:eastAsia="仿宋" w:cs="仿宋"/>
                <w:sz w:val="24"/>
              </w:rPr>
            </w:pPr>
          </w:p>
        </w:tc>
        <w:tc>
          <w:tcPr>
            <w:tcW w:w="2500" w:type="pct"/>
            <w:tcMar>
              <w:top w:w="60" w:type="dxa"/>
              <w:left w:w="120" w:type="dxa"/>
              <w:bottom w:w="30" w:type="dxa"/>
              <w:right w:w="120" w:type="dxa"/>
            </w:tcMar>
          </w:tcPr>
          <w:p w14:paraId="120DC9B0">
            <w:pPr>
              <w:snapToGrid w:val="0"/>
              <w:spacing w:line="360" w:lineRule="auto"/>
              <w:jc w:val="left"/>
              <w:rPr>
                <w:rFonts w:ascii="仿宋" w:hAnsi="仿宋" w:eastAsia="仿宋" w:cs="仿宋"/>
                <w:sz w:val="24"/>
              </w:rPr>
            </w:pPr>
            <w:r>
              <w:rPr>
                <w:rFonts w:hint="eastAsia" w:ascii="仿宋" w:hAnsi="仿宋" w:eastAsia="仿宋" w:cs="仿宋"/>
                <w:sz w:val="24"/>
              </w:rPr>
              <w:t>用户管理</w:t>
            </w:r>
          </w:p>
        </w:tc>
      </w:tr>
      <w:tr w14:paraId="67738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tcPr>
          <w:p w14:paraId="2431CADD">
            <w:pPr>
              <w:snapToGrid w:val="0"/>
              <w:spacing w:line="360" w:lineRule="auto"/>
              <w:rPr>
                <w:rFonts w:ascii="仿宋" w:hAnsi="仿宋" w:eastAsia="仿宋" w:cs="仿宋"/>
                <w:sz w:val="24"/>
              </w:rPr>
            </w:pPr>
          </w:p>
        </w:tc>
        <w:tc>
          <w:tcPr>
            <w:tcW w:w="2500" w:type="pct"/>
            <w:tcMar>
              <w:top w:w="60" w:type="dxa"/>
              <w:left w:w="120" w:type="dxa"/>
              <w:bottom w:w="30" w:type="dxa"/>
              <w:right w:w="120" w:type="dxa"/>
            </w:tcMar>
          </w:tcPr>
          <w:p w14:paraId="21F0EE45">
            <w:pPr>
              <w:snapToGrid w:val="0"/>
              <w:spacing w:line="360" w:lineRule="auto"/>
              <w:jc w:val="left"/>
              <w:rPr>
                <w:rFonts w:ascii="仿宋" w:hAnsi="仿宋" w:eastAsia="仿宋" w:cs="仿宋"/>
                <w:sz w:val="24"/>
              </w:rPr>
            </w:pPr>
            <w:r>
              <w:rPr>
                <w:rFonts w:hint="eastAsia" w:ascii="仿宋" w:hAnsi="仿宋" w:eastAsia="仿宋" w:cs="仿宋"/>
                <w:sz w:val="24"/>
              </w:rPr>
              <w:t>编码对应</w:t>
            </w:r>
          </w:p>
        </w:tc>
      </w:tr>
      <w:tr w14:paraId="57AF3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tcPr>
          <w:p w14:paraId="03A79E3C">
            <w:pPr>
              <w:snapToGrid w:val="0"/>
              <w:spacing w:line="360" w:lineRule="auto"/>
              <w:rPr>
                <w:rFonts w:ascii="仿宋" w:hAnsi="仿宋" w:eastAsia="仿宋" w:cs="仿宋"/>
                <w:sz w:val="24"/>
              </w:rPr>
            </w:pPr>
          </w:p>
        </w:tc>
        <w:tc>
          <w:tcPr>
            <w:tcW w:w="2500" w:type="pct"/>
            <w:tcMar>
              <w:top w:w="60" w:type="dxa"/>
              <w:left w:w="120" w:type="dxa"/>
              <w:bottom w:w="30" w:type="dxa"/>
              <w:right w:w="120" w:type="dxa"/>
            </w:tcMar>
          </w:tcPr>
          <w:p w14:paraId="754BB986">
            <w:pPr>
              <w:snapToGrid w:val="0"/>
              <w:spacing w:line="360" w:lineRule="auto"/>
              <w:jc w:val="left"/>
              <w:rPr>
                <w:rFonts w:ascii="仿宋" w:hAnsi="仿宋" w:eastAsia="仿宋" w:cs="仿宋"/>
                <w:sz w:val="24"/>
              </w:rPr>
            </w:pPr>
            <w:r>
              <w:rPr>
                <w:rFonts w:hint="eastAsia" w:ascii="仿宋" w:hAnsi="仿宋" w:eastAsia="仿宋" w:cs="仿宋"/>
                <w:sz w:val="24"/>
              </w:rPr>
              <w:t>接口监测</w:t>
            </w:r>
          </w:p>
        </w:tc>
      </w:tr>
      <w:tr w14:paraId="0ECC5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tcPr>
          <w:p w14:paraId="1D817909">
            <w:pPr>
              <w:snapToGrid w:val="0"/>
              <w:spacing w:line="360" w:lineRule="auto"/>
              <w:rPr>
                <w:rFonts w:ascii="仿宋" w:hAnsi="仿宋" w:eastAsia="仿宋" w:cs="仿宋"/>
                <w:sz w:val="24"/>
              </w:rPr>
            </w:pPr>
          </w:p>
        </w:tc>
        <w:tc>
          <w:tcPr>
            <w:tcW w:w="2500" w:type="pct"/>
            <w:tcMar>
              <w:top w:w="60" w:type="dxa"/>
              <w:left w:w="120" w:type="dxa"/>
              <w:bottom w:w="30" w:type="dxa"/>
              <w:right w:w="120" w:type="dxa"/>
            </w:tcMar>
          </w:tcPr>
          <w:p w14:paraId="540B2644">
            <w:pPr>
              <w:snapToGrid w:val="0"/>
              <w:spacing w:line="360" w:lineRule="auto"/>
              <w:jc w:val="left"/>
              <w:rPr>
                <w:rFonts w:ascii="仿宋" w:hAnsi="仿宋" w:eastAsia="仿宋" w:cs="仿宋"/>
                <w:sz w:val="24"/>
              </w:rPr>
            </w:pPr>
            <w:r>
              <w:rPr>
                <w:rFonts w:hint="eastAsia" w:ascii="仿宋" w:hAnsi="仿宋" w:eastAsia="仿宋" w:cs="仿宋"/>
                <w:sz w:val="24"/>
              </w:rPr>
              <w:t>数据维护</w:t>
            </w:r>
          </w:p>
        </w:tc>
      </w:tr>
      <w:tr w14:paraId="709CE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tcPr>
          <w:p w14:paraId="5D38F583">
            <w:pPr>
              <w:snapToGrid w:val="0"/>
              <w:spacing w:line="360" w:lineRule="auto"/>
              <w:rPr>
                <w:rFonts w:ascii="仿宋" w:hAnsi="仿宋" w:eastAsia="仿宋" w:cs="仿宋"/>
                <w:sz w:val="24"/>
              </w:rPr>
            </w:pPr>
          </w:p>
        </w:tc>
        <w:tc>
          <w:tcPr>
            <w:tcW w:w="2500" w:type="pct"/>
            <w:tcMar>
              <w:top w:w="60" w:type="dxa"/>
              <w:left w:w="120" w:type="dxa"/>
              <w:bottom w:w="30" w:type="dxa"/>
              <w:right w:w="120" w:type="dxa"/>
            </w:tcMar>
          </w:tcPr>
          <w:p w14:paraId="04A539A7">
            <w:pPr>
              <w:snapToGrid w:val="0"/>
              <w:spacing w:line="360" w:lineRule="auto"/>
              <w:jc w:val="left"/>
              <w:rPr>
                <w:rFonts w:ascii="仿宋" w:hAnsi="仿宋" w:eastAsia="仿宋" w:cs="仿宋"/>
                <w:sz w:val="24"/>
              </w:rPr>
            </w:pPr>
            <w:r>
              <w:rPr>
                <w:rFonts w:hint="eastAsia" w:ascii="仿宋" w:hAnsi="仿宋" w:eastAsia="仿宋" w:cs="仿宋"/>
                <w:sz w:val="24"/>
              </w:rPr>
              <w:t>公告管理</w:t>
            </w:r>
          </w:p>
        </w:tc>
      </w:tr>
      <w:tr w14:paraId="663F8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tcPr>
          <w:p w14:paraId="20D9E00A">
            <w:pPr>
              <w:snapToGrid w:val="0"/>
              <w:spacing w:line="360" w:lineRule="auto"/>
              <w:rPr>
                <w:rFonts w:ascii="仿宋" w:hAnsi="仿宋" w:eastAsia="仿宋" w:cs="仿宋"/>
                <w:sz w:val="24"/>
              </w:rPr>
            </w:pPr>
          </w:p>
        </w:tc>
        <w:tc>
          <w:tcPr>
            <w:tcW w:w="2500" w:type="pct"/>
            <w:tcMar>
              <w:top w:w="60" w:type="dxa"/>
              <w:left w:w="120" w:type="dxa"/>
              <w:bottom w:w="30" w:type="dxa"/>
              <w:right w:w="120" w:type="dxa"/>
            </w:tcMar>
          </w:tcPr>
          <w:p w14:paraId="584576E5">
            <w:pPr>
              <w:snapToGrid w:val="0"/>
              <w:spacing w:line="360" w:lineRule="auto"/>
              <w:jc w:val="left"/>
              <w:rPr>
                <w:rFonts w:ascii="仿宋" w:hAnsi="仿宋" w:eastAsia="仿宋" w:cs="仿宋"/>
                <w:sz w:val="24"/>
              </w:rPr>
            </w:pPr>
            <w:r>
              <w:rPr>
                <w:rFonts w:hint="eastAsia" w:ascii="仿宋" w:hAnsi="仿宋" w:eastAsia="仿宋" w:cs="仿宋"/>
                <w:sz w:val="24"/>
              </w:rPr>
              <w:t>动态提醒</w:t>
            </w:r>
          </w:p>
        </w:tc>
      </w:tr>
    </w:tbl>
    <w:p w14:paraId="77E76BAC">
      <w:pPr>
        <w:snapToGrid w:val="0"/>
        <w:spacing w:line="360" w:lineRule="auto"/>
        <w:jc w:val="left"/>
        <w:rPr>
          <w:rFonts w:ascii="仿宋" w:hAnsi="仿宋" w:eastAsia="仿宋" w:cs="仿宋"/>
          <w:sz w:val="24"/>
        </w:rPr>
      </w:pPr>
      <w:bookmarkStart w:id="11" w:name="heading_29"/>
      <w:r>
        <w:rPr>
          <w:rFonts w:hint="eastAsia" w:ascii="仿宋" w:hAnsi="仿宋" w:eastAsia="仿宋" w:cs="仿宋"/>
          <w:b/>
          <w:sz w:val="24"/>
        </w:rPr>
        <w:t>3. 故障分级标准及服务级别协议（SLA）要求</w:t>
      </w:r>
      <w:bookmarkEnd w:id="11"/>
    </w:p>
    <w:p w14:paraId="4BD75E4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结合医疗行业业务连续性要求、《医疗卫生机构网络安全管理办法》事件分级标准、国家单病种质量监测上报相关要求，制定四级故障分级与刚性SLA要求，服务商须提供7×24小时全时段服务，工作日、节假日、夜间执行统一响应与处置标准，具体如下：</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68"/>
        <w:gridCol w:w="1704"/>
        <w:gridCol w:w="3410"/>
        <w:gridCol w:w="3256"/>
      </w:tblGrid>
      <w:tr w14:paraId="03008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0" w:type="pct"/>
            <w:tcMar>
              <w:top w:w="60" w:type="dxa"/>
              <w:left w:w="120" w:type="dxa"/>
              <w:bottom w:w="30" w:type="dxa"/>
              <w:right w:w="120" w:type="dxa"/>
            </w:tcMar>
            <w:vAlign w:val="center"/>
          </w:tcPr>
          <w:p w14:paraId="0FB3B9F1">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932" w:type="pct"/>
            <w:tcMar>
              <w:top w:w="60" w:type="dxa"/>
              <w:left w:w="120" w:type="dxa"/>
              <w:bottom w:w="30" w:type="dxa"/>
              <w:right w:w="120" w:type="dxa"/>
            </w:tcMar>
            <w:vAlign w:val="center"/>
          </w:tcPr>
          <w:p w14:paraId="3C56FF19">
            <w:pPr>
              <w:snapToGrid w:val="0"/>
              <w:spacing w:line="360" w:lineRule="auto"/>
              <w:jc w:val="center"/>
              <w:rPr>
                <w:rFonts w:ascii="仿宋" w:hAnsi="仿宋" w:eastAsia="仿宋" w:cs="仿宋"/>
                <w:b/>
                <w:sz w:val="24"/>
              </w:rPr>
            </w:pPr>
            <w:r>
              <w:rPr>
                <w:rFonts w:hint="eastAsia" w:ascii="仿宋" w:hAnsi="仿宋" w:eastAsia="仿宋" w:cs="仿宋"/>
                <w:b/>
                <w:sz w:val="24"/>
              </w:rPr>
              <w:t>故障等级</w:t>
            </w:r>
          </w:p>
        </w:tc>
        <w:tc>
          <w:tcPr>
            <w:tcW w:w="1865" w:type="pct"/>
            <w:tcMar>
              <w:top w:w="60" w:type="dxa"/>
              <w:left w:w="120" w:type="dxa"/>
              <w:bottom w:w="30" w:type="dxa"/>
              <w:right w:w="120" w:type="dxa"/>
            </w:tcMar>
            <w:vAlign w:val="center"/>
          </w:tcPr>
          <w:p w14:paraId="0D1656C4">
            <w:pPr>
              <w:snapToGrid w:val="0"/>
              <w:spacing w:line="360" w:lineRule="auto"/>
              <w:jc w:val="center"/>
              <w:rPr>
                <w:rFonts w:ascii="仿宋" w:hAnsi="仿宋" w:eastAsia="仿宋" w:cs="仿宋"/>
                <w:b/>
                <w:sz w:val="24"/>
              </w:rPr>
            </w:pPr>
            <w:r>
              <w:rPr>
                <w:rFonts w:hint="eastAsia" w:ascii="仿宋" w:hAnsi="仿宋" w:eastAsia="仿宋" w:cs="仿宋"/>
                <w:b/>
                <w:sz w:val="24"/>
              </w:rPr>
              <w:t>故障情况描述</w:t>
            </w:r>
          </w:p>
        </w:tc>
        <w:tc>
          <w:tcPr>
            <w:tcW w:w="1780" w:type="pct"/>
            <w:tcMar>
              <w:top w:w="60" w:type="dxa"/>
              <w:left w:w="120" w:type="dxa"/>
              <w:bottom w:w="30" w:type="dxa"/>
              <w:right w:w="120" w:type="dxa"/>
            </w:tcMar>
            <w:vAlign w:val="center"/>
          </w:tcPr>
          <w:p w14:paraId="56A93807">
            <w:pPr>
              <w:snapToGrid w:val="0"/>
              <w:spacing w:line="360" w:lineRule="auto"/>
              <w:jc w:val="center"/>
              <w:rPr>
                <w:rFonts w:ascii="仿宋" w:hAnsi="仿宋" w:eastAsia="仿宋" w:cs="仿宋"/>
                <w:b/>
                <w:sz w:val="24"/>
              </w:rPr>
            </w:pPr>
            <w:r>
              <w:rPr>
                <w:rFonts w:hint="eastAsia" w:ascii="仿宋" w:hAnsi="仿宋" w:eastAsia="仿宋" w:cs="仿宋"/>
                <w:b/>
                <w:sz w:val="24"/>
              </w:rPr>
              <w:t>刚性SLA要求</w:t>
            </w:r>
          </w:p>
        </w:tc>
      </w:tr>
      <w:tr w14:paraId="3EC56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0" w:type="pct"/>
            <w:tcMar>
              <w:top w:w="60" w:type="dxa"/>
              <w:left w:w="120" w:type="dxa"/>
              <w:bottom w:w="30" w:type="dxa"/>
              <w:right w:w="120" w:type="dxa"/>
            </w:tcMar>
            <w:vAlign w:val="center"/>
          </w:tcPr>
          <w:p w14:paraId="4BEE3B21">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932" w:type="pct"/>
            <w:tcMar>
              <w:top w:w="60" w:type="dxa"/>
              <w:left w:w="120" w:type="dxa"/>
              <w:bottom w:w="30" w:type="dxa"/>
              <w:right w:w="120" w:type="dxa"/>
            </w:tcMar>
            <w:vAlign w:val="center"/>
          </w:tcPr>
          <w:p w14:paraId="5795EC09">
            <w:pPr>
              <w:snapToGrid w:val="0"/>
              <w:spacing w:line="360" w:lineRule="auto"/>
              <w:jc w:val="center"/>
              <w:rPr>
                <w:rFonts w:ascii="仿宋" w:hAnsi="仿宋" w:eastAsia="仿宋" w:cs="仿宋"/>
                <w:sz w:val="24"/>
              </w:rPr>
            </w:pPr>
            <w:r>
              <w:rPr>
                <w:rFonts w:hint="eastAsia" w:ascii="仿宋" w:hAnsi="仿宋" w:eastAsia="仿宋" w:cs="仿宋"/>
                <w:sz w:val="24"/>
              </w:rPr>
              <w:t>一级故障（重大）</w:t>
            </w:r>
          </w:p>
        </w:tc>
        <w:tc>
          <w:tcPr>
            <w:tcW w:w="1865" w:type="pct"/>
            <w:tcMar>
              <w:top w:w="60" w:type="dxa"/>
              <w:left w:w="120" w:type="dxa"/>
              <w:bottom w:w="30" w:type="dxa"/>
              <w:right w:w="120" w:type="dxa"/>
            </w:tcMar>
          </w:tcPr>
          <w:p w14:paraId="3762E0CD">
            <w:pPr>
              <w:snapToGrid w:val="0"/>
              <w:spacing w:line="360" w:lineRule="auto"/>
              <w:jc w:val="left"/>
              <w:rPr>
                <w:rFonts w:ascii="仿宋" w:hAnsi="仿宋" w:eastAsia="仿宋" w:cs="仿宋"/>
                <w:sz w:val="24"/>
              </w:rPr>
            </w:pPr>
            <w:r>
              <w:rPr>
                <w:rFonts w:hint="eastAsia" w:ascii="仿宋" w:hAnsi="仿宋" w:eastAsia="仿宋" w:cs="仿宋"/>
                <w:sz w:val="24"/>
              </w:rPr>
              <w:t>1. 系统核心服务瘫痪，导致业务中断，多部门终端无法办理业务，严重影响医院正常医疗秩序；</w:t>
            </w:r>
          </w:p>
          <w:p w14:paraId="0236B6E7">
            <w:pPr>
              <w:snapToGrid w:val="0"/>
              <w:spacing w:line="360" w:lineRule="auto"/>
              <w:jc w:val="left"/>
              <w:rPr>
                <w:rFonts w:ascii="仿宋" w:hAnsi="仿宋" w:eastAsia="仿宋" w:cs="仿宋"/>
                <w:sz w:val="24"/>
              </w:rPr>
            </w:pPr>
            <w:r>
              <w:rPr>
                <w:rFonts w:hint="eastAsia" w:ascii="仿宋" w:hAnsi="仿宋" w:eastAsia="仿宋" w:cs="仿宋"/>
                <w:sz w:val="24"/>
              </w:rPr>
              <w:t>2. 系统与HIS、EMR、PACS等核心系统接口完全中断，导致业务数据无法传输，严重影响医院正常医疗秩序</w:t>
            </w:r>
          </w:p>
          <w:p w14:paraId="3279856B">
            <w:pPr>
              <w:snapToGrid w:val="0"/>
              <w:spacing w:line="360" w:lineRule="auto"/>
              <w:jc w:val="left"/>
              <w:rPr>
                <w:rFonts w:ascii="仿宋" w:hAnsi="仿宋" w:eastAsia="仿宋" w:cs="仿宋"/>
                <w:sz w:val="24"/>
              </w:rPr>
            </w:pPr>
            <w:r>
              <w:rPr>
                <w:rFonts w:hint="eastAsia" w:ascii="仿宋" w:hAnsi="仿宋" w:eastAsia="仿宋" w:cs="仿宋"/>
                <w:sz w:val="24"/>
              </w:rPr>
              <w:t>3.  发生患者个人信息批量泄露、医疗数据被篡改/丢失等重大数据安全事件；</w:t>
            </w:r>
          </w:p>
          <w:p w14:paraId="7FDC636C">
            <w:pPr>
              <w:snapToGrid w:val="0"/>
              <w:spacing w:line="360" w:lineRule="auto"/>
              <w:jc w:val="left"/>
              <w:rPr>
                <w:rFonts w:ascii="仿宋" w:hAnsi="仿宋" w:eastAsia="仿宋" w:cs="仿宋"/>
                <w:sz w:val="24"/>
              </w:rPr>
            </w:pPr>
            <w:r>
              <w:rPr>
                <w:rFonts w:hint="eastAsia" w:ascii="仿宋" w:hAnsi="仿宋" w:eastAsia="仿宋" w:cs="仿宋"/>
                <w:sz w:val="24"/>
              </w:rPr>
              <w:t>4. 系统被非法入侵、攻击，出现高危安全漏洞，威胁医院整体网络安全。</w:t>
            </w:r>
          </w:p>
        </w:tc>
        <w:tc>
          <w:tcPr>
            <w:tcW w:w="1780" w:type="pct"/>
            <w:tcMar>
              <w:top w:w="60" w:type="dxa"/>
              <w:left w:w="120" w:type="dxa"/>
              <w:bottom w:w="30" w:type="dxa"/>
              <w:right w:w="120" w:type="dxa"/>
            </w:tcMar>
          </w:tcPr>
          <w:p w14:paraId="3036BCB3">
            <w:pPr>
              <w:snapToGrid w:val="0"/>
              <w:spacing w:line="360" w:lineRule="auto"/>
              <w:jc w:val="left"/>
              <w:rPr>
                <w:rFonts w:ascii="仿宋" w:hAnsi="仿宋" w:eastAsia="仿宋" w:cs="仿宋"/>
                <w:sz w:val="24"/>
              </w:rPr>
            </w:pPr>
            <w:r>
              <w:rPr>
                <w:rFonts w:hint="eastAsia" w:ascii="仿宋" w:hAnsi="仿宋" w:eastAsia="仿宋" w:cs="仿宋"/>
                <w:sz w:val="24"/>
              </w:rPr>
              <w:t>1. 10分钟内必须响应，与采购人明确故障情况，出具应急处置方案；</w:t>
            </w:r>
          </w:p>
          <w:p w14:paraId="0DDDF8B6">
            <w:pPr>
              <w:snapToGrid w:val="0"/>
              <w:spacing w:line="360" w:lineRule="auto"/>
              <w:jc w:val="left"/>
              <w:rPr>
                <w:rFonts w:ascii="仿宋" w:hAnsi="仿宋" w:eastAsia="仿宋" w:cs="仿宋"/>
                <w:sz w:val="24"/>
              </w:rPr>
            </w:pPr>
            <w:r>
              <w:rPr>
                <w:rFonts w:hint="eastAsia" w:ascii="仿宋" w:hAnsi="仿宋" w:eastAsia="仿宋" w:cs="仿宋"/>
                <w:sz w:val="24"/>
              </w:rPr>
              <w:t>2. 4小时内派驻具备资质的技术人员到达现场；</w:t>
            </w:r>
          </w:p>
          <w:p w14:paraId="14D3561B">
            <w:pPr>
              <w:snapToGrid w:val="0"/>
              <w:spacing w:line="360" w:lineRule="auto"/>
              <w:jc w:val="left"/>
              <w:rPr>
                <w:rFonts w:ascii="仿宋" w:hAnsi="仿宋" w:eastAsia="仿宋" w:cs="仿宋"/>
                <w:sz w:val="24"/>
              </w:rPr>
            </w:pPr>
            <w:r>
              <w:rPr>
                <w:rFonts w:hint="eastAsia" w:ascii="仿宋" w:hAnsi="仿宋" w:eastAsia="仿宋" w:cs="仿宋"/>
                <w:sz w:val="24"/>
              </w:rPr>
              <w:t>3. 6小时内完成故障修复，恢复系统核心业务正常运行；</w:t>
            </w:r>
          </w:p>
          <w:p w14:paraId="7BE72A08">
            <w:pPr>
              <w:snapToGrid w:val="0"/>
              <w:spacing w:line="360" w:lineRule="auto"/>
              <w:jc w:val="left"/>
              <w:rPr>
                <w:rFonts w:ascii="仿宋" w:hAnsi="仿宋" w:eastAsia="仿宋" w:cs="仿宋"/>
                <w:sz w:val="24"/>
              </w:rPr>
            </w:pPr>
            <w:r>
              <w:rPr>
                <w:rFonts w:hint="eastAsia" w:ascii="仿宋" w:hAnsi="仿宋" w:eastAsia="仿宋" w:cs="仿宋"/>
                <w:sz w:val="24"/>
              </w:rPr>
              <w:t>4. 无法在时限内完全修复的，须提供临时应急方案保障业务连续性，直至系统完全恢复；</w:t>
            </w:r>
          </w:p>
          <w:p w14:paraId="1D91BD63">
            <w:pPr>
              <w:snapToGrid w:val="0"/>
              <w:spacing w:line="360" w:lineRule="auto"/>
              <w:jc w:val="left"/>
              <w:rPr>
                <w:rFonts w:ascii="仿宋" w:hAnsi="仿宋" w:eastAsia="仿宋" w:cs="仿宋"/>
                <w:sz w:val="24"/>
              </w:rPr>
            </w:pPr>
            <w:r>
              <w:rPr>
                <w:rFonts w:hint="eastAsia" w:ascii="仿宋" w:hAnsi="仿宋" w:eastAsia="仿宋" w:cs="仿宋"/>
                <w:sz w:val="24"/>
              </w:rPr>
              <w:t>5. 故障处置完成后24小时内提交正式故障分析与复盘报告。</w:t>
            </w:r>
          </w:p>
        </w:tc>
      </w:tr>
      <w:tr w14:paraId="48432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0" w:type="pct"/>
            <w:tcMar>
              <w:top w:w="60" w:type="dxa"/>
              <w:left w:w="120" w:type="dxa"/>
              <w:bottom w:w="30" w:type="dxa"/>
              <w:right w:w="120" w:type="dxa"/>
            </w:tcMar>
            <w:vAlign w:val="center"/>
          </w:tcPr>
          <w:p w14:paraId="2655243D">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932" w:type="pct"/>
            <w:tcMar>
              <w:top w:w="60" w:type="dxa"/>
              <w:left w:w="120" w:type="dxa"/>
              <w:bottom w:w="30" w:type="dxa"/>
              <w:right w:w="120" w:type="dxa"/>
            </w:tcMar>
            <w:vAlign w:val="center"/>
          </w:tcPr>
          <w:p w14:paraId="494F8F4D">
            <w:pPr>
              <w:snapToGrid w:val="0"/>
              <w:spacing w:line="360" w:lineRule="auto"/>
              <w:jc w:val="center"/>
              <w:rPr>
                <w:rFonts w:ascii="仿宋" w:hAnsi="仿宋" w:eastAsia="仿宋" w:cs="仿宋"/>
                <w:sz w:val="24"/>
              </w:rPr>
            </w:pPr>
            <w:r>
              <w:rPr>
                <w:rFonts w:hint="eastAsia" w:ascii="仿宋" w:hAnsi="仿宋" w:eastAsia="仿宋" w:cs="仿宋"/>
                <w:sz w:val="24"/>
              </w:rPr>
              <w:t>二级故障（严重）</w:t>
            </w:r>
          </w:p>
        </w:tc>
        <w:tc>
          <w:tcPr>
            <w:tcW w:w="1865" w:type="pct"/>
            <w:tcMar>
              <w:top w:w="60" w:type="dxa"/>
              <w:left w:w="120" w:type="dxa"/>
              <w:bottom w:w="30" w:type="dxa"/>
              <w:right w:w="120" w:type="dxa"/>
            </w:tcMar>
          </w:tcPr>
          <w:p w14:paraId="41FD398E">
            <w:pPr>
              <w:snapToGrid w:val="0"/>
              <w:spacing w:line="360" w:lineRule="auto"/>
              <w:jc w:val="left"/>
              <w:rPr>
                <w:rFonts w:ascii="仿宋" w:hAnsi="仿宋" w:eastAsia="仿宋" w:cs="仿宋"/>
                <w:sz w:val="24"/>
              </w:rPr>
            </w:pPr>
            <w:r>
              <w:rPr>
                <w:rFonts w:hint="eastAsia" w:ascii="仿宋" w:hAnsi="仿宋" w:eastAsia="仿宋" w:cs="仿宋"/>
                <w:sz w:val="24"/>
              </w:rPr>
              <w:t>1. 系统操作性能严重降级，核心功能响应延迟超500%，严重影响医生操作与患者业务办理；</w:t>
            </w:r>
            <w:bookmarkStart w:id="12" w:name="OLE_LINK2"/>
          </w:p>
          <w:bookmarkEnd w:id="12"/>
          <w:p w14:paraId="5540BEAE">
            <w:pPr>
              <w:snapToGrid w:val="0"/>
              <w:spacing w:line="360" w:lineRule="auto"/>
              <w:jc w:val="left"/>
              <w:rPr>
                <w:rFonts w:ascii="仿宋" w:hAnsi="仿宋" w:eastAsia="仿宋" w:cs="仿宋"/>
                <w:sz w:val="24"/>
              </w:rPr>
            </w:pPr>
            <w:r>
              <w:rPr>
                <w:rFonts w:hint="eastAsia" w:ascii="仿宋" w:hAnsi="仿宋" w:eastAsia="仿宋" w:cs="仿宋"/>
                <w:sz w:val="24"/>
              </w:rPr>
              <w:t>2. 核心科室、门诊3个及以上科室系统无法正常使用，影响大面积患者就医；</w:t>
            </w:r>
          </w:p>
          <w:p w14:paraId="75D94F88">
            <w:pPr>
              <w:snapToGrid w:val="0"/>
              <w:spacing w:line="360" w:lineRule="auto"/>
              <w:jc w:val="left"/>
              <w:rPr>
                <w:rFonts w:ascii="仿宋" w:hAnsi="仿宋" w:eastAsia="仿宋" w:cs="仿宋"/>
                <w:sz w:val="24"/>
              </w:rPr>
            </w:pPr>
            <w:r>
              <w:rPr>
                <w:rFonts w:hint="eastAsia" w:ascii="仿宋" w:hAnsi="仿宋" w:eastAsia="仿宋" w:cs="仿宋"/>
                <w:sz w:val="24"/>
              </w:rPr>
              <w:t>3. 系统出现数据异常、统计错误，影响医疗业务正常开展，存在数据安全隐患。</w:t>
            </w:r>
          </w:p>
        </w:tc>
        <w:tc>
          <w:tcPr>
            <w:tcW w:w="1780" w:type="pct"/>
            <w:tcMar>
              <w:top w:w="60" w:type="dxa"/>
              <w:left w:w="120" w:type="dxa"/>
              <w:bottom w:w="30" w:type="dxa"/>
              <w:right w:w="120" w:type="dxa"/>
            </w:tcMar>
          </w:tcPr>
          <w:p w14:paraId="5CF312D9">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30分钟内必须响应，出具初步处置方案；</w:t>
            </w:r>
          </w:p>
          <w:p w14:paraId="35D63994">
            <w:pPr>
              <w:snapToGrid w:val="0"/>
              <w:spacing w:line="360" w:lineRule="auto"/>
              <w:jc w:val="left"/>
              <w:rPr>
                <w:rFonts w:ascii="仿宋" w:hAnsi="仿宋" w:eastAsia="仿宋" w:cs="仿宋"/>
                <w:sz w:val="24"/>
              </w:rPr>
            </w:pPr>
            <w:r>
              <w:rPr>
                <w:rFonts w:hint="eastAsia" w:ascii="仿宋" w:hAnsi="仿宋" w:eastAsia="仿宋" w:cs="仿宋"/>
                <w:sz w:val="24"/>
              </w:rPr>
              <w:t>2. 6小时内到达现场或通过安全远程方式完成故障处置；</w:t>
            </w:r>
          </w:p>
          <w:p w14:paraId="4C444508">
            <w:pPr>
              <w:snapToGrid w:val="0"/>
              <w:spacing w:line="360" w:lineRule="auto"/>
              <w:jc w:val="left"/>
              <w:rPr>
                <w:rFonts w:ascii="仿宋" w:hAnsi="仿宋" w:eastAsia="仿宋" w:cs="仿宋"/>
                <w:sz w:val="24"/>
              </w:rPr>
            </w:pPr>
            <w:r>
              <w:rPr>
                <w:rFonts w:hint="eastAsia" w:ascii="仿宋" w:hAnsi="仿宋" w:eastAsia="仿宋" w:cs="仿宋"/>
                <w:sz w:val="24"/>
              </w:rPr>
              <w:t>3. 12小时内完成故障修复，系统恢复正常运行；</w:t>
            </w:r>
          </w:p>
          <w:p w14:paraId="04F96DBD">
            <w:pPr>
              <w:snapToGrid w:val="0"/>
              <w:spacing w:line="360" w:lineRule="auto"/>
              <w:jc w:val="left"/>
              <w:rPr>
                <w:rFonts w:ascii="仿宋" w:hAnsi="仿宋" w:eastAsia="仿宋" w:cs="仿宋"/>
                <w:sz w:val="24"/>
              </w:rPr>
            </w:pPr>
            <w:r>
              <w:rPr>
                <w:rFonts w:hint="eastAsia" w:ascii="仿宋" w:hAnsi="仿宋" w:eastAsia="仿宋" w:cs="仿宋"/>
                <w:sz w:val="24"/>
              </w:rPr>
              <w:t>4. 故障处置完成后3个工作日内提交故障分析报告。</w:t>
            </w:r>
          </w:p>
        </w:tc>
      </w:tr>
      <w:tr w14:paraId="50506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56" w:hRule="atLeast"/>
        </w:trPr>
        <w:tc>
          <w:tcPr>
            <w:tcW w:w="420" w:type="pct"/>
            <w:tcMar>
              <w:top w:w="60" w:type="dxa"/>
              <w:left w:w="120" w:type="dxa"/>
              <w:bottom w:w="30" w:type="dxa"/>
              <w:right w:w="120" w:type="dxa"/>
            </w:tcMar>
            <w:vAlign w:val="center"/>
          </w:tcPr>
          <w:p w14:paraId="23163821">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932" w:type="pct"/>
            <w:tcMar>
              <w:top w:w="60" w:type="dxa"/>
              <w:left w:w="120" w:type="dxa"/>
              <w:bottom w:w="30" w:type="dxa"/>
              <w:right w:w="120" w:type="dxa"/>
            </w:tcMar>
            <w:vAlign w:val="center"/>
          </w:tcPr>
          <w:p w14:paraId="7B4A1CE1">
            <w:pPr>
              <w:snapToGrid w:val="0"/>
              <w:spacing w:line="360" w:lineRule="auto"/>
              <w:jc w:val="center"/>
              <w:rPr>
                <w:rFonts w:ascii="仿宋" w:hAnsi="仿宋" w:eastAsia="仿宋" w:cs="仿宋"/>
                <w:sz w:val="24"/>
              </w:rPr>
            </w:pPr>
            <w:r>
              <w:rPr>
                <w:rFonts w:hint="eastAsia" w:ascii="仿宋" w:hAnsi="仿宋" w:eastAsia="仿宋" w:cs="仿宋"/>
                <w:sz w:val="24"/>
              </w:rPr>
              <w:t>三级故障（一般）</w:t>
            </w:r>
          </w:p>
        </w:tc>
        <w:tc>
          <w:tcPr>
            <w:tcW w:w="1865" w:type="pct"/>
            <w:tcMar>
              <w:top w:w="60" w:type="dxa"/>
              <w:left w:w="120" w:type="dxa"/>
              <w:bottom w:w="30" w:type="dxa"/>
              <w:right w:w="120" w:type="dxa"/>
            </w:tcMar>
          </w:tcPr>
          <w:p w14:paraId="1E1C52C4">
            <w:pPr>
              <w:snapToGrid w:val="0"/>
              <w:spacing w:line="360" w:lineRule="auto"/>
              <w:jc w:val="left"/>
              <w:rPr>
                <w:rFonts w:ascii="仿宋" w:hAnsi="仿宋" w:eastAsia="仿宋" w:cs="仿宋"/>
                <w:sz w:val="24"/>
              </w:rPr>
            </w:pPr>
            <w:r>
              <w:rPr>
                <w:rFonts w:hint="eastAsia" w:ascii="仿宋" w:hAnsi="仿宋" w:eastAsia="仿宋" w:cs="仿宋"/>
                <w:sz w:val="24"/>
              </w:rPr>
              <w:t>1. 系统非核心功能受损，仅影响单个科室/少量终端使用，医院核心业务可正常开展；</w:t>
            </w:r>
          </w:p>
          <w:p w14:paraId="7A0F8452">
            <w:pPr>
              <w:snapToGrid w:val="0"/>
              <w:spacing w:line="360" w:lineRule="auto"/>
              <w:jc w:val="left"/>
              <w:rPr>
                <w:rFonts w:ascii="仿宋" w:hAnsi="仿宋" w:eastAsia="仿宋" w:cs="仿宋"/>
                <w:sz w:val="24"/>
              </w:rPr>
            </w:pPr>
            <w:r>
              <w:rPr>
                <w:rFonts w:hint="eastAsia" w:ascii="仿宋" w:hAnsi="仿宋" w:eastAsia="仿宋" w:cs="仿宋"/>
                <w:sz w:val="24"/>
              </w:rPr>
              <w:t>2. 系统出现局部数据异常、报表统计偏差，不影响核心业务办理；</w:t>
            </w:r>
          </w:p>
          <w:p w14:paraId="10A25E3D">
            <w:pPr>
              <w:snapToGrid w:val="0"/>
              <w:spacing w:line="360" w:lineRule="auto"/>
              <w:jc w:val="left"/>
              <w:rPr>
                <w:rFonts w:ascii="仿宋" w:hAnsi="仿宋" w:eastAsia="仿宋" w:cs="仿宋"/>
                <w:sz w:val="24"/>
              </w:rPr>
            </w:pPr>
            <w:r>
              <w:rPr>
                <w:rFonts w:hint="eastAsia" w:ascii="仿宋" w:hAnsi="仿宋" w:eastAsia="仿宋" w:cs="仿宋"/>
                <w:sz w:val="24"/>
              </w:rPr>
              <w:t>3.配套设备故障，不影响整体业务流程。</w:t>
            </w:r>
          </w:p>
        </w:tc>
        <w:tc>
          <w:tcPr>
            <w:tcW w:w="1780" w:type="pct"/>
            <w:tcMar>
              <w:top w:w="60" w:type="dxa"/>
              <w:left w:w="120" w:type="dxa"/>
              <w:bottom w:w="30" w:type="dxa"/>
              <w:right w:w="120" w:type="dxa"/>
            </w:tcMar>
          </w:tcPr>
          <w:p w14:paraId="63EABFE1">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30分钟内必须响应，出具处置方案；</w:t>
            </w:r>
          </w:p>
          <w:p w14:paraId="21B04203">
            <w:pPr>
              <w:snapToGrid w:val="0"/>
              <w:spacing w:line="360" w:lineRule="auto"/>
              <w:jc w:val="left"/>
              <w:rPr>
                <w:rFonts w:ascii="仿宋" w:hAnsi="仿宋" w:eastAsia="仿宋" w:cs="仿宋"/>
                <w:sz w:val="24"/>
              </w:rPr>
            </w:pPr>
            <w:r>
              <w:rPr>
                <w:rFonts w:hint="eastAsia" w:ascii="仿宋" w:hAnsi="仿宋" w:eastAsia="仿宋" w:cs="仿宋"/>
                <w:sz w:val="24"/>
              </w:rPr>
              <w:t>2. 12小时内到达现场或通过远程方式完成故障处置；</w:t>
            </w:r>
          </w:p>
          <w:p w14:paraId="61E79F6A">
            <w:pPr>
              <w:snapToGrid w:val="0"/>
              <w:spacing w:line="360" w:lineRule="auto"/>
              <w:jc w:val="left"/>
              <w:rPr>
                <w:rFonts w:ascii="仿宋" w:hAnsi="仿宋" w:eastAsia="仿宋" w:cs="仿宋"/>
                <w:sz w:val="24"/>
              </w:rPr>
            </w:pPr>
            <w:r>
              <w:rPr>
                <w:rFonts w:hint="eastAsia" w:ascii="仿宋" w:hAnsi="仿宋" w:eastAsia="仿宋" w:cs="仿宋"/>
                <w:sz w:val="24"/>
              </w:rPr>
              <w:t>3. 24小时内完成故障修复，闭环处置问题。</w:t>
            </w:r>
          </w:p>
        </w:tc>
      </w:tr>
      <w:tr w14:paraId="0E3A7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0" w:type="pct"/>
            <w:tcMar>
              <w:top w:w="60" w:type="dxa"/>
              <w:left w:w="120" w:type="dxa"/>
              <w:bottom w:w="30" w:type="dxa"/>
              <w:right w:w="120" w:type="dxa"/>
            </w:tcMar>
            <w:vAlign w:val="center"/>
          </w:tcPr>
          <w:p w14:paraId="36BBB5DD">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932" w:type="pct"/>
            <w:tcMar>
              <w:top w:w="60" w:type="dxa"/>
              <w:left w:w="120" w:type="dxa"/>
              <w:bottom w:w="30" w:type="dxa"/>
              <w:right w:w="120" w:type="dxa"/>
            </w:tcMar>
            <w:vAlign w:val="center"/>
          </w:tcPr>
          <w:p w14:paraId="5DDD034A">
            <w:pPr>
              <w:snapToGrid w:val="0"/>
              <w:spacing w:line="360" w:lineRule="auto"/>
              <w:jc w:val="center"/>
              <w:rPr>
                <w:rFonts w:ascii="仿宋" w:hAnsi="仿宋" w:eastAsia="仿宋" w:cs="仿宋"/>
                <w:sz w:val="24"/>
              </w:rPr>
            </w:pPr>
            <w:r>
              <w:rPr>
                <w:rFonts w:hint="eastAsia" w:ascii="仿宋" w:hAnsi="仿宋" w:eastAsia="仿宋" w:cs="仿宋"/>
                <w:sz w:val="24"/>
              </w:rPr>
              <w:t>四级故障（轻微）</w:t>
            </w:r>
          </w:p>
        </w:tc>
        <w:tc>
          <w:tcPr>
            <w:tcW w:w="1865" w:type="pct"/>
            <w:tcMar>
              <w:top w:w="60" w:type="dxa"/>
              <w:left w:w="120" w:type="dxa"/>
              <w:bottom w:w="30" w:type="dxa"/>
              <w:right w:w="120" w:type="dxa"/>
            </w:tcMar>
          </w:tcPr>
          <w:p w14:paraId="7E2A7D25">
            <w:pPr>
              <w:snapToGrid w:val="0"/>
              <w:spacing w:line="360" w:lineRule="auto"/>
              <w:jc w:val="left"/>
              <w:rPr>
                <w:rFonts w:ascii="仿宋" w:hAnsi="仿宋" w:eastAsia="仿宋" w:cs="仿宋"/>
                <w:sz w:val="24"/>
              </w:rPr>
            </w:pPr>
            <w:r>
              <w:rPr>
                <w:rFonts w:hint="eastAsia" w:ascii="仿宋" w:hAnsi="仿宋" w:eastAsia="仿宋" w:cs="仿宋"/>
                <w:sz w:val="24"/>
              </w:rPr>
              <w:t>1. 系统出现一般性操作问题、界面显示异常，对患者就医、系统运行几乎无影响；</w:t>
            </w:r>
          </w:p>
          <w:p w14:paraId="53125872">
            <w:pPr>
              <w:snapToGrid w:val="0"/>
              <w:spacing w:line="360" w:lineRule="auto"/>
              <w:jc w:val="left"/>
              <w:rPr>
                <w:rFonts w:ascii="仿宋" w:hAnsi="仿宋" w:eastAsia="仿宋" w:cs="仿宋"/>
                <w:sz w:val="24"/>
              </w:rPr>
            </w:pPr>
            <w:r>
              <w:rPr>
                <w:rFonts w:hint="eastAsia" w:ascii="仿宋" w:hAnsi="仿宋" w:eastAsia="仿宋" w:cs="仿宋"/>
                <w:sz w:val="24"/>
              </w:rPr>
              <w:t>2. 医护人员提出的系统操作咨询、功能配置调整等非故障类服务请求。</w:t>
            </w:r>
          </w:p>
        </w:tc>
        <w:tc>
          <w:tcPr>
            <w:tcW w:w="1780" w:type="pct"/>
            <w:tcMar>
              <w:top w:w="60" w:type="dxa"/>
              <w:left w:w="120" w:type="dxa"/>
              <w:bottom w:w="30" w:type="dxa"/>
              <w:right w:w="120" w:type="dxa"/>
            </w:tcMar>
          </w:tcPr>
          <w:p w14:paraId="70639839">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30分钟内必须响应，提供技术指导与解决方案；</w:t>
            </w:r>
          </w:p>
          <w:p w14:paraId="7440B9A9">
            <w:pPr>
              <w:snapToGrid w:val="0"/>
              <w:spacing w:line="360" w:lineRule="auto"/>
              <w:jc w:val="left"/>
              <w:rPr>
                <w:rFonts w:ascii="仿宋" w:hAnsi="仿宋" w:eastAsia="仿宋" w:cs="仿宋"/>
                <w:sz w:val="24"/>
              </w:rPr>
            </w:pPr>
            <w:r>
              <w:rPr>
                <w:rFonts w:hint="eastAsia" w:ascii="仿宋" w:hAnsi="仿宋" w:eastAsia="仿宋" w:cs="仿宋"/>
                <w:sz w:val="24"/>
              </w:rPr>
              <w:t>2. 24小时内通过远程或现场方式完成处置；</w:t>
            </w:r>
          </w:p>
          <w:p w14:paraId="31EFA5D4">
            <w:pPr>
              <w:snapToGrid w:val="0"/>
              <w:spacing w:line="360" w:lineRule="auto"/>
              <w:jc w:val="left"/>
              <w:rPr>
                <w:rFonts w:ascii="仿宋" w:hAnsi="仿宋" w:eastAsia="仿宋" w:cs="仿宋"/>
                <w:sz w:val="24"/>
              </w:rPr>
            </w:pPr>
            <w:r>
              <w:rPr>
                <w:rFonts w:hint="eastAsia" w:ascii="仿宋" w:hAnsi="仿宋" w:eastAsia="仿宋" w:cs="仿宋"/>
                <w:sz w:val="24"/>
              </w:rPr>
              <w:t>3. 48小时内完成问题闭环。</w:t>
            </w:r>
          </w:p>
        </w:tc>
      </w:tr>
    </w:tbl>
    <w:p w14:paraId="0DC916C0">
      <w:pPr>
        <w:snapToGrid w:val="0"/>
        <w:spacing w:line="360" w:lineRule="auto"/>
        <w:jc w:val="left"/>
        <w:rPr>
          <w:rFonts w:ascii="仿宋" w:hAnsi="仿宋" w:eastAsia="仿宋" w:cs="仿宋"/>
          <w:sz w:val="24"/>
        </w:rPr>
      </w:pPr>
      <w:bookmarkStart w:id="13" w:name="heading_30"/>
      <w:r>
        <w:rPr>
          <w:rFonts w:hint="eastAsia" w:ascii="仿宋" w:hAnsi="仿宋" w:eastAsia="仿宋" w:cs="仿宋"/>
          <w:b/>
          <w:sz w:val="24"/>
        </w:rPr>
        <w:t>4. 售后运维服务核心要求</w:t>
      </w:r>
      <w:bookmarkEnd w:id="13"/>
    </w:p>
    <w:p w14:paraId="76ADB52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服务商须严格按照以下要求提供全流程售后运维服务，可依据自身技术能力提供增值服务，但不得低于以下标准要求，所有服务须留存完整、可追溯的工作记录，接受采购人全程监督。</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545"/>
        <w:gridCol w:w="819"/>
        <w:gridCol w:w="5048"/>
        <w:gridCol w:w="1362"/>
        <w:gridCol w:w="1364"/>
      </w:tblGrid>
      <w:tr w14:paraId="15394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8" w:type="pct"/>
            <w:tcMar>
              <w:top w:w="60" w:type="dxa"/>
              <w:left w:w="120" w:type="dxa"/>
              <w:bottom w:w="30" w:type="dxa"/>
              <w:right w:w="120" w:type="dxa"/>
            </w:tcMar>
            <w:vAlign w:val="center"/>
          </w:tcPr>
          <w:p w14:paraId="64FEF0FC">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448" w:type="pct"/>
            <w:tcMar>
              <w:top w:w="60" w:type="dxa"/>
              <w:left w:w="120" w:type="dxa"/>
              <w:bottom w:w="30" w:type="dxa"/>
              <w:right w:w="120" w:type="dxa"/>
            </w:tcMar>
            <w:vAlign w:val="center"/>
          </w:tcPr>
          <w:p w14:paraId="02838B39">
            <w:pPr>
              <w:snapToGrid w:val="0"/>
              <w:spacing w:line="360" w:lineRule="auto"/>
              <w:jc w:val="center"/>
              <w:rPr>
                <w:rFonts w:ascii="仿宋" w:hAnsi="仿宋" w:eastAsia="仿宋" w:cs="仿宋"/>
                <w:b/>
                <w:sz w:val="24"/>
              </w:rPr>
            </w:pPr>
            <w:r>
              <w:rPr>
                <w:rFonts w:hint="eastAsia" w:ascii="仿宋" w:hAnsi="仿宋" w:eastAsia="仿宋" w:cs="仿宋"/>
                <w:b/>
                <w:sz w:val="24"/>
              </w:rPr>
              <w:t>服务项目</w:t>
            </w:r>
          </w:p>
        </w:tc>
        <w:tc>
          <w:tcPr>
            <w:tcW w:w="2761" w:type="pct"/>
            <w:tcMar>
              <w:top w:w="60" w:type="dxa"/>
              <w:left w:w="120" w:type="dxa"/>
              <w:bottom w:w="30" w:type="dxa"/>
              <w:right w:w="120" w:type="dxa"/>
            </w:tcMar>
            <w:vAlign w:val="center"/>
          </w:tcPr>
          <w:p w14:paraId="32857CD3">
            <w:pPr>
              <w:snapToGrid w:val="0"/>
              <w:spacing w:line="360" w:lineRule="auto"/>
              <w:jc w:val="center"/>
              <w:rPr>
                <w:rFonts w:ascii="仿宋" w:hAnsi="仿宋" w:eastAsia="仿宋" w:cs="仿宋"/>
                <w:b/>
                <w:sz w:val="24"/>
              </w:rPr>
            </w:pPr>
            <w:r>
              <w:rPr>
                <w:rFonts w:hint="eastAsia" w:ascii="仿宋" w:hAnsi="仿宋" w:eastAsia="仿宋" w:cs="仿宋"/>
                <w:b/>
                <w:sz w:val="24"/>
              </w:rPr>
              <w:t>服务内涵</w:t>
            </w:r>
          </w:p>
        </w:tc>
        <w:tc>
          <w:tcPr>
            <w:tcW w:w="745" w:type="pct"/>
            <w:tcMar>
              <w:top w:w="60" w:type="dxa"/>
              <w:left w:w="120" w:type="dxa"/>
              <w:bottom w:w="30" w:type="dxa"/>
              <w:right w:w="120" w:type="dxa"/>
            </w:tcMar>
            <w:vAlign w:val="center"/>
          </w:tcPr>
          <w:p w14:paraId="221D64F1">
            <w:pPr>
              <w:snapToGrid w:val="0"/>
              <w:spacing w:line="360" w:lineRule="auto"/>
              <w:jc w:val="center"/>
              <w:rPr>
                <w:rFonts w:ascii="仿宋" w:hAnsi="仿宋" w:eastAsia="仿宋" w:cs="仿宋"/>
                <w:b/>
                <w:sz w:val="24"/>
              </w:rPr>
            </w:pPr>
            <w:r>
              <w:rPr>
                <w:rFonts w:hint="eastAsia" w:ascii="仿宋" w:hAnsi="仿宋" w:eastAsia="仿宋" w:cs="仿宋"/>
                <w:b/>
                <w:sz w:val="24"/>
              </w:rPr>
              <w:t>服务方式</w:t>
            </w:r>
          </w:p>
        </w:tc>
        <w:tc>
          <w:tcPr>
            <w:tcW w:w="746" w:type="pct"/>
            <w:tcMar>
              <w:top w:w="60" w:type="dxa"/>
              <w:left w:w="120" w:type="dxa"/>
              <w:bottom w:w="30" w:type="dxa"/>
              <w:right w:w="120" w:type="dxa"/>
            </w:tcMar>
            <w:vAlign w:val="center"/>
          </w:tcPr>
          <w:p w14:paraId="03D555A5">
            <w:pPr>
              <w:snapToGrid w:val="0"/>
              <w:spacing w:line="360" w:lineRule="auto"/>
              <w:jc w:val="center"/>
              <w:rPr>
                <w:rFonts w:ascii="仿宋" w:hAnsi="仿宋" w:eastAsia="仿宋" w:cs="仿宋"/>
                <w:b/>
                <w:sz w:val="24"/>
              </w:rPr>
            </w:pPr>
            <w:r>
              <w:rPr>
                <w:rFonts w:hint="eastAsia" w:ascii="仿宋" w:hAnsi="仿宋" w:eastAsia="仿宋" w:cs="仿宋"/>
                <w:b/>
                <w:sz w:val="24"/>
              </w:rPr>
              <w:t>服务频次/次数要求</w:t>
            </w:r>
          </w:p>
        </w:tc>
      </w:tr>
      <w:tr w14:paraId="630E8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8" w:type="pct"/>
            <w:tcMar>
              <w:top w:w="60" w:type="dxa"/>
              <w:left w:w="120" w:type="dxa"/>
              <w:bottom w:w="30" w:type="dxa"/>
              <w:right w:w="120" w:type="dxa"/>
            </w:tcMar>
            <w:vAlign w:val="center"/>
          </w:tcPr>
          <w:p w14:paraId="3F063C4C">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448" w:type="pct"/>
            <w:tcMar>
              <w:top w:w="60" w:type="dxa"/>
              <w:left w:w="120" w:type="dxa"/>
              <w:bottom w:w="30" w:type="dxa"/>
              <w:right w:w="120" w:type="dxa"/>
            </w:tcMar>
            <w:vAlign w:val="center"/>
          </w:tcPr>
          <w:p w14:paraId="0733962A">
            <w:pPr>
              <w:snapToGrid w:val="0"/>
              <w:spacing w:line="360" w:lineRule="auto"/>
              <w:jc w:val="center"/>
              <w:rPr>
                <w:rFonts w:ascii="仿宋" w:hAnsi="仿宋" w:eastAsia="仿宋" w:cs="仿宋"/>
                <w:sz w:val="24"/>
              </w:rPr>
            </w:pPr>
            <w:r>
              <w:rPr>
                <w:rFonts w:hint="eastAsia" w:ascii="仿宋" w:hAnsi="仿宋" w:eastAsia="仿宋" w:cs="仿宋"/>
                <w:sz w:val="24"/>
              </w:rPr>
              <w:t>信息系统基础运维服务</w:t>
            </w:r>
          </w:p>
        </w:tc>
        <w:tc>
          <w:tcPr>
            <w:tcW w:w="2761" w:type="pct"/>
            <w:tcMar>
              <w:top w:w="60" w:type="dxa"/>
              <w:left w:w="120" w:type="dxa"/>
              <w:bottom w:w="30" w:type="dxa"/>
              <w:right w:w="120" w:type="dxa"/>
            </w:tcMar>
            <w:vAlign w:val="center"/>
          </w:tcPr>
          <w:p w14:paraId="4639408C">
            <w:pPr>
              <w:snapToGrid w:val="0"/>
              <w:spacing w:line="360" w:lineRule="auto"/>
              <w:rPr>
                <w:rFonts w:ascii="仿宋" w:hAnsi="仿宋" w:eastAsia="仿宋" w:cs="仿宋"/>
                <w:sz w:val="24"/>
              </w:rPr>
            </w:pPr>
            <w:r>
              <w:rPr>
                <w:rFonts w:hint="eastAsia" w:ascii="仿宋" w:hAnsi="仿宋" w:eastAsia="仿宋" w:cs="仿宋"/>
                <w:sz w:val="24"/>
              </w:rPr>
              <w:t>1. 上表所列全部系统模块的软件操作指导、故障排查、bug修复、配置管理服务；</w:t>
            </w:r>
          </w:p>
          <w:p w14:paraId="3C1A2D45">
            <w:pPr>
              <w:snapToGrid w:val="0"/>
              <w:spacing w:line="360" w:lineRule="auto"/>
              <w:rPr>
                <w:rFonts w:ascii="仿宋" w:hAnsi="仿宋" w:eastAsia="仿宋" w:cs="仿宋"/>
                <w:sz w:val="24"/>
              </w:rPr>
            </w:pPr>
            <w:r>
              <w:rPr>
                <w:rFonts w:hint="eastAsia" w:ascii="仿宋" w:hAnsi="仿宋" w:eastAsia="仿宋" w:cs="仿宋"/>
                <w:sz w:val="24"/>
              </w:rPr>
              <w:t>2. 系统死机、数据错误、数据抽取异常、上报校验失败、运行兼容性问题等全场景故障处置；</w:t>
            </w:r>
          </w:p>
          <w:p w14:paraId="0E31F729">
            <w:pPr>
              <w:snapToGrid w:val="0"/>
              <w:spacing w:line="360" w:lineRule="auto"/>
              <w:rPr>
                <w:rFonts w:ascii="仿宋" w:hAnsi="仿宋" w:eastAsia="仿宋" w:cs="仿宋"/>
                <w:sz w:val="24"/>
              </w:rPr>
            </w:pPr>
            <w:r>
              <w:rPr>
                <w:rFonts w:hint="eastAsia" w:ascii="仿宋" w:hAnsi="仿宋" w:eastAsia="仿宋" w:cs="仿宋"/>
                <w:sz w:val="24"/>
              </w:rPr>
              <w:t>3. 系统运行环境适配、显示异常、运行效率降低等问题的优化处置；</w:t>
            </w:r>
          </w:p>
          <w:p w14:paraId="433B0715">
            <w:pPr>
              <w:snapToGrid w:val="0"/>
              <w:spacing w:line="360" w:lineRule="auto"/>
              <w:rPr>
                <w:rFonts w:ascii="仿宋" w:hAnsi="仿宋" w:eastAsia="仿宋" w:cs="仿宋"/>
                <w:sz w:val="24"/>
              </w:rPr>
            </w:pPr>
            <w:r>
              <w:rPr>
                <w:rFonts w:hint="eastAsia" w:ascii="仿宋" w:hAnsi="仿宋" w:eastAsia="仿宋" w:cs="仿宋"/>
                <w:sz w:val="24"/>
              </w:rPr>
              <w:t>4. 系统与院内其他信息系统、国家/省级单病种上报平台的接口运维、适配调整、故障修复，确保数据采集与上报全流程畅通；</w:t>
            </w:r>
          </w:p>
          <w:p w14:paraId="69578977">
            <w:pPr>
              <w:snapToGrid w:val="0"/>
              <w:spacing w:line="360" w:lineRule="auto"/>
              <w:rPr>
                <w:rFonts w:ascii="仿宋" w:hAnsi="仿宋" w:eastAsia="仿宋" w:cs="仿宋"/>
                <w:sz w:val="24"/>
              </w:rPr>
            </w:pPr>
            <w:r>
              <w:rPr>
                <w:rFonts w:hint="eastAsia" w:ascii="仿宋" w:hAnsi="仿宋" w:eastAsia="仿宋" w:cs="仿宋"/>
                <w:sz w:val="24"/>
              </w:rPr>
              <w:t>5. 系统终端设备、服务器运行状态的定期巡检与隐患排查。</w:t>
            </w:r>
          </w:p>
        </w:tc>
        <w:tc>
          <w:tcPr>
            <w:tcW w:w="745" w:type="pct"/>
            <w:tcMar>
              <w:top w:w="60" w:type="dxa"/>
              <w:left w:w="120" w:type="dxa"/>
              <w:bottom w:w="30" w:type="dxa"/>
              <w:right w:w="120" w:type="dxa"/>
            </w:tcMar>
            <w:vAlign w:val="center"/>
          </w:tcPr>
          <w:p w14:paraId="35A31F06">
            <w:pPr>
              <w:snapToGrid w:val="0"/>
              <w:spacing w:line="360" w:lineRule="auto"/>
              <w:jc w:val="center"/>
              <w:rPr>
                <w:rFonts w:ascii="仿宋" w:hAnsi="仿宋" w:eastAsia="仿宋" w:cs="仿宋"/>
                <w:sz w:val="24"/>
              </w:rPr>
            </w:pPr>
            <w:r>
              <w:rPr>
                <w:rFonts w:hint="eastAsia" w:ascii="仿宋" w:hAnsi="仿宋" w:eastAsia="仿宋" w:cs="仿宋"/>
                <w:sz w:val="24"/>
              </w:rPr>
              <w:t>7×24小时热线服务、安全远程运维服务、现场驻场/上门服务</w:t>
            </w:r>
          </w:p>
        </w:tc>
        <w:tc>
          <w:tcPr>
            <w:tcW w:w="746" w:type="pct"/>
            <w:tcMar>
              <w:top w:w="60" w:type="dxa"/>
              <w:left w:w="120" w:type="dxa"/>
              <w:bottom w:w="30" w:type="dxa"/>
              <w:right w:w="120" w:type="dxa"/>
            </w:tcMar>
            <w:vAlign w:val="center"/>
          </w:tcPr>
          <w:p w14:paraId="08CA830C">
            <w:pPr>
              <w:snapToGrid w:val="0"/>
              <w:spacing w:line="360" w:lineRule="auto"/>
              <w:jc w:val="center"/>
              <w:rPr>
                <w:rFonts w:ascii="仿宋" w:hAnsi="仿宋" w:eastAsia="仿宋" w:cs="仿宋"/>
                <w:sz w:val="24"/>
              </w:rPr>
            </w:pPr>
            <w:r>
              <w:rPr>
                <w:rFonts w:hint="eastAsia" w:ascii="仿宋" w:hAnsi="仿宋" w:eastAsia="仿宋" w:cs="仿宋"/>
                <w:sz w:val="24"/>
              </w:rPr>
              <w:t>不限次数，全时段响应</w:t>
            </w:r>
          </w:p>
        </w:tc>
      </w:tr>
      <w:tr w14:paraId="1D108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8" w:type="pct"/>
            <w:tcMar>
              <w:top w:w="60" w:type="dxa"/>
              <w:left w:w="120" w:type="dxa"/>
              <w:bottom w:w="30" w:type="dxa"/>
              <w:right w:w="120" w:type="dxa"/>
            </w:tcMar>
            <w:vAlign w:val="center"/>
          </w:tcPr>
          <w:p w14:paraId="3631D99E">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448" w:type="pct"/>
            <w:tcMar>
              <w:top w:w="60" w:type="dxa"/>
              <w:left w:w="120" w:type="dxa"/>
              <w:bottom w:w="30" w:type="dxa"/>
              <w:right w:w="120" w:type="dxa"/>
            </w:tcMar>
            <w:vAlign w:val="center"/>
          </w:tcPr>
          <w:p w14:paraId="72FA98D4">
            <w:pPr>
              <w:snapToGrid w:val="0"/>
              <w:spacing w:line="360" w:lineRule="auto"/>
              <w:jc w:val="center"/>
              <w:rPr>
                <w:rFonts w:ascii="仿宋" w:hAnsi="仿宋" w:eastAsia="仿宋" w:cs="仿宋"/>
                <w:sz w:val="24"/>
              </w:rPr>
            </w:pPr>
            <w:r>
              <w:rPr>
                <w:rFonts w:hint="eastAsia" w:ascii="仿宋" w:hAnsi="仿宋" w:eastAsia="仿宋" w:cs="仿宋"/>
                <w:sz w:val="24"/>
              </w:rPr>
              <w:t>数据库专项运维服务</w:t>
            </w:r>
          </w:p>
        </w:tc>
        <w:tc>
          <w:tcPr>
            <w:tcW w:w="2761" w:type="pct"/>
            <w:tcMar>
              <w:top w:w="60" w:type="dxa"/>
              <w:left w:w="120" w:type="dxa"/>
              <w:bottom w:w="30" w:type="dxa"/>
              <w:right w:w="120" w:type="dxa"/>
            </w:tcMar>
            <w:vAlign w:val="center"/>
          </w:tcPr>
          <w:p w14:paraId="444420F5">
            <w:pPr>
              <w:snapToGrid w:val="0"/>
              <w:spacing w:line="360" w:lineRule="auto"/>
              <w:rPr>
                <w:rFonts w:ascii="仿宋" w:hAnsi="仿宋" w:eastAsia="仿宋" w:cs="仿宋"/>
                <w:sz w:val="24"/>
              </w:rPr>
            </w:pPr>
            <w:r>
              <w:rPr>
                <w:rFonts w:hint="eastAsia" w:ascii="仿宋" w:hAnsi="仿宋" w:eastAsia="仿宋" w:cs="仿宋"/>
                <w:sz w:val="24"/>
              </w:rPr>
              <w:t>1. 每月开展数据库全量巡检，检查内容包括服务器系统日志、磁盘空间、CPU/内存使用率、数据库表空间、数据文件大小、数据库运行日志、异常操作审计日志等，及时发现并处置潜在风险；</w:t>
            </w:r>
          </w:p>
          <w:p w14:paraId="742FE1A6">
            <w:pPr>
              <w:snapToGrid w:val="0"/>
              <w:spacing w:line="360" w:lineRule="auto"/>
              <w:rPr>
                <w:rFonts w:ascii="仿宋" w:hAnsi="仿宋" w:eastAsia="仿宋" w:cs="仿宋"/>
                <w:sz w:val="24"/>
              </w:rPr>
            </w:pPr>
            <w:r>
              <w:rPr>
                <w:rFonts w:hint="eastAsia" w:ascii="仿宋" w:hAnsi="仿宋" w:eastAsia="仿宋" w:cs="仿宋"/>
                <w:sz w:val="24"/>
              </w:rPr>
              <w:t>2. 每季度完成数据库安全加固、高危漏洞修复，确保数据库符合等保合规要求；</w:t>
            </w:r>
          </w:p>
          <w:p w14:paraId="6724D38A">
            <w:pPr>
              <w:snapToGrid w:val="0"/>
              <w:spacing w:line="360" w:lineRule="auto"/>
              <w:rPr>
                <w:rFonts w:ascii="仿宋" w:hAnsi="仿宋" w:eastAsia="仿宋" w:cs="仿宋"/>
                <w:sz w:val="24"/>
              </w:rPr>
            </w:pPr>
            <w:r>
              <w:rPr>
                <w:rFonts w:hint="eastAsia" w:ascii="仿宋" w:hAnsi="仿宋" w:eastAsia="仿宋" w:cs="仿宋"/>
                <w:sz w:val="24"/>
              </w:rPr>
              <w:t>3. 提供同版本数据库迁移、数据备份与恢复服务，配合采购人完成数据备份有效性验证；</w:t>
            </w:r>
          </w:p>
          <w:p w14:paraId="3088BB99">
            <w:pPr>
              <w:snapToGrid w:val="0"/>
              <w:spacing w:line="360" w:lineRule="auto"/>
              <w:rPr>
                <w:rFonts w:ascii="仿宋" w:hAnsi="仿宋" w:eastAsia="仿宋" w:cs="仿宋"/>
                <w:sz w:val="24"/>
              </w:rPr>
            </w:pPr>
            <w:r>
              <w:rPr>
                <w:rFonts w:hint="eastAsia" w:ascii="仿宋" w:hAnsi="仿宋" w:eastAsia="仿宋" w:cs="仿宋"/>
                <w:sz w:val="24"/>
              </w:rPr>
              <w:t>4. 针对巡检发现的问题，完成数据库性能优化、参数调整，保障数据库持续处于最佳运行状态；</w:t>
            </w:r>
          </w:p>
          <w:p w14:paraId="487C1609">
            <w:pPr>
              <w:snapToGrid w:val="0"/>
              <w:spacing w:line="360" w:lineRule="auto"/>
              <w:rPr>
                <w:rFonts w:ascii="仿宋" w:hAnsi="仿宋" w:eastAsia="仿宋" w:cs="仿宋"/>
                <w:sz w:val="24"/>
              </w:rPr>
            </w:pPr>
            <w:r>
              <w:rPr>
                <w:rFonts w:hint="eastAsia" w:ascii="仿宋" w:hAnsi="仿宋" w:eastAsia="仿宋" w:cs="仿宋"/>
                <w:sz w:val="24"/>
              </w:rPr>
              <w:t>5. 数据库故障的应急处置，保障单病种医疗数据、患者信息不丢失、不泄露、不篡改。</w:t>
            </w:r>
          </w:p>
        </w:tc>
        <w:tc>
          <w:tcPr>
            <w:tcW w:w="745" w:type="pct"/>
            <w:tcMar>
              <w:top w:w="60" w:type="dxa"/>
              <w:left w:w="120" w:type="dxa"/>
              <w:bottom w:w="30" w:type="dxa"/>
              <w:right w:w="120" w:type="dxa"/>
            </w:tcMar>
            <w:vAlign w:val="center"/>
          </w:tcPr>
          <w:p w14:paraId="58B3AAF3">
            <w:pPr>
              <w:snapToGrid w:val="0"/>
              <w:spacing w:line="360" w:lineRule="auto"/>
              <w:jc w:val="center"/>
              <w:rPr>
                <w:rFonts w:ascii="仿宋" w:hAnsi="仿宋" w:eastAsia="仿宋" w:cs="仿宋"/>
                <w:sz w:val="24"/>
              </w:rPr>
            </w:pPr>
            <w:r>
              <w:rPr>
                <w:rFonts w:hint="eastAsia" w:ascii="仿宋" w:hAnsi="仿宋" w:eastAsia="仿宋" w:cs="仿宋"/>
                <w:sz w:val="24"/>
              </w:rPr>
              <w:t>热线服务、安全远程服务、现场服务</w:t>
            </w:r>
          </w:p>
        </w:tc>
        <w:tc>
          <w:tcPr>
            <w:tcW w:w="746" w:type="pct"/>
            <w:tcMar>
              <w:top w:w="60" w:type="dxa"/>
              <w:left w:w="120" w:type="dxa"/>
              <w:bottom w:w="30" w:type="dxa"/>
              <w:right w:w="120" w:type="dxa"/>
            </w:tcMar>
            <w:vAlign w:val="center"/>
          </w:tcPr>
          <w:p w14:paraId="0A861B36">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不限次数，每月至少1次全量巡检，每季度至少1次性能优化，每年至少2次备份恢复演练</w:t>
            </w:r>
          </w:p>
        </w:tc>
      </w:tr>
      <w:tr w14:paraId="0139F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8" w:type="pct"/>
            <w:tcMar>
              <w:top w:w="60" w:type="dxa"/>
              <w:left w:w="120" w:type="dxa"/>
              <w:bottom w:w="30" w:type="dxa"/>
              <w:right w:w="120" w:type="dxa"/>
            </w:tcMar>
            <w:vAlign w:val="center"/>
          </w:tcPr>
          <w:p w14:paraId="6B0D431A">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448" w:type="pct"/>
            <w:tcMar>
              <w:top w:w="60" w:type="dxa"/>
              <w:left w:w="120" w:type="dxa"/>
              <w:bottom w:w="30" w:type="dxa"/>
              <w:right w:w="120" w:type="dxa"/>
            </w:tcMar>
            <w:vAlign w:val="center"/>
          </w:tcPr>
          <w:p w14:paraId="122B8A93">
            <w:pPr>
              <w:snapToGrid w:val="0"/>
              <w:spacing w:line="360" w:lineRule="auto"/>
              <w:jc w:val="center"/>
              <w:rPr>
                <w:rFonts w:ascii="仿宋" w:hAnsi="仿宋" w:eastAsia="仿宋" w:cs="仿宋"/>
                <w:sz w:val="24"/>
              </w:rPr>
            </w:pPr>
            <w:r>
              <w:rPr>
                <w:rFonts w:hint="eastAsia" w:ascii="仿宋" w:hAnsi="仿宋" w:eastAsia="仿宋" w:cs="仿宋"/>
                <w:sz w:val="24"/>
              </w:rPr>
              <w:t>信息系统升级更新服务</w:t>
            </w:r>
          </w:p>
        </w:tc>
        <w:tc>
          <w:tcPr>
            <w:tcW w:w="2761" w:type="pct"/>
            <w:tcMar>
              <w:top w:w="60" w:type="dxa"/>
              <w:left w:w="120" w:type="dxa"/>
              <w:bottom w:w="30" w:type="dxa"/>
              <w:right w:w="120" w:type="dxa"/>
            </w:tcMar>
            <w:vAlign w:val="center"/>
          </w:tcPr>
          <w:p w14:paraId="61B966FD">
            <w:pPr>
              <w:snapToGrid w:val="0"/>
              <w:spacing w:line="360" w:lineRule="auto"/>
              <w:rPr>
                <w:rFonts w:ascii="仿宋" w:hAnsi="仿宋" w:eastAsia="仿宋" w:cs="仿宋"/>
                <w:sz w:val="24"/>
              </w:rPr>
            </w:pPr>
            <w:r>
              <w:rPr>
                <w:rFonts w:hint="eastAsia" w:ascii="仿宋" w:hAnsi="仿宋" w:eastAsia="仿宋" w:cs="仿宋"/>
                <w:sz w:val="24"/>
              </w:rPr>
              <w:t>1. 依据国家、省、市卫健部门新增或变更的单病种管理政策、上报标准、质控要求，免费、及时完成系统的合规性适配与更新服务，确保系统符合最新监管要求；</w:t>
            </w:r>
          </w:p>
          <w:p w14:paraId="1946BB7E">
            <w:pPr>
              <w:snapToGrid w:val="0"/>
              <w:spacing w:line="360" w:lineRule="auto"/>
              <w:rPr>
                <w:rFonts w:ascii="仿宋" w:hAnsi="仿宋" w:eastAsia="仿宋" w:cs="仿宋"/>
                <w:sz w:val="24"/>
              </w:rPr>
            </w:pPr>
            <w:r>
              <w:rPr>
                <w:rFonts w:hint="eastAsia" w:ascii="仿宋" w:hAnsi="仿宋" w:eastAsia="仿宋" w:cs="仿宋"/>
                <w:sz w:val="24"/>
              </w:rPr>
              <w:t>2. 提供系统同版本内的免费升级、功能优化服务，组织专业技术人员完成升级方案制定、测试、上线全流程工作，确保升级过程不影响医院正常业务与数据上报工作；</w:t>
            </w:r>
          </w:p>
          <w:p w14:paraId="047B4D9F">
            <w:pPr>
              <w:snapToGrid w:val="0"/>
              <w:spacing w:line="360" w:lineRule="auto"/>
              <w:rPr>
                <w:rFonts w:ascii="仿宋" w:hAnsi="仿宋" w:eastAsia="仿宋" w:cs="仿宋"/>
                <w:sz w:val="24"/>
              </w:rPr>
            </w:pPr>
            <w:r>
              <w:rPr>
                <w:rFonts w:hint="eastAsia" w:ascii="仿宋" w:hAnsi="仿宋" w:eastAsia="仿宋" w:cs="仿宋"/>
                <w:sz w:val="24"/>
              </w:rPr>
              <w:t>3. 定期完成系统安全补丁、漏洞修复包的安装与调试，每月完成高危漏洞排查与修复；</w:t>
            </w:r>
          </w:p>
          <w:p w14:paraId="07F1ABA5">
            <w:pPr>
              <w:snapToGrid w:val="0"/>
              <w:spacing w:line="360" w:lineRule="auto"/>
              <w:rPr>
                <w:rFonts w:ascii="仿宋" w:hAnsi="仿宋" w:eastAsia="仿宋" w:cs="仿宋"/>
                <w:sz w:val="24"/>
              </w:rPr>
            </w:pPr>
            <w:r>
              <w:rPr>
                <w:rFonts w:hint="eastAsia" w:ascii="仿宋" w:hAnsi="仿宋" w:eastAsia="仿宋" w:cs="仿宋"/>
                <w:sz w:val="24"/>
              </w:rPr>
              <w:t>4. 配合采购人完成网络安全等级保护测评、医院信息互联互通标准化成熟度测评、电子病历应用水平分级评价等相关工作，完成对应整改与系统适配。</w:t>
            </w:r>
          </w:p>
        </w:tc>
        <w:tc>
          <w:tcPr>
            <w:tcW w:w="745" w:type="pct"/>
            <w:tcMar>
              <w:top w:w="60" w:type="dxa"/>
              <w:left w:w="120" w:type="dxa"/>
              <w:bottom w:w="30" w:type="dxa"/>
              <w:right w:w="120" w:type="dxa"/>
            </w:tcMar>
            <w:vAlign w:val="center"/>
          </w:tcPr>
          <w:p w14:paraId="0311080A">
            <w:pPr>
              <w:snapToGrid w:val="0"/>
              <w:spacing w:line="360" w:lineRule="auto"/>
              <w:jc w:val="center"/>
              <w:rPr>
                <w:rFonts w:ascii="仿宋" w:hAnsi="仿宋" w:eastAsia="仿宋" w:cs="仿宋"/>
                <w:sz w:val="24"/>
              </w:rPr>
            </w:pPr>
            <w:r>
              <w:rPr>
                <w:rFonts w:hint="eastAsia" w:ascii="仿宋" w:hAnsi="仿宋" w:eastAsia="仿宋" w:cs="仿宋"/>
                <w:sz w:val="24"/>
              </w:rPr>
              <w:t>现场服务为主、远程辅助</w:t>
            </w:r>
          </w:p>
        </w:tc>
        <w:tc>
          <w:tcPr>
            <w:tcW w:w="746" w:type="pct"/>
            <w:tcMar>
              <w:top w:w="60" w:type="dxa"/>
              <w:left w:w="120" w:type="dxa"/>
              <w:bottom w:w="30" w:type="dxa"/>
              <w:right w:w="120" w:type="dxa"/>
            </w:tcMar>
            <w:vAlign w:val="center"/>
          </w:tcPr>
          <w:p w14:paraId="7D841B5E">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不限次数，每月至少1次安全补丁更新，政策/上报标准变更后10个工作日内完成合规适配</w:t>
            </w:r>
          </w:p>
        </w:tc>
      </w:tr>
      <w:tr w14:paraId="51FCD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8" w:type="pct"/>
            <w:tcMar>
              <w:top w:w="60" w:type="dxa"/>
              <w:left w:w="120" w:type="dxa"/>
              <w:bottom w:w="30" w:type="dxa"/>
              <w:right w:w="120" w:type="dxa"/>
            </w:tcMar>
            <w:vAlign w:val="center"/>
          </w:tcPr>
          <w:p w14:paraId="739BCBC2">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448" w:type="pct"/>
            <w:tcMar>
              <w:top w:w="60" w:type="dxa"/>
              <w:left w:w="120" w:type="dxa"/>
              <w:bottom w:w="30" w:type="dxa"/>
              <w:right w:w="120" w:type="dxa"/>
            </w:tcMar>
            <w:vAlign w:val="center"/>
          </w:tcPr>
          <w:p w14:paraId="7F824205">
            <w:pPr>
              <w:snapToGrid w:val="0"/>
              <w:spacing w:line="360" w:lineRule="auto"/>
              <w:jc w:val="center"/>
              <w:rPr>
                <w:rFonts w:ascii="仿宋" w:hAnsi="仿宋" w:eastAsia="仿宋" w:cs="仿宋"/>
                <w:sz w:val="24"/>
              </w:rPr>
            </w:pPr>
            <w:r>
              <w:rPr>
                <w:rFonts w:hint="eastAsia" w:ascii="仿宋" w:hAnsi="仿宋" w:eastAsia="仿宋" w:cs="仿宋"/>
                <w:sz w:val="24"/>
              </w:rPr>
              <w:t>报表开发服务</w:t>
            </w:r>
          </w:p>
        </w:tc>
        <w:tc>
          <w:tcPr>
            <w:tcW w:w="2761" w:type="pct"/>
            <w:tcMar>
              <w:top w:w="60" w:type="dxa"/>
              <w:left w:w="120" w:type="dxa"/>
              <w:bottom w:w="30" w:type="dxa"/>
              <w:right w:w="120" w:type="dxa"/>
            </w:tcMar>
            <w:vAlign w:val="center"/>
          </w:tcPr>
          <w:p w14:paraId="5DBC1101">
            <w:pPr>
              <w:snapToGrid w:val="0"/>
              <w:spacing w:line="360" w:lineRule="auto"/>
              <w:rPr>
                <w:rFonts w:ascii="仿宋" w:hAnsi="仿宋" w:eastAsia="仿宋" w:cs="仿宋"/>
                <w:sz w:val="24"/>
              </w:rPr>
            </w:pPr>
            <w:r>
              <w:rPr>
                <w:rFonts w:hint="eastAsia" w:ascii="仿宋" w:hAnsi="仿宋" w:eastAsia="仿宋" w:cs="仿宋"/>
                <w:sz w:val="24"/>
              </w:rPr>
              <w:t>1. 依据医院质控管理、科室管理需求，为院方提供新增报表开发、现有报表优化调整服务；</w:t>
            </w:r>
          </w:p>
          <w:p w14:paraId="6E730283">
            <w:pPr>
              <w:snapToGrid w:val="0"/>
              <w:spacing w:line="360" w:lineRule="auto"/>
              <w:rPr>
                <w:rFonts w:ascii="仿宋" w:hAnsi="仿宋" w:eastAsia="仿宋" w:cs="仿宋"/>
                <w:sz w:val="24"/>
              </w:rPr>
            </w:pPr>
            <w:r>
              <w:rPr>
                <w:rFonts w:hint="eastAsia" w:ascii="仿宋" w:hAnsi="仿宋" w:eastAsia="仿宋" w:cs="仿宋"/>
                <w:sz w:val="24"/>
              </w:rPr>
              <w:t>2. 报表开发需符合国家单病种质控指标要求，确保数据准确、可追溯，支持多维度统计、导出功能；</w:t>
            </w:r>
          </w:p>
          <w:p w14:paraId="738F4201">
            <w:pPr>
              <w:snapToGrid w:val="0"/>
              <w:spacing w:line="360" w:lineRule="auto"/>
              <w:rPr>
                <w:rFonts w:ascii="仿宋" w:hAnsi="仿宋" w:eastAsia="仿宋" w:cs="仿宋"/>
                <w:sz w:val="24"/>
              </w:rPr>
            </w:pPr>
            <w:r>
              <w:rPr>
                <w:rFonts w:hint="eastAsia" w:ascii="仿宋" w:hAnsi="仿宋" w:eastAsia="仿宋" w:cs="仿宋"/>
                <w:sz w:val="24"/>
              </w:rPr>
              <w:t>3. 针对国家政策调整、质控指标变更，及时完成对应报表的更新适配。</w:t>
            </w:r>
          </w:p>
        </w:tc>
        <w:tc>
          <w:tcPr>
            <w:tcW w:w="745" w:type="pct"/>
            <w:tcMar>
              <w:top w:w="60" w:type="dxa"/>
              <w:left w:w="120" w:type="dxa"/>
              <w:bottom w:w="30" w:type="dxa"/>
              <w:right w:w="120" w:type="dxa"/>
            </w:tcMar>
            <w:vAlign w:val="center"/>
          </w:tcPr>
          <w:p w14:paraId="499B66F1">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w:t>
            </w:r>
          </w:p>
        </w:tc>
        <w:tc>
          <w:tcPr>
            <w:tcW w:w="746" w:type="pct"/>
            <w:tcMar>
              <w:top w:w="60" w:type="dxa"/>
              <w:left w:w="120" w:type="dxa"/>
              <w:bottom w:w="30" w:type="dxa"/>
              <w:right w:w="120" w:type="dxa"/>
            </w:tcMar>
            <w:vAlign w:val="center"/>
          </w:tcPr>
          <w:p w14:paraId="00E6F883">
            <w:pPr>
              <w:snapToGrid w:val="0"/>
              <w:spacing w:line="360" w:lineRule="auto"/>
              <w:jc w:val="center"/>
              <w:rPr>
                <w:rFonts w:ascii="仿宋" w:hAnsi="仿宋" w:eastAsia="仿宋" w:cs="仿宋"/>
                <w:sz w:val="24"/>
              </w:rPr>
            </w:pPr>
            <w:r>
              <w:rPr>
                <w:rFonts w:hint="eastAsia" w:ascii="仿宋" w:hAnsi="仿宋" w:eastAsia="仿宋" w:cs="仿宋"/>
                <w:sz w:val="24"/>
              </w:rPr>
              <w:t>全年不少于10张，按需新增不限次数</w:t>
            </w:r>
          </w:p>
        </w:tc>
      </w:tr>
      <w:tr w14:paraId="738F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8" w:type="pct"/>
            <w:tcMar>
              <w:top w:w="60" w:type="dxa"/>
              <w:left w:w="120" w:type="dxa"/>
              <w:bottom w:w="30" w:type="dxa"/>
              <w:right w:w="120" w:type="dxa"/>
            </w:tcMar>
            <w:vAlign w:val="center"/>
          </w:tcPr>
          <w:p w14:paraId="2499C118">
            <w:pPr>
              <w:snapToGrid w:val="0"/>
              <w:spacing w:line="360" w:lineRule="auto"/>
              <w:jc w:val="center"/>
              <w:rPr>
                <w:rFonts w:ascii="仿宋" w:hAnsi="仿宋" w:eastAsia="仿宋" w:cs="仿宋"/>
                <w:sz w:val="24"/>
              </w:rPr>
            </w:pPr>
            <w:r>
              <w:rPr>
                <w:rFonts w:hint="eastAsia" w:ascii="仿宋" w:hAnsi="仿宋" w:eastAsia="仿宋" w:cs="仿宋"/>
                <w:sz w:val="24"/>
              </w:rPr>
              <w:t>5</w:t>
            </w:r>
          </w:p>
        </w:tc>
        <w:tc>
          <w:tcPr>
            <w:tcW w:w="448" w:type="pct"/>
            <w:tcMar>
              <w:top w:w="60" w:type="dxa"/>
              <w:left w:w="120" w:type="dxa"/>
              <w:bottom w:w="30" w:type="dxa"/>
              <w:right w:w="120" w:type="dxa"/>
            </w:tcMar>
            <w:vAlign w:val="center"/>
          </w:tcPr>
          <w:p w14:paraId="71A46156">
            <w:pPr>
              <w:snapToGrid w:val="0"/>
              <w:spacing w:line="360" w:lineRule="auto"/>
              <w:jc w:val="center"/>
              <w:rPr>
                <w:rFonts w:ascii="仿宋" w:hAnsi="仿宋" w:eastAsia="仿宋" w:cs="仿宋"/>
                <w:sz w:val="24"/>
              </w:rPr>
            </w:pPr>
            <w:r>
              <w:rPr>
                <w:rFonts w:hint="eastAsia" w:ascii="仿宋" w:hAnsi="仿宋" w:eastAsia="仿宋" w:cs="仿宋"/>
                <w:sz w:val="24"/>
              </w:rPr>
              <w:t>网络安全与数据安全服务</w:t>
            </w:r>
          </w:p>
        </w:tc>
        <w:tc>
          <w:tcPr>
            <w:tcW w:w="2761" w:type="pct"/>
            <w:tcMar>
              <w:top w:w="60" w:type="dxa"/>
              <w:left w:w="120" w:type="dxa"/>
              <w:bottom w:w="30" w:type="dxa"/>
              <w:right w:w="120" w:type="dxa"/>
            </w:tcMar>
            <w:vAlign w:val="center"/>
          </w:tcPr>
          <w:p w14:paraId="6C2C9149">
            <w:pPr>
              <w:snapToGrid w:val="0"/>
              <w:spacing w:line="360" w:lineRule="auto"/>
              <w:rPr>
                <w:rFonts w:ascii="仿宋" w:hAnsi="仿宋" w:eastAsia="仿宋" w:cs="仿宋"/>
                <w:sz w:val="24"/>
              </w:rPr>
            </w:pPr>
            <w:r>
              <w:rPr>
                <w:rFonts w:hint="eastAsia" w:ascii="仿宋" w:hAnsi="仿宋" w:eastAsia="仿宋" w:cs="仿宋"/>
                <w:sz w:val="24"/>
              </w:rPr>
              <w:t>1. 严格根据《网络安全法》《数据安全法》《个人信息保护法》及相关法律法规，为医院提供全流程网络安全与数据安全服务；</w:t>
            </w:r>
          </w:p>
          <w:p w14:paraId="0637EB55">
            <w:pPr>
              <w:snapToGrid w:val="0"/>
              <w:spacing w:line="360" w:lineRule="auto"/>
              <w:rPr>
                <w:rFonts w:ascii="仿宋" w:hAnsi="仿宋" w:eastAsia="仿宋" w:cs="仿宋"/>
                <w:sz w:val="24"/>
              </w:rPr>
            </w:pPr>
            <w:r>
              <w:rPr>
                <w:rFonts w:hint="eastAsia" w:ascii="仿宋" w:hAnsi="仿宋" w:eastAsia="仿宋" w:cs="仿宋"/>
                <w:sz w:val="24"/>
              </w:rPr>
              <w:t>2. 网络安全服务包含且不限于：漏洞修复、安全问题整改、安全风险排查、入侵检测与防御等服务；</w:t>
            </w:r>
          </w:p>
          <w:p w14:paraId="04EF2D09">
            <w:pPr>
              <w:snapToGrid w:val="0"/>
              <w:spacing w:line="360" w:lineRule="auto"/>
              <w:rPr>
                <w:rFonts w:ascii="仿宋" w:hAnsi="仿宋" w:eastAsia="仿宋" w:cs="仿宋"/>
                <w:sz w:val="24"/>
              </w:rPr>
            </w:pPr>
            <w:r>
              <w:rPr>
                <w:rFonts w:hint="eastAsia" w:ascii="仿宋" w:hAnsi="仿宋" w:eastAsia="仿宋" w:cs="仿宋"/>
                <w:sz w:val="24"/>
              </w:rPr>
              <w:t>3. 数据安全服务包含且不限于：数据加密、数据备份与恢复、数据库安全审计、单病种上报数据全生命周期保护等服务；</w:t>
            </w:r>
          </w:p>
          <w:p w14:paraId="11DD0A66">
            <w:pPr>
              <w:snapToGrid w:val="0"/>
              <w:spacing w:line="360" w:lineRule="auto"/>
              <w:rPr>
                <w:rFonts w:ascii="仿宋" w:hAnsi="仿宋" w:eastAsia="仿宋" w:cs="仿宋"/>
                <w:sz w:val="24"/>
              </w:rPr>
            </w:pPr>
            <w:r>
              <w:rPr>
                <w:rFonts w:hint="eastAsia" w:ascii="仿宋" w:hAnsi="仿宋" w:eastAsia="仿宋" w:cs="仿宋"/>
                <w:sz w:val="24"/>
              </w:rPr>
              <w:t>4. 配合采购人完成数据安全检查、网络安全审计、等保测评等相关工作。</w:t>
            </w:r>
          </w:p>
        </w:tc>
        <w:tc>
          <w:tcPr>
            <w:tcW w:w="745" w:type="pct"/>
            <w:tcMar>
              <w:top w:w="60" w:type="dxa"/>
              <w:left w:w="120" w:type="dxa"/>
              <w:bottom w:w="30" w:type="dxa"/>
              <w:right w:w="120" w:type="dxa"/>
            </w:tcMar>
            <w:vAlign w:val="center"/>
          </w:tcPr>
          <w:p w14:paraId="50804E3E">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w:t>
            </w:r>
          </w:p>
        </w:tc>
        <w:tc>
          <w:tcPr>
            <w:tcW w:w="746" w:type="pct"/>
            <w:tcMar>
              <w:top w:w="60" w:type="dxa"/>
              <w:left w:w="120" w:type="dxa"/>
              <w:bottom w:w="30" w:type="dxa"/>
              <w:right w:w="120" w:type="dxa"/>
            </w:tcMar>
            <w:vAlign w:val="center"/>
          </w:tcPr>
          <w:p w14:paraId="1DF2B255">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不限次数，每月至少1次安全风险排查</w:t>
            </w:r>
          </w:p>
        </w:tc>
      </w:tr>
      <w:tr w14:paraId="043FD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8" w:type="pct"/>
            <w:tcMar>
              <w:top w:w="60" w:type="dxa"/>
              <w:left w:w="120" w:type="dxa"/>
              <w:bottom w:w="30" w:type="dxa"/>
              <w:right w:w="120" w:type="dxa"/>
            </w:tcMar>
            <w:vAlign w:val="center"/>
          </w:tcPr>
          <w:p w14:paraId="0BAEE562">
            <w:pPr>
              <w:snapToGrid w:val="0"/>
              <w:spacing w:line="360" w:lineRule="auto"/>
              <w:jc w:val="center"/>
              <w:rPr>
                <w:rFonts w:ascii="仿宋" w:hAnsi="仿宋" w:eastAsia="仿宋" w:cs="仿宋"/>
                <w:sz w:val="24"/>
              </w:rPr>
            </w:pPr>
            <w:r>
              <w:rPr>
                <w:rFonts w:hint="eastAsia" w:ascii="仿宋" w:hAnsi="仿宋" w:eastAsia="仿宋" w:cs="仿宋"/>
                <w:sz w:val="24"/>
              </w:rPr>
              <w:t>6</w:t>
            </w:r>
          </w:p>
        </w:tc>
        <w:tc>
          <w:tcPr>
            <w:tcW w:w="448" w:type="pct"/>
            <w:tcMar>
              <w:top w:w="60" w:type="dxa"/>
              <w:left w:w="120" w:type="dxa"/>
              <w:bottom w:w="30" w:type="dxa"/>
              <w:right w:w="120" w:type="dxa"/>
            </w:tcMar>
            <w:vAlign w:val="center"/>
          </w:tcPr>
          <w:p w14:paraId="20C205E8">
            <w:pPr>
              <w:snapToGrid w:val="0"/>
              <w:spacing w:line="360" w:lineRule="auto"/>
              <w:jc w:val="center"/>
              <w:rPr>
                <w:rFonts w:ascii="仿宋" w:hAnsi="仿宋" w:eastAsia="仿宋" w:cs="仿宋"/>
                <w:sz w:val="24"/>
              </w:rPr>
            </w:pPr>
            <w:r>
              <w:rPr>
                <w:rFonts w:hint="eastAsia" w:ascii="仿宋" w:hAnsi="仿宋" w:eastAsia="仿宋" w:cs="仿宋"/>
                <w:sz w:val="24"/>
              </w:rPr>
              <w:t>人员培训服务</w:t>
            </w:r>
          </w:p>
        </w:tc>
        <w:tc>
          <w:tcPr>
            <w:tcW w:w="2761" w:type="pct"/>
            <w:tcMar>
              <w:top w:w="60" w:type="dxa"/>
              <w:left w:w="120" w:type="dxa"/>
              <w:bottom w:w="30" w:type="dxa"/>
              <w:right w:w="120" w:type="dxa"/>
            </w:tcMar>
            <w:vAlign w:val="center"/>
          </w:tcPr>
          <w:p w14:paraId="2C9D9BEA">
            <w:pPr>
              <w:snapToGrid w:val="0"/>
              <w:spacing w:line="360" w:lineRule="auto"/>
              <w:rPr>
                <w:rFonts w:ascii="仿宋" w:hAnsi="仿宋" w:eastAsia="仿宋" w:cs="仿宋"/>
                <w:sz w:val="24"/>
              </w:rPr>
            </w:pPr>
            <w:r>
              <w:rPr>
                <w:rFonts w:hint="eastAsia" w:ascii="仿宋" w:hAnsi="仿宋" w:eastAsia="仿宋" w:cs="仿宋"/>
                <w:sz w:val="24"/>
              </w:rPr>
              <w:t>1. 针对医院管理岗、质控岗、医护操作岗、信息科技术岗，分别制定差异化培训计划，编制标准化培训教材与操作手册；</w:t>
            </w:r>
          </w:p>
          <w:p w14:paraId="4E317C70">
            <w:pPr>
              <w:snapToGrid w:val="0"/>
              <w:spacing w:line="360" w:lineRule="auto"/>
              <w:rPr>
                <w:rFonts w:ascii="仿宋" w:hAnsi="仿宋" w:eastAsia="仿宋" w:cs="仿宋"/>
                <w:sz w:val="24"/>
              </w:rPr>
            </w:pPr>
            <w:r>
              <w:rPr>
                <w:rFonts w:hint="eastAsia" w:ascii="仿宋" w:hAnsi="仿宋" w:eastAsia="仿宋" w:cs="仿宋"/>
                <w:sz w:val="24"/>
              </w:rPr>
              <w:t>2. 培训内容包括系统操作规范、常见故障处置、单病种质控上报要求、数据安全与个人信息保护、应急处置流程等；</w:t>
            </w:r>
          </w:p>
          <w:p w14:paraId="2C017B06">
            <w:pPr>
              <w:snapToGrid w:val="0"/>
              <w:spacing w:line="360" w:lineRule="auto"/>
              <w:rPr>
                <w:rFonts w:ascii="仿宋" w:hAnsi="仿宋" w:eastAsia="仿宋" w:cs="仿宋"/>
                <w:sz w:val="24"/>
              </w:rPr>
            </w:pPr>
            <w:r>
              <w:rPr>
                <w:rFonts w:hint="eastAsia" w:ascii="仿宋" w:hAnsi="仿宋" w:eastAsia="仿宋" w:cs="仿宋"/>
                <w:sz w:val="24"/>
              </w:rPr>
              <w:t>3. 培训完成后组织考核，确保参训人员掌握对应技能；</w:t>
            </w:r>
          </w:p>
          <w:p w14:paraId="4B113637">
            <w:pPr>
              <w:snapToGrid w:val="0"/>
              <w:spacing w:line="360" w:lineRule="auto"/>
              <w:rPr>
                <w:rFonts w:ascii="仿宋" w:hAnsi="仿宋" w:eastAsia="仿宋" w:cs="仿宋"/>
                <w:sz w:val="24"/>
              </w:rPr>
            </w:pPr>
            <w:r>
              <w:rPr>
                <w:rFonts w:hint="eastAsia" w:ascii="仿宋" w:hAnsi="仿宋" w:eastAsia="仿宋" w:cs="仿宋"/>
                <w:sz w:val="24"/>
              </w:rPr>
              <w:t>4. 针对系统升级、新功能上线、新员工入职、上报政策调整等场景，提供即时专项培训服务。</w:t>
            </w:r>
          </w:p>
        </w:tc>
        <w:tc>
          <w:tcPr>
            <w:tcW w:w="745" w:type="pct"/>
            <w:tcMar>
              <w:top w:w="60" w:type="dxa"/>
              <w:left w:w="120" w:type="dxa"/>
              <w:bottom w:w="30" w:type="dxa"/>
              <w:right w:w="120" w:type="dxa"/>
            </w:tcMar>
            <w:vAlign w:val="center"/>
          </w:tcPr>
          <w:p w14:paraId="184C8DCC">
            <w:pPr>
              <w:snapToGrid w:val="0"/>
              <w:spacing w:line="360" w:lineRule="auto"/>
              <w:jc w:val="center"/>
              <w:rPr>
                <w:rFonts w:ascii="仿宋" w:hAnsi="仿宋" w:eastAsia="仿宋" w:cs="仿宋"/>
                <w:sz w:val="24"/>
              </w:rPr>
            </w:pPr>
            <w:r>
              <w:rPr>
                <w:rFonts w:hint="eastAsia" w:ascii="仿宋" w:hAnsi="仿宋" w:eastAsia="仿宋" w:cs="仿宋"/>
                <w:sz w:val="24"/>
              </w:rPr>
              <w:t>现场培训、远程线上培训</w:t>
            </w:r>
          </w:p>
        </w:tc>
        <w:tc>
          <w:tcPr>
            <w:tcW w:w="746" w:type="pct"/>
            <w:tcMar>
              <w:top w:w="60" w:type="dxa"/>
              <w:left w:w="120" w:type="dxa"/>
              <w:bottom w:w="30" w:type="dxa"/>
              <w:right w:w="120" w:type="dxa"/>
            </w:tcMar>
            <w:vAlign w:val="center"/>
          </w:tcPr>
          <w:p w14:paraId="424FCA8F">
            <w:pPr>
              <w:snapToGrid w:val="0"/>
              <w:spacing w:line="360" w:lineRule="auto"/>
              <w:jc w:val="center"/>
              <w:rPr>
                <w:rFonts w:ascii="仿宋" w:hAnsi="仿宋" w:eastAsia="仿宋" w:cs="仿宋"/>
                <w:sz w:val="24"/>
              </w:rPr>
            </w:pPr>
            <w:r>
              <w:rPr>
                <w:rFonts w:hint="eastAsia" w:ascii="仿宋" w:hAnsi="仿宋" w:eastAsia="仿宋" w:cs="仿宋"/>
                <w:sz w:val="24"/>
              </w:rPr>
              <w:t>全年累计培训不少于20学时，集中培训不少于2次，专项培训不限次数</w:t>
            </w:r>
          </w:p>
        </w:tc>
      </w:tr>
      <w:tr w14:paraId="46E27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8" w:type="pct"/>
            <w:tcMar>
              <w:top w:w="60" w:type="dxa"/>
              <w:left w:w="120" w:type="dxa"/>
              <w:bottom w:w="30" w:type="dxa"/>
              <w:right w:w="120" w:type="dxa"/>
            </w:tcMar>
            <w:vAlign w:val="center"/>
          </w:tcPr>
          <w:p w14:paraId="3A4F2B0B">
            <w:pPr>
              <w:snapToGrid w:val="0"/>
              <w:spacing w:line="360" w:lineRule="auto"/>
              <w:jc w:val="center"/>
              <w:rPr>
                <w:rFonts w:ascii="仿宋" w:hAnsi="仿宋" w:eastAsia="仿宋" w:cs="仿宋"/>
                <w:sz w:val="24"/>
              </w:rPr>
            </w:pPr>
            <w:r>
              <w:rPr>
                <w:rFonts w:hint="eastAsia" w:ascii="仿宋" w:hAnsi="仿宋" w:eastAsia="仿宋" w:cs="仿宋"/>
                <w:sz w:val="24"/>
              </w:rPr>
              <w:t>7</w:t>
            </w:r>
          </w:p>
        </w:tc>
        <w:tc>
          <w:tcPr>
            <w:tcW w:w="448" w:type="pct"/>
            <w:tcMar>
              <w:top w:w="60" w:type="dxa"/>
              <w:left w:w="120" w:type="dxa"/>
              <w:bottom w:w="30" w:type="dxa"/>
              <w:right w:w="120" w:type="dxa"/>
            </w:tcMar>
            <w:vAlign w:val="center"/>
          </w:tcPr>
          <w:p w14:paraId="6B62B578">
            <w:pPr>
              <w:snapToGrid w:val="0"/>
              <w:spacing w:line="360" w:lineRule="auto"/>
              <w:jc w:val="center"/>
              <w:rPr>
                <w:rFonts w:ascii="仿宋" w:hAnsi="仿宋" w:eastAsia="仿宋" w:cs="仿宋"/>
                <w:sz w:val="24"/>
              </w:rPr>
            </w:pPr>
            <w:r>
              <w:rPr>
                <w:rFonts w:hint="eastAsia" w:ascii="仿宋" w:hAnsi="仿宋" w:eastAsia="仿宋" w:cs="仿宋"/>
                <w:sz w:val="24"/>
              </w:rPr>
              <w:t>应急保障服务</w:t>
            </w:r>
          </w:p>
        </w:tc>
        <w:tc>
          <w:tcPr>
            <w:tcW w:w="2761" w:type="pct"/>
            <w:tcMar>
              <w:top w:w="60" w:type="dxa"/>
              <w:left w:w="120" w:type="dxa"/>
              <w:bottom w:w="30" w:type="dxa"/>
              <w:right w:w="120" w:type="dxa"/>
            </w:tcMar>
            <w:vAlign w:val="center"/>
          </w:tcPr>
          <w:p w14:paraId="1E0FE354">
            <w:pPr>
              <w:snapToGrid w:val="0"/>
              <w:spacing w:line="360" w:lineRule="auto"/>
              <w:rPr>
                <w:rFonts w:ascii="仿宋" w:hAnsi="仿宋" w:eastAsia="仿宋" w:cs="仿宋"/>
                <w:sz w:val="24"/>
              </w:rPr>
            </w:pPr>
            <w:r>
              <w:rPr>
                <w:rFonts w:hint="eastAsia" w:ascii="仿宋" w:hAnsi="仿宋" w:eastAsia="仿宋" w:cs="仿宋"/>
                <w:sz w:val="24"/>
              </w:rPr>
              <w:t>1. 针对系统瘫痪、重大数据安全事件、网络攻击、国家上报接口中断、上报截止期前系统故障等突发场景，制定专项应急预案，明确应急处置流程、责任人员、处置方案；</w:t>
            </w:r>
          </w:p>
          <w:p w14:paraId="504D213F">
            <w:pPr>
              <w:snapToGrid w:val="0"/>
              <w:spacing w:line="360" w:lineRule="auto"/>
              <w:rPr>
                <w:rFonts w:ascii="仿宋" w:hAnsi="仿宋" w:eastAsia="仿宋" w:cs="仿宋"/>
                <w:sz w:val="24"/>
              </w:rPr>
            </w:pPr>
            <w:r>
              <w:rPr>
                <w:rFonts w:hint="eastAsia" w:ascii="仿宋" w:hAnsi="仿宋" w:eastAsia="仿宋" w:cs="仿宋"/>
                <w:sz w:val="24"/>
              </w:rPr>
              <w:t>2. 每年联合采购人组织不少于1次应急演练，优化应急预案；</w:t>
            </w:r>
          </w:p>
          <w:p w14:paraId="670DC301">
            <w:pPr>
              <w:snapToGrid w:val="0"/>
              <w:spacing w:line="360" w:lineRule="auto"/>
              <w:rPr>
                <w:rFonts w:ascii="仿宋" w:hAnsi="仿宋" w:eastAsia="仿宋" w:cs="仿宋"/>
                <w:sz w:val="24"/>
              </w:rPr>
            </w:pPr>
            <w:r>
              <w:rPr>
                <w:rFonts w:hint="eastAsia" w:ascii="仿宋" w:hAnsi="仿宋" w:eastAsia="仿宋" w:cs="仿宋"/>
                <w:sz w:val="24"/>
              </w:rPr>
              <w:t>3. 国家单病种数据上报关键节点、节假日、重大医疗活动等特殊时段，提供专属驻场保障服务，提前完成系统巡检，全程值守保障系统稳定运行。</w:t>
            </w:r>
          </w:p>
        </w:tc>
        <w:tc>
          <w:tcPr>
            <w:tcW w:w="745" w:type="pct"/>
            <w:tcMar>
              <w:top w:w="60" w:type="dxa"/>
              <w:left w:w="120" w:type="dxa"/>
              <w:bottom w:w="30" w:type="dxa"/>
              <w:right w:w="120" w:type="dxa"/>
            </w:tcMar>
            <w:vAlign w:val="center"/>
          </w:tcPr>
          <w:p w14:paraId="1543EC7B">
            <w:pPr>
              <w:snapToGrid w:val="0"/>
              <w:spacing w:line="360" w:lineRule="auto"/>
              <w:jc w:val="center"/>
              <w:rPr>
                <w:rFonts w:ascii="仿宋" w:hAnsi="仿宋" w:eastAsia="仿宋" w:cs="仿宋"/>
                <w:sz w:val="24"/>
              </w:rPr>
            </w:pPr>
            <w:r>
              <w:rPr>
                <w:rFonts w:hint="eastAsia" w:ascii="仿宋" w:hAnsi="仿宋" w:eastAsia="仿宋" w:cs="仿宋"/>
                <w:sz w:val="24"/>
              </w:rPr>
              <w:t>现场驻场服务、7×24小时应急响应</w:t>
            </w:r>
          </w:p>
        </w:tc>
        <w:tc>
          <w:tcPr>
            <w:tcW w:w="746" w:type="pct"/>
            <w:tcMar>
              <w:top w:w="60" w:type="dxa"/>
              <w:left w:w="120" w:type="dxa"/>
              <w:bottom w:w="30" w:type="dxa"/>
              <w:right w:w="120" w:type="dxa"/>
            </w:tcMar>
            <w:vAlign w:val="center"/>
          </w:tcPr>
          <w:p w14:paraId="02B0AE23">
            <w:pPr>
              <w:snapToGrid w:val="0"/>
              <w:spacing w:line="360" w:lineRule="auto"/>
              <w:jc w:val="center"/>
              <w:rPr>
                <w:rFonts w:ascii="仿宋" w:hAnsi="仿宋" w:eastAsia="仿宋" w:cs="仿宋"/>
                <w:sz w:val="24"/>
              </w:rPr>
            </w:pPr>
            <w:r>
              <w:rPr>
                <w:rFonts w:hint="eastAsia" w:ascii="仿宋" w:hAnsi="仿宋" w:eastAsia="仿宋" w:cs="仿宋"/>
                <w:sz w:val="24"/>
              </w:rPr>
              <w:t>每年不少于1次应急演练，特殊时段按需提供驻场保障</w:t>
            </w:r>
          </w:p>
        </w:tc>
      </w:tr>
      <w:tr w14:paraId="0B5E7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8" w:type="pct"/>
            <w:tcMar>
              <w:top w:w="60" w:type="dxa"/>
              <w:left w:w="120" w:type="dxa"/>
              <w:bottom w:w="30" w:type="dxa"/>
              <w:right w:w="120" w:type="dxa"/>
            </w:tcMar>
            <w:vAlign w:val="center"/>
          </w:tcPr>
          <w:p w14:paraId="6EE654FE">
            <w:pPr>
              <w:snapToGrid w:val="0"/>
              <w:spacing w:line="360" w:lineRule="auto"/>
              <w:jc w:val="center"/>
              <w:rPr>
                <w:rFonts w:ascii="仿宋" w:hAnsi="仿宋" w:eastAsia="仿宋" w:cs="仿宋"/>
                <w:sz w:val="24"/>
              </w:rPr>
            </w:pPr>
            <w:r>
              <w:rPr>
                <w:rFonts w:hint="eastAsia" w:ascii="仿宋" w:hAnsi="仿宋" w:eastAsia="仿宋" w:cs="仿宋"/>
                <w:sz w:val="24"/>
              </w:rPr>
              <w:t>8</w:t>
            </w:r>
          </w:p>
        </w:tc>
        <w:tc>
          <w:tcPr>
            <w:tcW w:w="448" w:type="pct"/>
            <w:tcMar>
              <w:top w:w="60" w:type="dxa"/>
              <w:left w:w="120" w:type="dxa"/>
              <w:bottom w:w="30" w:type="dxa"/>
              <w:right w:w="120" w:type="dxa"/>
            </w:tcMar>
            <w:vAlign w:val="center"/>
          </w:tcPr>
          <w:p w14:paraId="0BE1B324">
            <w:pPr>
              <w:snapToGrid w:val="0"/>
              <w:spacing w:line="360" w:lineRule="auto"/>
              <w:jc w:val="center"/>
              <w:rPr>
                <w:rFonts w:ascii="仿宋" w:hAnsi="仿宋" w:eastAsia="仿宋" w:cs="仿宋"/>
                <w:sz w:val="24"/>
              </w:rPr>
            </w:pPr>
            <w:r>
              <w:rPr>
                <w:rFonts w:hint="eastAsia" w:ascii="仿宋" w:hAnsi="仿宋" w:eastAsia="仿宋" w:cs="仿宋"/>
                <w:sz w:val="24"/>
              </w:rPr>
              <w:t>服务器端国产化替代专项技术服务</w:t>
            </w:r>
          </w:p>
        </w:tc>
        <w:tc>
          <w:tcPr>
            <w:tcW w:w="2761" w:type="pct"/>
            <w:tcMar>
              <w:top w:w="60" w:type="dxa"/>
              <w:left w:w="120" w:type="dxa"/>
              <w:bottom w:w="30" w:type="dxa"/>
              <w:right w:w="120" w:type="dxa"/>
            </w:tcMar>
            <w:vAlign w:val="center"/>
          </w:tcPr>
          <w:p w14:paraId="3815B668">
            <w:pPr>
              <w:snapToGrid w:val="0"/>
              <w:spacing w:line="360" w:lineRule="auto"/>
              <w:rPr>
                <w:rFonts w:ascii="仿宋" w:hAnsi="仿宋" w:eastAsia="仿宋" w:cs="仿宋"/>
                <w:sz w:val="24"/>
              </w:rPr>
            </w:pPr>
            <w:r>
              <w:rPr>
                <w:rFonts w:hint="eastAsia" w:ascii="仿宋" w:hAnsi="仿宋" w:eastAsia="仿宋" w:cs="仿宋"/>
                <w:sz w:val="24"/>
              </w:rPr>
              <w:t>1. 国产化适配前置评估：针对采购人服务器端国产化替代建设需求，完成现有特定（单）病种质量监测系统全模块、全功能的国产化环境兼容性评估，覆盖国产服务器硬件（鲲鹏、飞腾、海光、龙芯等主流信创芯片平台）、服务器操作系统（统信UOS、银河麒麟等国产服务器操作系统）、数据库（人大金仓、达梦、openGauss等国产数据库）、中间件（东方通、金蝶天燕、宝兰德等国产中间件）的全栈适配性分析，出具完整的《系统国产化适配评估报告》《国产化迁移实施方案》《业务割接与风险应急预案》；</w:t>
            </w:r>
          </w:p>
          <w:p w14:paraId="436D6C8C">
            <w:pPr>
              <w:snapToGrid w:val="0"/>
              <w:spacing w:line="360" w:lineRule="auto"/>
              <w:rPr>
                <w:rFonts w:ascii="仿宋" w:hAnsi="仿宋" w:eastAsia="仿宋" w:cs="仿宋"/>
                <w:sz w:val="24"/>
              </w:rPr>
            </w:pPr>
            <w:r>
              <w:rPr>
                <w:rFonts w:hint="eastAsia" w:ascii="仿宋" w:hAnsi="仿宋" w:eastAsia="仿宋" w:cs="仿宋"/>
                <w:sz w:val="24"/>
              </w:rPr>
              <w:t>2. 原厂级适配改造开发：针对评估发现的兼容性问题，提供系统源代码级的适配改造、功能优化、接口重构服务，确保系统在国产化服务器环境下全功能正常运行、业务流程无断点、数据交互无异常，同时保障系统与院内现有及新增信创/非信创系统、国家/省级上报平台的互联互通，适配改造后系统性能不低于原有非国产化环境水平；</w:t>
            </w:r>
          </w:p>
          <w:p w14:paraId="3245D35C">
            <w:pPr>
              <w:snapToGrid w:val="0"/>
              <w:spacing w:line="360" w:lineRule="auto"/>
              <w:rPr>
                <w:rFonts w:ascii="仿宋" w:hAnsi="仿宋" w:eastAsia="仿宋" w:cs="仿宋"/>
                <w:sz w:val="24"/>
              </w:rPr>
            </w:pPr>
            <w:r>
              <w:rPr>
                <w:rFonts w:hint="eastAsia" w:ascii="仿宋" w:hAnsi="仿宋" w:eastAsia="仿宋" w:cs="仿宋"/>
                <w:sz w:val="24"/>
              </w:rPr>
              <w:t>3. 国产化迁移与割接实施：配合采购人完成国产化测试环境搭建、全量功能测试、压力测试、兼容性测试、安全测试，制定分阶段、零风险的业务割接方案，割接操作安排在非业务高峰时段（夜间、节假日），全程派驻技术人员现场值守，保障迁移过程数据零丢失、零泄露、零篡改，业务中断时长符合医院医疗安全管理要求，如出现异常立即启动回滚预案，保障业务连续性；</w:t>
            </w:r>
          </w:p>
          <w:p w14:paraId="23FCD2CC">
            <w:pPr>
              <w:snapToGrid w:val="0"/>
              <w:spacing w:line="360" w:lineRule="auto"/>
              <w:rPr>
                <w:rFonts w:ascii="仿宋" w:hAnsi="仿宋" w:eastAsia="仿宋" w:cs="仿宋"/>
                <w:sz w:val="24"/>
              </w:rPr>
            </w:pPr>
            <w:r>
              <w:rPr>
                <w:rFonts w:hint="eastAsia" w:ascii="仿宋" w:hAnsi="仿宋" w:eastAsia="仿宋" w:cs="仿宋"/>
                <w:sz w:val="24"/>
              </w:rPr>
              <w:t>4. 国产化环境专项运维保障：系统迁移至国产化服务器环境后，提供专属专项运维服务，包括国产化环境下系统日常巡检、性能优化、故障排查处置、安全补丁适配、漏洞修复、合规性升级，建立国产化环境专属运维台账，针对国产化平台特性优化运维流程，保障系统在国产化服务器环境下持续稳定运行；</w:t>
            </w:r>
          </w:p>
          <w:p w14:paraId="2DF16082">
            <w:pPr>
              <w:snapToGrid w:val="0"/>
              <w:spacing w:line="360" w:lineRule="auto"/>
              <w:rPr>
                <w:rFonts w:ascii="仿宋" w:hAnsi="仿宋" w:eastAsia="仿宋" w:cs="仿宋"/>
                <w:sz w:val="24"/>
              </w:rPr>
            </w:pPr>
            <w:r>
              <w:rPr>
                <w:rFonts w:hint="eastAsia" w:ascii="仿宋" w:hAnsi="仿宋" w:eastAsia="仿宋" w:cs="仿宋"/>
                <w:sz w:val="24"/>
              </w:rPr>
              <w:t>5. 合规适配与测评支撑：配合采购人完成信创建设合规验收、网络安全等级保护测评、医院信息互联互通标准化成熟度测评等相关工作，提供系统国产化适配证明、测试报告、技术支撑及整改服务，确保系统符合国家及地方卫健部门关于医疗信息化信创建设的最新政策要求；</w:t>
            </w:r>
          </w:p>
          <w:p w14:paraId="540F8DA2">
            <w:pPr>
              <w:snapToGrid w:val="0"/>
              <w:spacing w:line="360" w:lineRule="auto"/>
              <w:rPr>
                <w:rFonts w:ascii="仿宋" w:hAnsi="仿宋" w:eastAsia="仿宋" w:cs="仿宋"/>
                <w:sz w:val="24"/>
              </w:rPr>
            </w:pPr>
            <w:r>
              <w:rPr>
                <w:rFonts w:hint="eastAsia" w:ascii="仿宋" w:hAnsi="仿宋" w:eastAsia="仿宋" w:cs="仿宋"/>
                <w:sz w:val="24"/>
              </w:rPr>
              <w:t>6. 国产化专项培训：针对国产化服务器环境下的系统运维、操作使用、故障应急处置，为采购人信息科技术人员、质控岗、医护操作岗人员提供专项定制化培训，编制专属培训教材，确保参训人员掌握对应技能。</w:t>
            </w:r>
          </w:p>
        </w:tc>
        <w:tc>
          <w:tcPr>
            <w:tcW w:w="745" w:type="pct"/>
            <w:tcMar>
              <w:top w:w="60" w:type="dxa"/>
              <w:left w:w="120" w:type="dxa"/>
              <w:bottom w:w="30" w:type="dxa"/>
              <w:right w:w="120" w:type="dxa"/>
            </w:tcMar>
            <w:vAlign w:val="center"/>
          </w:tcPr>
          <w:p w14:paraId="0651797F">
            <w:pPr>
              <w:snapToGrid w:val="0"/>
              <w:spacing w:line="360" w:lineRule="auto"/>
              <w:jc w:val="center"/>
              <w:rPr>
                <w:rFonts w:ascii="仿宋" w:hAnsi="仿宋" w:eastAsia="仿宋" w:cs="仿宋"/>
                <w:sz w:val="24"/>
              </w:rPr>
            </w:pPr>
            <w:r>
              <w:rPr>
                <w:rFonts w:hint="eastAsia" w:ascii="仿宋" w:hAnsi="仿宋" w:eastAsia="仿宋" w:cs="仿宋"/>
                <w:sz w:val="24"/>
              </w:rPr>
              <w:t>现场服务为主、远程辅助服务、专项驻场服务</w:t>
            </w:r>
          </w:p>
        </w:tc>
        <w:tc>
          <w:tcPr>
            <w:tcW w:w="746" w:type="pct"/>
            <w:tcMar>
              <w:top w:w="60" w:type="dxa"/>
              <w:left w:w="120" w:type="dxa"/>
              <w:bottom w:w="30" w:type="dxa"/>
              <w:right w:w="120" w:type="dxa"/>
            </w:tcMar>
            <w:vAlign w:val="center"/>
          </w:tcPr>
          <w:p w14:paraId="56489E4B">
            <w:pPr>
              <w:snapToGrid w:val="0"/>
              <w:spacing w:line="360" w:lineRule="auto"/>
              <w:jc w:val="center"/>
              <w:rPr>
                <w:rFonts w:ascii="仿宋" w:hAnsi="仿宋" w:eastAsia="仿宋" w:cs="仿宋"/>
                <w:sz w:val="24"/>
              </w:rPr>
            </w:pPr>
            <w:r>
              <w:rPr>
                <w:rFonts w:hint="eastAsia" w:ascii="仿宋" w:hAnsi="仿宋" w:eastAsia="仿宋" w:cs="仿宋"/>
                <w:sz w:val="24"/>
              </w:rPr>
              <w:t>按需提供全流程服务，服务期内不限响应次数；适配评估与方案编制须在采购人提出需求后15个工作日内完成；迁移实施全流程须配合采购人信创建设时限要求完成；迁移完成后每月至少1次国产化环境专项巡检，每季度至少1次性能优化</w:t>
            </w:r>
          </w:p>
        </w:tc>
      </w:tr>
      <w:tr w14:paraId="53E72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8" w:type="pct"/>
            <w:tcMar>
              <w:top w:w="60" w:type="dxa"/>
              <w:left w:w="120" w:type="dxa"/>
              <w:bottom w:w="30" w:type="dxa"/>
              <w:right w:w="120" w:type="dxa"/>
            </w:tcMar>
            <w:vAlign w:val="center"/>
          </w:tcPr>
          <w:p w14:paraId="5E4252A3">
            <w:pPr>
              <w:snapToGrid w:val="0"/>
              <w:spacing w:line="360" w:lineRule="auto"/>
              <w:jc w:val="center"/>
              <w:rPr>
                <w:rFonts w:ascii="仿宋" w:hAnsi="仿宋" w:eastAsia="仿宋" w:cs="仿宋"/>
                <w:sz w:val="24"/>
              </w:rPr>
            </w:pPr>
            <w:r>
              <w:rPr>
                <w:rFonts w:hint="eastAsia" w:ascii="仿宋" w:hAnsi="仿宋" w:eastAsia="仿宋" w:cs="仿宋"/>
                <w:sz w:val="24"/>
              </w:rPr>
              <w:t>9</w:t>
            </w:r>
          </w:p>
        </w:tc>
        <w:tc>
          <w:tcPr>
            <w:tcW w:w="448" w:type="pct"/>
            <w:tcMar>
              <w:top w:w="60" w:type="dxa"/>
              <w:left w:w="120" w:type="dxa"/>
              <w:bottom w:w="30" w:type="dxa"/>
              <w:right w:w="120" w:type="dxa"/>
            </w:tcMar>
            <w:vAlign w:val="center"/>
          </w:tcPr>
          <w:p w14:paraId="5696CC5E">
            <w:pPr>
              <w:snapToGrid w:val="0"/>
              <w:spacing w:line="360" w:lineRule="auto"/>
              <w:jc w:val="center"/>
              <w:rPr>
                <w:rFonts w:ascii="仿宋" w:hAnsi="仿宋" w:eastAsia="仿宋" w:cs="仿宋"/>
                <w:sz w:val="24"/>
              </w:rPr>
            </w:pPr>
            <w:r>
              <w:rPr>
                <w:rFonts w:hint="eastAsia" w:ascii="仿宋" w:hAnsi="仿宋" w:eastAsia="仿宋" w:cs="仿宋"/>
                <w:sz w:val="24"/>
              </w:rPr>
              <w:t>运维报告服务</w:t>
            </w:r>
          </w:p>
        </w:tc>
        <w:tc>
          <w:tcPr>
            <w:tcW w:w="2761" w:type="pct"/>
            <w:tcMar>
              <w:top w:w="60" w:type="dxa"/>
              <w:left w:w="120" w:type="dxa"/>
              <w:bottom w:w="30" w:type="dxa"/>
              <w:right w:w="120" w:type="dxa"/>
            </w:tcMar>
            <w:vAlign w:val="center"/>
          </w:tcPr>
          <w:p w14:paraId="0CD87945">
            <w:pPr>
              <w:snapToGrid w:val="0"/>
              <w:spacing w:line="360" w:lineRule="auto"/>
              <w:rPr>
                <w:rFonts w:ascii="仿宋" w:hAnsi="仿宋" w:eastAsia="仿宋" w:cs="仿宋"/>
                <w:sz w:val="24"/>
              </w:rPr>
            </w:pPr>
            <w:r>
              <w:rPr>
                <w:rFonts w:hint="eastAsia" w:ascii="仿宋" w:hAnsi="仿宋" w:eastAsia="仿宋" w:cs="仿宋"/>
                <w:sz w:val="24"/>
              </w:rPr>
              <w:t>1. 每季5日前向采购人提交上季运维季报，内容包括故障处置情况、巡检结果、系统运行分析、数据上报情况、优化建议、下季工作计划等；</w:t>
            </w:r>
          </w:p>
          <w:p w14:paraId="30908205">
            <w:pPr>
              <w:snapToGrid w:val="0"/>
              <w:spacing w:line="360" w:lineRule="auto"/>
              <w:rPr>
                <w:rFonts w:ascii="仿宋" w:hAnsi="仿宋" w:eastAsia="仿宋" w:cs="仿宋"/>
                <w:sz w:val="24"/>
              </w:rPr>
            </w:pPr>
            <w:r>
              <w:rPr>
                <w:rFonts w:hint="eastAsia" w:ascii="仿宋" w:hAnsi="仿宋" w:eastAsia="仿宋" w:cs="仿宋"/>
                <w:sz w:val="24"/>
              </w:rPr>
              <w:t>2. 每季度、每年提交阶段性运维报告，年度报告须包含全年服务总结、系统运行评估、安全合规情况、下一年度运维优化方案等；</w:t>
            </w:r>
          </w:p>
          <w:p w14:paraId="12C5367B">
            <w:pPr>
              <w:snapToGrid w:val="0"/>
              <w:spacing w:line="360" w:lineRule="auto"/>
              <w:rPr>
                <w:rFonts w:ascii="仿宋" w:hAnsi="仿宋" w:eastAsia="仿宋" w:cs="仿宋"/>
                <w:sz w:val="24"/>
              </w:rPr>
            </w:pPr>
            <w:r>
              <w:rPr>
                <w:rFonts w:hint="eastAsia" w:ascii="仿宋" w:hAnsi="仿宋" w:eastAsia="仿宋" w:cs="仿宋"/>
                <w:sz w:val="24"/>
              </w:rPr>
              <w:t>3. 重大故障、专项工作单独提交专项报告。</w:t>
            </w:r>
          </w:p>
        </w:tc>
        <w:tc>
          <w:tcPr>
            <w:tcW w:w="745" w:type="pct"/>
            <w:tcMar>
              <w:top w:w="60" w:type="dxa"/>
              <w:left w:w="120" w:type="dxa"/>
              <w:bottom w:w="30" w:type="dxa"/>
              <w:right w:w="120" w:type="dxa"/>
            </w:tcMar>
            <w:vAlign w:val="center"/>
          </w:tcPr>
          <w:p w14:paraId="17A260DE">
            <w:pPr>
              <w:snapToGrid w:val="0"/>
              <w:spacing w:line="360" w:lineRule="auto"/>
              <w:jc w:val="center"/>
              <w:rPr>
                <w:rFonts w:ascii="仿宋" w:hAnsi="仿宋" w:eastAsia="仿宋" w:cs="仿宋"/>
                <w:sz w:val="24"/>
              </w:rPr>
            </w:pPr>
            <w:r>
              <w:rPr>
                <w:rFonts w:hint="eastAsia" w:ascii="仿宋" w:hAnsi="仿宋" w:eastAsia="仿宋" w:cs="仿宋"/>
                <w:sz w:val="24"/>
              </w:rPr>
              <w:t>书面盖章报告、电子文档</w:t>
            </w:r>
          </w:p>
        </w:tc>
        <w:tc>
          <w:tcPr>
            <w:tcW w:w="746" w:type="pct"/>
            <w:tcMar>
              <w:top w:w="60" w:type="dxa"/>
              <w:left w:w="120" w:type="dxa"/>
              <w:bottom w:w="30" w:type="dxa"/>
              <w:right w:w="120" w:type="dxa"/>
            </w:tcMar>
            <w:vAlign w:val="center"/>
          </w:tcPr>
          <w:p w14:paraId="2E86823E">
            <w:pPr>
              <w:snapToGrid w:val="0"/>
              <w:spacing w:line="360" w:lineRule="auto"/>
              <w:jc w:val="center"/>
              <w:rPr>
                <w:rFonts w:ascii="仿宋" w:hAnsi="仿宋" w:eastAsia="仿宋" w:cs="仿宋"/>
                <w:sz w:val="24"/>
              </w:rPr>
            </w:pPr>
            <w:r>
              <w:rPr>
                <w:rFonts w:hint="eastAsia" w:ascii="仿宋" w:hAnsi="仿宋" w:eastAsia="仿宋" w:cs="仿宋"/>
                <w:sz w:val="24"/>
              </w:rPr>
              <w:t>每季1次季报，每年1次年报，专项报告按需提交</w:t>
            </w:r>
          </w:p>
        </w:tc>
      </w:tr>
    </w:tbl>
    <w:p w14:paraId="4148CC1D">
      <w:pPr>
        <w:snapToGrid w:val="0"/>
        <w:spacing w:line="360" w:lineRule="auto"/>
        <w:jc w:val="left"/>
        <w:rPr>
          <w:rFonts w:ascii="仿宋" w:hAnsi="仿宋" w:eastAsia="仿宋" w:cs="仿宋"/>
          <w:sz w:val="24"/>
        </w:rPr>
      </w:pPr>
      <w:bookmarkStart w:id="14" w:name="heading_31"/>
      <w:r>
        <w:rPr>
          <w:rFonts w:hint="eastAsia" w:ascii="仿宋" w:hAnsi="仿宋" w:eastAsia="仿宋" w:cs="仿宋"/>
          <w:b/>
          <w:sz w:val="24"/>
        </w:rPr>
        <w:t>5. 售后服务方案与技术能力要求</w:t>
      </w:r>
      <w:bookmarkEnd w:id="14"/>
    </w:p>
    <w:p w14:paraId="65C5AE79">
      <w:pPr>
        <w:snapToGrid w:val="0"/>
        <w:spacing w:line="360" w:lineRule="auto"/>
        <w:jc w:val="left"/>
        <w:rPr>
          <w:rFonts w:ascii="仿宋" w:hAnsi="仿宋" w:eastAsia="仿宋" w:cs="仿宋"/>
          <w:sz w:val="24"/>
        </w:rPr>
      </w:pPr>
      <w:bookmarkStart w:id="15" w:name="heading_32"/>
      <w:r>
        <w:rPr>
          <w:rFonts w:hint="eastAsia" w:ascii="仿宋" w:hAnsi="仿宋" w:eastAsia="仿宋" w:cs="仿宋"/>
          <w:b/>
          <w:sz w:val="24"/>
        </w:rPr>
        <w:t>5.1 售后服务方案要求</w:t>
      </w:r>
      <w:bookmarkEnd w:id="15"/>
    </w:p>
    <w:p w14:paraId="50718F7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服务商须根据采购人信息化建设现状、系统使用情况、单病种上报业务特点，制定详尽、可落地的售后服务方案，方案须至少包含以下内容：</w:t>
      </w:r>
    </w:p>
    <w:p w14:paraId="1875102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5.1.1 售后运维服务的整体承诺、服务级别保障承诺；</w:t>
      </w:r>
    </w:p>
    <w:p w14:paraId="0FB3064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5.1.2 售后运维服务的详细内容、实施流程、操作规范；</w:t>
      </w:r>
    </w:p>
    <w:p w14:paraId="5E28820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5.1.3 各故障等级的应急处置措施、业务连续性保障方案；</w:t>
      </w:r>
    </w:p>
    <w:p w14:paraId="061B89C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5.1.4 售后运维服务全流程管理制度、质量管控体系；</w:t>
      </w:r>
    </w:p>
    <w:p w14:paraId="54DFB7E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5.1.5 数据安全事件、系统瘫痪、上报中断等突发场景的专项应急预案；</w:t>
      </w:r>
    </w:p>
    <w:p w14:paraId="7018AC9F">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5.1.6 运维服务人员的岗位职责、考核方案、奖惩机制；</w:t>
      </w:r>
    </w:p>
    <w:p w14:paraId="597F1B8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5.1.7 合规性保障方案、等保合规配合方案、个人信息保护专项方案；</w:t>
      </w:r>
    </w:p>
    <w:p w14:paraId="47E0867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5.1.8 服务器端国产化替代专项服务方案与专项应急预案。</w:t>
      </w:r>
    </w:p>
    <w:p w14:paraId="4951A6D1">
      <w:pPr>
        <w:snapToGrid w:val="0"/>
        <w:spacing w:line="360" w:lineRule="auto"/>
        <w:jc w:val="left"/>
        <w:rPr>
          <w:rFonts w:ascii="仿宋" w:hAnsi="仿宋" w:eastAsia="仿宋" w:cs="仿宋"/>
          <w:sz w:val="24"/>
        </w:rPr>
      </w:pPr>
      <w:bookmarkStart w:id="16" w:name="heading_33"/>
      <w:r>
        <w:rPr>
          <w:rFonts w:hint="eastAsia" w:ascii="仿宋" w:hAnsi="仿宋" w:eastAsia="仿宋" w:cs="仿宋"/>
          <w:b/>
          <w:sz w:val="24"/>
        </w:rPr>
        <w:t>5.2 技术能力与人员要求</w:t>
      </w:r>
      <w:bookmarkEnd w:id="16"/>
    </w:p>
    <w:p w14:paraId="6A3D710F">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5.2.1 服务商须提供本项目售后服务专属团队组织架构，明确项目负责人、技术负责人、现场运维人员、安全专项人员、应急保障人员的岗位职责与联系方式，确保7×24小时可联系。</w:t>
      </w:r>
    </w:p>
    <w:p w14:paraId="542F04C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5.2.2 本项目专属技术团队人员不少于10人，团队人员须满足以下资质要求：</w:t>
      </w:r>
    </w:p>
    <w:p w14:paraId="30BC82DC">
      <w:pPr>
        <w:numPr>
          <w:ilvl w:val="0"/>
          <w:numId w:val="1"/>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项目负责人须具备3年以上医疗信息化系统运维项目管理经验，具备单病种质控系统相关项目服务经验；</w:t>
      </w:r>
    </w:p>
    <w:p w14:paraId="2468A995">
      <w:pPr>
        <w:numPr>
          <w:ilvl w:val="0"/>
          <w:numId w:val="2"/>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技术团队须包含至少1名数据库工程师、1名网络安全工程师，所有运维人员须具备对应系统的原厂运维认证资质；</w:t>
      </w:r>
    </w:p>
    <w:p w14:paraId="1FB909A5">
      <w:pPr>
        <w:numPr>
          <w:ilvl w:val="0"/>
          <w:numId w:val="3"/>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提供团队所有人员近3个月的社保缴纳证明材料，确保人员稳定，未经采购人书面同意，不得擅自更换项目核心人员。</w:t>
      </w:r>
    </w:p>
    <w:p w14:paraId="286257B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5.2.3 服务商须具备完善的技术支撑体系，具备原厂级研发与维护能力，可提供系统源代码级的故障修复、功能适配服务，具备本地化服务能力，确保应急处置时效。</w:t>
      </w:r>
    </w:p>
    <w:p w14:paraId="6E98208F">
      <w:pPr>
        <w:snapToGrid w:val="0"/>
        <w:spacing w:line="360" w:lineRule="auto"/>
        <w:jc w:val="left"/>
        <w:rPr>
          <w:rFonts w:ascii="仿宋" w:hAnsi="仿宋" w:eastAsia="仿宋" w:cs="仿宋"/>
          <w:sz w:val="24"/>
        </w:rPr>
      </w:pPr>
      <w:bookmarkStart w:id="17" w:name="heading_34"/>
      <w:r>
        <w:rPr>
          <w:rFonts w:hint="eastAsia" w:ascii="仿宋" w:hAnsi="仿宋" w:eastAsia="仿宋" w:cs="仿宋"/>
          <w:b/>
          <w:sz w:val="24"/>
        </w:rPr>
        <w:t>6. 数据安全与信息保密要求</w:t>
      </w:r>
      <w:bookmarkEnd w:id="17"/>
    </w:p>
    <w:p w14:paraId="07D7E75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本条款严格遵循《数据安全法》《个人信息保护法》《医疗卫生机构网络安全管理办法》《医疗卫生数据安全指南》制定，为项目刚性要求，具体如下：</w:t>
      </w:r>
    </w:p>
    <w:p w14:paraId="5BDACCA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6.1 服务商须建立完善的数据安全管理制度、全生命周期数据保护体系、个人信息保护管理制度，符合国家医疗数据分类分级保护相关要求，明确数据安全责任部门与专职技术人员，提供专职人员近3年的社保缴纳证明材料。</w:t>
      </w:r>
    </w:p>
    <w:p w14:paraId="471EB4F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6.2 服务商须与采购人签订专项数据安全与保密协议，同时与所有参与本项目的服务人员签订保密协议，明确保密义务、保密范围、保密期限（含在职期间及离职后终身保密）与违约责任，相关协议文本须提交采购人备案。</w:t>
      </w:r>
    </w:p>
    <w:p w14:paraId="0C28F84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6.3 服务商须严格遵守国家法律法规，对服务过程中接触、获取的所有医疗数据、患者个人信息、单病种上报数据、医院业务数据、涉密信息等，仅可用于本项目运维服务工作，不得擅自复制、存储、泄露、转让、篡改、销毁，不得用于任何商业用途或其他未经授权的用途。</w:t>
      </w:r>
    </w:p>
    <w:p w14:paraId="45D63E4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6.4 服务商的远程运维操作须经过采购人书面审批，采用加密安全接入方式，全程留痕，审计日志留存不少于6个月；严禁未经授权的远程操作，严禁将系统接入公共互联网进行运维操作。</w:t>
      </w:r>
    </w:p>
    <w:p w14:paraId="3CDC18E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6.5 服务商须建立数据安全事件应急处置机制，发生数据泄露、篡改、丢失等安全事件时，须10分钟内响应，第一时间通知采购人，同步启动应急预案，采取处置措施防止事件扩大，配合采购人完成监管上报、事件调查等工作，并承担全部法律责任与经济损失。</w:t>
      </w:r>
    </w:p>
    <w:p w14:paraId="6BD18DF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6.6 国产化迁移实施过程中，须严格遵循采购人数据安全管理规定，制定专项数据迁移安全方案，全程加密传输数据，做好全量数据备份与一致性校验，确保迁移过程数据全生命周期安全。</w:t>
      </w:r>
    </w:p>
    <w:p w14:paraId="64A34AE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6.7 服务期结束后，服务商须将所有运维相关数据、文档、材料完整移交采购人，彻底删除所持有的采购人全部数据，不得留存任何副本，并向采购人出具数据删除承诺书。</w:t>
      </w:r>
    </w:p>
    <w:p w14:paraId="169C9DA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6.8 服务商须配合采购人完成数据安全检查、网络安全审计、等保测评等相关工作，提供对应的技术支撑与整改服务。</w:t>
      </w:r>
    </w:p>
    <w:p w14:paraId="04C26C0B">
      <w:pPr>
        <w:snapToGrid w:val="0"/>
        <w:spacing w:line="360" w:lineRule="auto"/>
        <w:jc w:val="left"/>
        <w:rPr>
          <w:rFonts w:ascii="仿宋" w:hAnsi="仿宋" w:eastAsia="仿宋" w:cs="仿宋"/>
          <w:sz w:val="24"/>
        </w:rPr>
      </w:pPr>
      <w:bookmarkStart w:id="18" w:name="heading_35"/>
      <w:r>
        <w:rPr>
          <w:rFonts w:hint="eastAsia" w:ascii="仿宋" w:hAnsi="仿宋" w:eastAsia="仿宋" w:cs="仿宋"/>
          <w:b/>
          <w:sz w:val="24"/>
        </w:rPr>
        <w:t>三、商务要求</w:t>
      </w:r>
      <w:bookmarkEnd w:id="18"/>
    </w:p>
    <w:p w14:paraId="1B9310EB">
      <w:pPr>
        <w:snapToGrid w:val="0"/>
        <w:spacing w:line="360" w:lineRule="auto"/>
        <w:jc w:val="left"/>
        <w:rPr>
          <w:rFonts w:ascii="仿宋" w:hAnsi="仿宋" w:eastAsia="仿宋" w:cs="仿宋"/>
          <w:sz w:val="24"/>
        </w:rPr>
      </w:pPr>
      <w:bookmarkStart w:id="19" w:name="heading_36"/>
      <w:r>
        <w:rPr>
          <w:rFonts w:hint="eastAsia" w:ascii="仿宋" w:hAnsi="仿宋" w:eastAsia="仿宋" w:cs="仿宋"/>
          <w:b/>
          <w:sz w:val="24"/>
        </w:rPr>
        <w:t>1. 合同核心内容</w:t>
      </w:r>
      <w:bookmarkEnd w:id="19"/>
    </w:p>
    <w:p w14:paraId="73F0337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合同标的为成交供应商提供的本文件约定的全部运维服务、服务器端国产化替代专项技术服务，合同内容包含采购文件、成交供应商的响应文件、采购协商记录、服务承诺、成交通知书、合同文本等全部文件，成交总金额为合同固定总价，包含服务期内完成全部服务所需的人工、材料、设备、开发、测试、税费、培训、应急保障等所有费用，采购人无需额外支付任何费用。</w:t>
      </w:r>
    </w:p>
    <w:p w14:paraId="032E2600">
      <w:pPr>
        <w:snapToGrid w:val="0"/>
        <w:spacing w:line="360" w:lineRule="auto"/>
        <w:jc w:val="left"/>
        <w:rPr>
          <w:rFonts w:ascii="仿宋" w:hAnsi="仿宋" w:eastAsia="仿宋" w:cs="仿宋"/>
          <w:sz w:val="24"/>
        </w:rPr>
      </w:pPr>
      <w:bookmarkStart w:id="20" w:name="heading_37"/>
      <w:r>
        <w:rPr>
          <w:rFonts w:hint="eastAsia" w:ascii="仿宋" w:hAnsi="仿宋" w:eastAsia="仿宋" w:cs="仿宋"/>
          <w:b/>
          <w:sz w:val="24"/>
        </w:rPr>
        <w:t>2. 服务地点</w:t>
      </w:r>
      <w:bookmarkEnd w:id="20"/>
    </w:p>
    <w:p w14:paraId="25EF3FB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陕西省交通医院本部及所有分院区、采购人指定的其他服务场所。</w:t>
      </w:r>
    </w:p>
    <w:p w14:paraId="6B730E28">
      <w:pPr>
        <w:snapToGrid w:val="0"/>
        <w:spacing w:line="360" w:lineRule="auto"/>
        <w:jc w:val="left"/>
        <w:rPr>
          <w:rFonts w:ascii="仿宋" w:hAnsi="仿宋" w:eastAsia="仿宋" w:cs="仿宋"/>
          <w:sz w:val="24"/>
        </w:rPr>
      </w:pPr>
      <w:bookmarkStart w:id="21" w:name="heading_38"/>
      <w:r>
        <w:rPr>
          <w:rFonts w:hint="eastAsia" w:ascii="仿宋" w:hAnsi="仿宋" w:eastAsia="仿宋" w:cs="仿宋"/>
          <w:b/>
          <w:sz w:val="24"/>
        </w:rPr>
        <w:t>3. 服务期限</w:t>
      </w:r>
      <w:bookmarkEnd w:id="21"/>
    </w:p>
    <w:p w14:paraId="34350D0E">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本项目服务期限为1年，自合同签订之日起计算。服务期内，服务商服务质量持续不达标，采购人有权提前终止合同。</w:t>
      </w:r>
    </w:p>
    <w:p w14:paraId="4299CC6D">
      <w:pPr>
        <w:snapToGrid w:val="0"/>
        <w:spacing w:line="360" w:lineRule="auto"/>
        <w:jc w:val="left"/>
        <w:rPr>
          <w:rFonts w:ascii="仿宋" w:hAnsi="仿宋" w:eastAsia="仿宋" w:cs="仿宋"/>
          <w:sz w:val="24"/>
        </w:rPr>
      </w:pPr>
      <w:bookmarkStart w:id="22" w:name="heading_39"/>
      <w:r>
        <w:rPr>
          <w:rFonts w:hint="eastAsia" w:ascii="仿宋" w:hAnsi="仿宋" w:eastAsia="仿宋" w:cs="仿宋"/>
          <w:b/>
          <w:sz w:val="24"/>
        </w:rPr>
        <w:t>4. 项目考核与验收</w:t>
      </w:r>
      <w:bookmarkEnd w:id="22"/>
    </w:p>
    <w:p w14:paraId="78DE6B7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4.1 本项目采用月度动态考核+年度总验收的方式，由采购人信息科牵头，联合医务科、质控科等相关部门，或邀请外部专家开展考核评价与验收工作，成交供应商须无条件配合，并提供全部所需的运维记录、报告等资料。</w:t>
      </w:r>
    </w:p>
    <w:p w14:paraId="2F1BF3D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4.2 考核标准：严格按照本文件附件《信息系统售后运维服务质量评价标准》执行，评分满分100分。90分（含）-100分为优秀，70分（含）-89分为合格，70分以下为不合格。</w:t>
      </w:r>
    </w:p>
    <w:p w14:paraId="430AC39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4.3 验收依据：本采购文件、成交供应商响应文件、合同文本、国家及行业现行相关标准规范、月度考核记录、运维服务报告、服务满意度调查结果、项目考核汇总表等。</w:t>
      </w:r>
    </w:p>
    <w:p w14:paraId="1F85009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4.4 年度验收合格的前提：服务期内无重大数据安全事件、无重大服务质量投诉、无因服务商责任导致的单病种数据上报延误/错误引发的监管处罚、无医疗业务重大中断事故，年度考核评分≥70分。</w:t>
      </w:r>
    </w:p>
    <w:p w14:paraId="5EC11BA4">
      <w:pPr>
        <w:snapToGrid w:val="0"/>
        <w:spacing w:line="360" w:lineRule="auto"/>
        <w:jc w:val="left"/>
        <w:rPr>
          <w:rFonts w:ascii="仿宋" w:hAnsi="仿宋" w:eastAsia="仿宋" w:cs="仿宋"/>
          <w:sz w:val="24"/>
        </w:rPr>
      </w:pPr>
      <w:bookmarkStart w:id="23" w:name="heading_40"/>
      <w:r>
        <w:rPr>
          <w:rFonts w:hint="eastAsia" w:ascii="仿宋" w:hAnsi="仿宋" w:eastAsia="仿宋" w:cs="仿宋"/>
          <w:b/>
          <w:sz w:val="24"/>
        </w:rPr>
        <w:t>5. 结算与付款方式</w:t>
      </w:r>
      <w:bookmarkEnd w:id="23"/>
    </w:p>
    <w:p w14:paraId="00ED5CB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 结算主体为采购人，结算前，成交供应商须向采购人开具合法、等额、有效的发票，采购人收到发票后按以下约定付款，因供应商发票开具不合规导致的付款延误，由供应商自行承担全部责任。</w:t>
      </w:r>
    </w:p>
    <w:p w14:paraId="4A8F6B9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 付款方式：</w:t>
      </w:r>
    </w:p>
    <w:p w14:paraId="19BDAA9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第一笔款项：双方签订合同后5日内付合同价款的50%；</w:t>
      </w:r>
    </w:p>
    <w:p w14:paraId="2765454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711D2899">
      <w:pPr>
        <w:pStyle w:val="34"/>
        <w:snapToGrid w:val="0"/>
        <w:spacing w:line="360" w:lineRule="auto"/>
        <w:ind w:left="860" w:hanging="420" w:firstLineChars="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6D7DCAB2">
      <w:pPr>
        <w:pStyle w:val="34"/>
        <w:snapToGrid w:val="0"/>
        <w:spacing w:line="360" w:lineRule="auto"/>
        <w:ind w:left="860" w:hanging="420" w:firstLineChars="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03E2A25A">
      <w:pPr>
        <w:pStyle w:val="34"/>
        <w:snapToGrid w:val="0"/>
        <w:spacing w:line="360" w:lineRule="auto"/>
        <w:ind w:left="860" w:hanging="420" w:firstLineChars="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26EEF8E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5.3 月度考核连续2个月低于70分，或年度内累计3个月低于70分的，直接认定为年度考核不合格。</w:t>
      </w:r>
    </w:p>
    <w:p w14:paraId="7C1D2053">
      <w:pPr>
        <w:snapToGrid w:val="0"/>
        <w:spacing w:line="360" w:lineRule="auto"/>
        <w:jc w:val="left"/>
        <w:rPr>
          <w:rFonts w:ascii="仿宋" w:hAnsi="仿宋" w:eastAsia="仿宋" w:cs="仿宋"/>
          <w:sz w:val="24"/>
        </w:rPr>
      </w:pPr>
      <w:bookmarkStart w:id="24" w:name="heading_41"/>
      <w:r>
        <w:rPr>
          <w:rFonts w:hint="eastAsia" w:ascii="仿宋" w:hAnsi="仿宋" w:eastAsia="仿宋" w:cs="仿宋"/>
          <w:b/>
          <w:sz w:val="24"/>
        </w:rPr>
        <w:t>6. 知识产权条款</w:t>
      </w:r>
      <w:bookmarkEnd w:id="24"/>
    </w:p>
    <w:p w14:paraId="6509541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6.1 供应商须保证，其提供的运维服务、软件更新、升级服务及相关技术成果，不会出现任何第三方提出侵犯其专利权、商标权、著作权或其他知识产权的主张或诉讼，如发生前述情形，由供应商承担全部法律责任，并赔偿采购人因此遭受的全部经济损失。</w:t>
      </w:r>
    </w:p>
    <w:p w14:paraId="3B5C52A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6.2 本项目涉及系统的软件著作权、知识产权归原权利人所有，供应商仅可基于本项目运维服务目的，在采购人授权范围内使用相关软件及技术资料，不得擅自复制、分发、转让、反编译、反向工程，不得用于任何其他用途。</w:t>
      </w:r>
    </w:p>
    <w:p w14:paraId="3BEDFC5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6.3 服务期内，采购人基于系统使用产生的全部医疗数据、业务数据、患者个人信息、单病种上报数据等所有数据的所有权、使用权均归采购人所有，供应商不得主张任何权利，不得擅自使用。</w:t>
      </w:r>
    </w:p>
    <w:p w14:paraId="225006AE">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6.4 供应商为采购人提供的定制化功能开发、政策适配升级、报表开发、技术方案等成果，知识产权归采购人所有，供应商仅可保留非商业用途的技术使用权。</w:t>
      </w:r>
    </w:p>
    <w:p w14:paraId="36BE5534">
      <w:pPr>
        <w:snapToGrid w:val="0"/>
        <w:spacing w:line="360" w:lineRule="auto"/>
        <w:jc w:val="left"/>
        <w:rPr>
          <w:rFonts w:ascii="仿宋" w:hAnsi="仿宋" w:eastAsia="仿宋" w:cs="仿宋"/>
          <w:sz w:val="24"/>
        </w:rPr>
      </w:pPr>
      <w:bookmarkStart w:id="25" w:name="heading_42"/>
      <w:r>
        <w:rPr>
          <w:rFonts w:hint="eastAsia" w:ascii="仿宋" w:hAnsi="仿宋" w:eastAsia="仿宋" w:cs="仿宋"/>
          <w:b/>
          <w:sz w:val="24"/>
        </w:rPr>
        <w:t>7. 违约责任</w:t>
      </w:r>
      <w:bookmarkEnd w:id="25"/>
    </w:p>
    <w:p w14:paraId="01DFEB3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7.1 本合同违约责任严格按照《中华人民共和国民法典》相关条款执行。</w:t>
      </w:r>
    </w:p>
    <w:p w14:paraId="2024BB2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7.2 供应商未按合同约定提供服务，或服务质量、响应时效、技术能力不满足合同要求，采购人有权按《服务质量评价标准》扣除对应款项，并要求供应商限期整改；整改后仍无法满足合同要求的，采购人有权扣除对应合同款项，直至单方面解除合同，供应商须承担采购人因此遭受的全部损失。</w:t>
      </w:r>
    </w:p>
    <w:p w14:paraId="2C07E54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7.3 供应商未按故障SLA要求完成响应与故障处置的，每出现一次一级故障超时，扣除合同总价款的5%；每出现一次二级故障超时，扣除合同总价款的2%；三级、四级故障超时，按评价标准扣除对应分值，并累计扣除合同款项。因供应商故障处置不及时导致医院单病种数据上报延误/错误、产生监管处罚、医疗纠纷的，全部责任与经济损失由供应商承担。</w:t>
      </w:r>
    </w:p>
    <w:p w14:paraId="253D860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7.4 供应商违反数据安全与保密约定，发生数据泄露、篡改、丢失等事件，或擅自使用、转让采购人数据的，采购人有权立即解除合同，不予支付剩余全部合同款项，供应商须支付合同总价款30%的违约金，同时承担全部法律责任，赔偿采购人因此遭受的全部经济损失（含监管处罚、民事赔偿、商誉损失等）。</w:t>
      </w:r>
    </w:p>
    <w:p w14:paraId="426FEE1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7.5 供应商未经采购人同意，擅自更换项目核心人员、转包/分包本项目服务的，采购人有权扣除合同总价款的10%作为违约金，情节严重的，有权解除合同。</w:t>
      </w:r>
    </w:p>
    <w:p w14:paraId="77CCB9F8">
      <w:pPr>
        <w:snapToGrid w:val="0"/>
        <w:spacing w:line="360" w:lineRule="auto"/>
        <w:jc w:val="left"/>
        <w:rPr>
          <w:rFonts w:ascii="仿宋" w:hAnsi="仿宋" w:eastAsia="仿宋" w:cs="仿宋"/>
          <w:sz w:val="24"/>
        </w:rPr>
      </w:pPr>
      <w:bookmarkStart w:id="26" w:name="heading_43"/>
      <w:r>
        <w:rPr>
          <w:rFonts w:hint="eastAsia" w:ascii="仿宋" w:hAnsi="仿宋" w:eastAsia="仿宋" w:cs="仿宋"/>
          <w:b/>
          <w:sz w:val="24"/>
        </w:rPr>
        <w:t>8. 其他约定</w:t>
      </w:r>
      <w:bookmarkEnd w:id="26"/>
    </w:p>
    <w:p w14:paraId="14BE4DF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8.1 本项目技术要求与商务要求为合同核心条款，不允许任何负偏离，供应商响应文件须对所有条款作出完全响应承诺，负偏离响应将按无效响应处理。</w:t>
      </w:r>
    </w:p>
    <w:p w14:paraId="622D7A6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8.2 服务期内，如遇国家政策法规、单病种上报标准发生重大调整，采购人有权对服务内容与要求进行合规性调整，供应商须无条件配合，不得额外收取费用。</w:t>
      </w:r>
    </w:p>
    <w:p w14:paraId="4FFEC7E8">
      <w:pPr>
        <w:pStyle w:val="40"/>
        <w:snapToGrid w:val="0"/>
        <w:spacing w:line="360" w:lineRule="auto"/>
        <w:ind w:firstLine="480" w:firstLineChars="200"/>
        <w:rPr>
          <w:rFonts w:hint="default" w:ascii="仿宋" w:hAnsi="仿宋" w:eastAsia="仿宋" w:cs="仿宋"/>
          <w:sz w:val="24"/>
          <w:szCs w:val="24"/>
        </w:rPr>
      </w:pPr>
      <w:r>
        <w:rPr>
          <w:rFonts w:ascii="仿宋" w:hAnsi="仿宋" w:eastAsia="仿宋" w:cs="仿宋"/>
          <w:sz w:val="24"/>
          <w:szCs w:val="24"/>
        </w:rPr>
        <w:t>8.3 本文件未尽事宜，由双方在合同中另行约定，约定内容不得违反本文件的核心要求与国家相关法律法规。</w:t>
      </w:r>
    </w:p>
    <w:p w14:paraId="60E110C3">
      <w:pPr>
        <w:spacing w:line="360" w:lineRule="auto"/>
        <w:outlineLvl w:val="1"/>
        <w:rPr>
          <w:rFonts w:ascii="仿宋" w:hAnsi="仿宋" w:eastAsia="仿宋" w:cs="仿宋"/>
          <w:b/>
          <w:bCs/>
          <w:sz w:val="24"/>
        </w:rPr>
      </w:pPr>
      <w:r>
        <w:rPr>
          <w:rFonts w:hint="eastAsia" w:ascii="仿宋" w:hAnsi="仿宋" w:eastAsia="仿宋" w:cs="仿宋"/>
          <w:sz w:val="24"/>
        </w:rPr>
        <w:br w:type="page"/>
      </w:r>
      <w:r>
        <w:rPr>
          <w:rFonts w:hint="eastAsia" w:ascii="仿宋" w:hAnsi="仿宋" w:eastAsia="仿宋" w:cs="仿宋"/>
          <w:b/>
          <w:bCs/>
          <w:sz w:val="24"/>
        </w:rPr>
        <w:t>合同包2-采购需求（临床药学管理系统售后服务）</w:t>
      </w:r>
    </w:p>
    <w:p w14:paraId="0CB76287">
      <w:pPr>
        <w:snapToGrid w:val="0"/>
        <w:spacing w:line="360" w:lineRule="auto"/>
        <w:jc w:val="left"/>
        <w:rPr>
          <w:rFonts w:ascii="仿宋" w:hAnsi="仿宋" w:eastAsia="仿宋" w:cs="仿宋"/>
          <w:sz w:val="24"/>
        </w:rPr>
      </w:pPr>
      <w:bookmarkStart w:id="27" w:name="heading_0"/>
      <w:r>
        <w:rPr>
          <w:rFonts w:hint="eastAsia" w:ascii="仿宋" w:hAnsi="仿宋" w:eastAsia="仿宋" w:cs="仿宋"/>
          <w:b/>
          <w:sz w:val="24"/>
        </w:rPr>
        <w:t>一、项目概述</w:t>
      </w:r>
      <w:bookmarkEnd w:id="27"/>
    </w:p>
    <w:p w14:paraId="608EB48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采购人自2018年11月启用《合理用药监测系统V4.2》、《临床药学管理系统V2.2》和《合理用药信息支持系统V3.0》以来，系统已成为医院药学管理、临床合理用药监管、药品全流程管控的核心支撑平台，覆盖处方医嘱点评、药品专项管控、医药信息查询、用药指导、药事管理、统计分析等全流程药学相关业务，承担医院合理用药监测、药品安全管控、药事合规监管等关键职能，依托海量权威医药学数据库，运用信息技术实现医嘱自动审查和医药信息在线查询，及时发现潜在的不合理用药问题，助力提升医院合理用药水平与药学服务质量。</w:t>
      </w:r>
    </w:p>
    <w:p w14:paraId="6CA4227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为保障药学信息系统安全稳定运行，确保临床合理用药监测无遗漏、药品管控全流程可追溯、药事数据合规可审计，契合行业规范要求，现委托具备药学信息系统原厂维护授权、专业药学信息化运维服务能力的供应商，为采购人提供该系统全流程售后运维与技术支持服务，完善系统运维管理体系，提升系统运行稳定性、安全性与合规性，保障药学服务与药事管理工作有序开展。</w:t>
      </w:r>
    </w:p>
    <w:p w14:paraId="38AAAEAC">
      <w:pPr>
        <w:snapToGrid w:val="0"/>
        <w:spacing w:line="360" w:lineRule="auto"/>
        <w:jc w:val="left"/>
        <w:rPr>
          <w:rFonts w:ascii="仿宋" w:hAnsi="仿宋" w:eastAsia="仿宋" w:cs="仿宋"/>
          <w:sz w:val="24"/>
        </w:rPr>
      </w:pPr>
      <w:bookmarkStart w:id="28" w:name="heading_1"/>
      <w:r>
        <w:rPr>
          <w:rFonts w:hint="eastAsia" w:ascii="仿宋" w:hAnsi="仿宋" w:eastAsia="仿宋" w:cs="仿宋"/>
          <w:b/>
          <w:sz w:val="24"/>
        </w:rPr>
        <w:t>二、技术要求</w:t>
      </w:r>
      <w:bookmarkEnd w:id="28"/>
    </w:p>
    <w:p w14:paraId="3EDA5AF5">
      <w:pPr>
        <w:snapToGrid w:val="0"/>
        <w:spacing w:line="360" w:lineRule="auto"/>
        <w:jc w:val="left"/>
        <w:rPr>
          <w:rFonts w:ascii="仿宋" w:hAnsi="仿宋" w:eastAsia="仿宋" w:cs="仿宋"/>
          <w:sz w:val="24"/>
        </w:rPr>
      </w:pPr>
      <w:bookmarkStart w:id="29" w:name="heading_2"/>
      <w:r>
        <w:rPr>
          <w:rFonts w:hint="eastAsia" w:ascii="仿宋" w:hAnsi="仿宋" w:eastAsia="仿宋" w:cs="仿宋"/>
          <w:b/>
          <w:sz w:val="24"/>
        </w:rPr>
        <w:t>1. 名词解释</w:t>
      </w:r>
      <w:bookmarkEnd w:id="29"/>
    </w:p>
    <w:p w14:paraId="48C6C00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本文件所涉及名词定义严格遵循国家信息技术服务标准（ITSS）、医疗信息化行业规范、卫健系统药事管理与网络安全相关法律法规，结合药学信息系统特性，具体如下：</w:t>
      </w:r>
    </w:p>
    <w:p w14:paraId="0D745213">
      <w:pPr>
        <w:snapToGrid w:val="0"/>
        <w:spacing w:line="360" w:lineRule="auto"/>
        <w:ind w:firstLine="480" w:firstLineChars="200"/>
        <w:jc w:val="left"/>
        <w:rPr>
          <w:rFonts w:ascii="仿宋" w:hAnsi="仿宋" w:eastAsia="仿宋" w:cs="仿宋"/>
          <w:sz w:val="24"/>
        </w:rPr>
      </w:pPr>
      <w:bookmarkStart w:id="30" w:name="heading_3"/>
      <w:r>
        <w:rPr>
          <w:rFonts w:hint="eastAsia" w:ascii="仿宋" w:hAnsi="仿宋" w:eastAsia="仿宋" w:cs="仿宋"/>
          <w:sz w:val="24"/>
        </w:rPr>
        <w:t xml:space="preserve">1.1 </w:t>
      </w:r>
      <w:r>
        <w:rPr>
          <w:rFonts w:hint="eastAsia" w:ascii="仿宋" w:hAnsi="仿宋" w:eastAsia="仿宋" w:cs="仿宋"/>
          <w:b/>
          <w:sz w:val="24"/>
        </w:rPr>
        <w:t>维护</w:t>
      </w:r>
      <w:r>
        <w:rPr>
          <w:rFonts w:hint="eastAsia" w:ascii="仿宋" w:hAnsi="仿宋" w:eastAsia="仿宋" w:cs="仿宋"/>
          <w:sz w:val="24"/>
        </w:rPr>
        <w:t>：指服务供应商为采购人提供许可软件的全生命周期技术支撑，包括但不限于故障排查与修复、技术指导、运行优化、合规适配、安全加固等服务工作的总称。</w:t>
      </w:r>
    </w:p>
    <w:p w14:paraId="37305C3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1.2 </w:t>
      </w:r>
      <w:r>
        <w:rPr>
          <w:rFonts w:hint="eastAsia" w:ascii="仿宋" w:hAnsi="仿宋" w:eastAsia="仿宋" w:cs="仿宋"/>
          <w:b/>
          <w:sz w:val="24"/>
        </w:rPr>
        <w:t>现场</w:t>
      </w:r>
      <w:r>
        <w:rPr>
          <w:rFonts w:hint="eastAsia" w:ascii="仿宋" w:hAnsi="仿宋" w:eastAsia="仿宋" w:cs="仿宋"/>
          <w:sz w:val="24"/>
        </w:rPr>
        <w:t>：指采购人许可系统部署、使用的全部场所，含医院本部院区、各分院区、社区服务点等所有系统终端部署点位。</w:t>
      </w:r>
    </w:p>
    <w:p w14:paraId="6A68345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1.3 </w:t>
      </w:r>
      <w:r>
        <w:rPr>
          <w:rFonts w:hint="eastAsia" w:ascii="仿宋" w:hAnsi="仿宋" w:eastAsia="仿宋" w:cs="仿宋"/>
          <w:b/>
          <w:sz w:val="24"/>
        </w:rPr>
        <w:t>现场维护</w:t>
      </w:r>
      <w:r>
        <w:rPr>
          <w:rFonts w:hint="eastAsia" w:ascii="仿宋" w:hAnsi="仿宋" w:eastAsia="仿宋" w:cs="仿宋"/>
          <w:sz w:val="24"/>
        </w:rPr>
        <w:t>：指服务供应商针对采购人提出的技术服务请求，派遣具备对应资质的技术人员到采购人指定现场，完成问题处置、技术服务的全过程。</w:t>
      </w:r>
    </w:p>
    <w:p w14:paraId="5DB18B0F">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1.4 </w:t>
      </w:r>
      <w:r>
        <w:rPr>
          <w:rFonts w:hint="eastAsia" w:ascii="仿宋" w:hAnsi="仿宋" w:eastAsia="仿宋" w:cs="仿宋"/>
          <w:b/>
          <w:sz w:val="24"/>
        </w:rPr>
        <w:t>远程维护</w:t>
      </w:r>
      <w:r>
        <w:rPr>
          <w:rFonts w:hint="eastAsia" w:ascii="仿宋" w:hAnsi="仿宋" w:eastAsia="仿宋" w:cs="仿宋"/>
          <w:sz w:val="24"/>
        </w:rPr>
        <w:t>：指服务供应商针对采购人提出的技术服务请求，通过加密专线、安全远程接入方式，向采购人提供问题解答、技术指导、远程故障排查与修复的服务过程，远程操作须全程留痕、符合医院网络安全管理规定。</w:t>
      </w:r>
    </w:p>
    <w:p w14:paraId="76AC399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1.5 </w:t>
      </w:r>
      <w:r>
        <w:rPr>
          <w:rFonts w:hint="eastAsia" w:ascii="仿宋" w:hAnsi="仿宋" w:eastAsia="仿宋" w:cs="仿宋"/>
          <w:b/>
          <w:sz w:val="24"/>
        </w:rPr>
        <w:t>软件更新</w:t>
      </w:r>
      <w:r>
        <w:rPr>
          <w:rFonts w:hint="eastAsia" w:ascii="仿宋" w:hAnsi="仿宋" w:eastAsia="仿宋" w:cs="仿宋"/>
          <w:sz w:val="24"/>
        </w:rPr>
        <w:t>：指为保障系统合规性、安全性、功能性，对许可软件进行的安全补丁更新、故障优化、版本迭代、政策适配性升级、功能完善的全过程，不限于仅故障场景。</w:t>
      </w:r>
    </w:p>
    <w:p w14:paraId="511B90D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1.6 </w:t>
      </w:r>
      <w:r>
        <w:rPr>
          <w:rFonts w:hint="eastAsia" w:ascii="仿宋" w:hAnsi="仿宋" w:eastAsia="仿宋" w:cs="仿宋"/>
          <w:b/>
          <w:sz w:val="24"/>
        </w:rPr>
        <w:t>技术支持</w:t>
      </w:r>
      <w:r>
        <w:rPr>
          <w:rFonts w:hint="eastAsia" w:ascii="仿宋" w:hAnsi="仿宋" w:eastAsia="仿宋" w:cs="仿宋"/>
          <w:sz w:val="24"/>
        </w:rPr>
        <w:t>：指服务供应商为保障许可软件和系统持续稳定运行，在服务期内通过电话、互联网、现场服务等方式，向采购人提供的7×24小时技术援助、操作指导与问题处置服务。</w:t>
      </w:r>
    </w:p>
    <w:p w14:paraId="14B7A21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1.7 </w:t>
      </w:r>
      <w:r>
        <w:rPr>
          <w:rFonts w:hint="eastAsia" w:ascii="仿宋" w:hAnsi="仿宋" w:eastAsia="仿宋" w:cs="仿宋"/>
          <w:b/>
          <w:sz w:val="24"/>
        </w:rPr>
        <w:t>热线支持</w:t>
      </w:r>
      <w:r>
        <w:rPr>
          <w:rFonts w:hint="eastAsia" w:ascii="仿宋" w:hAnsi="仿宋" w:eastAsia="仿宋" w:cs="仿宋"/>
          <w:sz w:val="24"/>
        </w:rPr>
        <w:t>：指服务供应商客户服务中心通过专属服务热线，7×24小时向采购人提供技术问题解答、服务请求受理、故障派单的服务过程。</w:t>
      </w:r>
    </w:p>
    <w:p w14:paraId="1F28EAA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1.8 </w:t>
      </w:r>
      <w:r>
        <w:rPr>
          <w:rFonts w:hint="eastAsia" w:ascii="仿宋" w:hAnsi="仿宋" w:eastAsia="仿宋" w:cs="仿宋"/>
          <w:b/>
          <w:sz w:val="24"/>
        </w:rPr>
        <w:t>在线技术支持</w:t>
      </w:r>
      <w:r>
        <w:rPr>
          <w:rFonts w:hint="eastAsia" w:ascii="仿宋" w:hAnsi="仿宋" w:eastAsia="仿宋" w:cs="仿宋"/>
          <w:sz w:val="24"/>
        </w:rPr>
        <w:t>：指服务供应商客户服务中心通过安全在线支持系统，接收、解答采购人问题，发布相关技术解决方案、操作指引的服务过程。</w:t>
      </w:r>
    </w:p>
    <w:p w14:paraId="10C3BB5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1.9 </w:t>
      </w:r>
      <w:r>
        <w:rPr>
          <w:rFonts w:hint="eastAsia" w:ascii="仿宋" w:hAnsi="仿宋" w:eastAsia="仿宋" w:cs="仿宋"/>
          <w:b/>
          <w:sz w:val="24"/>
        </w:rPr>
        <w:t>响应时间</w:t>
      </w:r>
      <w:r>
        <w:rPr>
          <w:rFonts w:hint="eastAsia" w:ascii="仿宋" w:hAnsi="仿宋" w:eastAsia="仿宋" w:cs="仿宋"/>
          <w:sz w:val="24"/>
        </w:rPr>
        <w:t>：指服务供应商接到采购人正式服务请求后，到与采购人完成沟通、明确故障情况、出具服务承诺与初步处置方案的时间。</w:t>
      </w:r>
    </w:p>
    <w:p w14:paraId="306496E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1.10 </w:t>
      </w:r>
      <w:r>
        <w:rPr>
          <w:rFonts w:hint="eastAsia" w:ascii="仿宋" w:hAnsi="仿宋" w:eastAsia="仿宋" w:cs="仿宋"/>
          <w:b/>
          <w:sz w:val="24"/>
        </w:rPr>
        <w:t>解决时间</w:t>
      </w:r>
      <w:r>
        <w:rPr>
          <w:rFonts w:hint="eastAsia" w:ascii="仿宋" w:hAnsi="仿宋" w:eastAsia="仿宋" w:cs="仿宋"/>
          <w:sz w:val="24"/>
        </w:rPr>
        <w:t>：指服务供应商从接到服务请求起，到系统故障完全修复、业务恢复正常运行、问题闭环处置的时间。</w:t>
      </w:r>
    </w:p>
    <w:p w14:paraId="2F5347F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1.11 </w:t>
      </w:r>
      <w:r>
        <w:rPr>
          <w:rFonts w:hint="eastAsia" w:ascii="仿宋" w:hAnsi="仿宋" w:eastAsia="仿宋" w:cs="仿宋"/>
          <w:b/>
          <w:sz w:val="24"/>
        </w:rPr>
        <w:t>数据安全事件</w:t>
      </w:r>
      <w:r>
        <w:rPr>
          <w:rFonts w:hint="eastAsia" w:ascii="仿宋" w:hAnsi="仿宋" w:eastAsia="仿宋" w:cs="仿宋"/>
          <w:sz w:val="24"/>
        </w:rPr>
        <w:t>：指系统运行过程中发生的，可能或已经导致医疗数据、患者个人信息泄露、损毁、篡改、丢失，以及系统被非法入侵、攻击等影响数据安全的事件。</w:t>
      </w:r>
    </w:p>
    <w:p w14:paraId="17C890A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1.12 </w:t>
      </w:r>
      <w:r>
        <w:rPr>
          <w:rFonts w:hint="eastAsia" w:ascii="仿宋" w:hAnsi="仿宋" w:eastAsia="仿宋" w:cs="仿宋"/>
          <w:b/>
          <w:sz w:val="24"/>
        </w:rPr>
        <w:t>等保合规</w:t>
      </w:r>
      <w:r>
        <w:rPr>
          <w:rFonts w:hint="eastAsia" w:ascii="仿宋" w:hAnsi="仿宋" w:eastAsia="仿宋" w:cs="仿宋"/>
          <w:sz w:val="24"/>
        </w:rPr>
        <w:t>：指系统运行与运维服务须符合国家网络安全等级保护2.0标准对应级别的全部要求。</w:t>
      </w:r>
    </w:p>
    <w:p w14:paraId="6989D742">
      <w:pPr>
        <w:snapToGrid w:val="0"/>
        <w:spacing w:line="360" w:lineRule="auto"/>
        <w:jc w:val="left"/>
        <w:rPr>
          <w:rFonts w:ascii="仿宋" w:hAnsi="仿宋" w:eastAsia="仿宋" w:cs="仿宋"/>
          <w:sz w:val="24"/>
        </w:rPr>
      </w:pPr>
      <w:r>
        <w:rPr>
          <w:rFonts w:hint="eastAsia" w:ascii="仿宋" w:hAnsi="仿宋" w:eastAsia="仿宋" w:cs="仿宋"/>
          <w:b/>
          <w:sz w:val="24"/>
        </w:rPr>
        <w:t>2. 运维服务系统范围</w:t>
      </w:r>
      <w:bookmarkEnd w:id="30"/>
    </w:p>
    <w:p w14:paraId="5172213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采购人委托供应商提供售后运维服务的信息系统，包含但不限于下表所列全部模块、子系统及配套硬件设备，同时覆盖系统与院内HIS、LIS、PACS、EMR、医保结算系统、互联网医院平台等现有及未来新增信息系统的接口运维服务，确保系统互联互通。</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1"/>
        <w:gridCol w:w="5877"/>
      </w:tblGrid>
      <w:tr w14:paraId="353E0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5000" w:type="pct"/>
            <w:gridSpan w:val="2"/>
            <w:vAlign w:val="center"/>
          </w:tcPr>
          <w:p w14:paraId="38E89EEB">
            <w:pPr>
              <w:snapToGrid w:val="0"/>
              <w:spacing w:line="360" w:lineRule="auto"/>
              <w:jc w:val="center"/>
              <w:rPr>
                <w:rFonts w:ascii="仿宋" w:hAnsi="仿宋" w:eastAsia="仿宋" w:cs="仿宋"/>
                <w:b/>
                <w:color w:val="000000"/>
                <w:kern w:val="0"/>
                <w:sz w:val="24"/>
              </w:rPr>
            </w:pPr>
            <w:r>
              <w:rPr>
                <w:rFonts w:hint="eastAsia" w:ascii="仿宋" w:hAnsi="仿宋" w:eastAsia="仿宋" w:cs="仿宋"/>
                <w:b/>
                <w:color w:val="000000"/>
                <w:kern w:val="0"/>
                <w:sz w:val="24"/>
              </w:rPr>
              <w:t>陕西省交通医院药学系统汇总表</w:t>
            </w:r>
          </w:p>
        </w:tc>
      </w:tr>
      <w:tr w14:paraId="3374B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Align w:val="center"/>
          </w:tcPr>
          <w:p w14:paraId="5E04FF87">
            <w:pPr>
              <w:snapToGrid w:val="0"/>
              <w:spacing w:line="360" w:lineRule="auto"/>
              <w:jc w:val="center"/>
              <w:rPr>
                <w:rFonts w:ascii="仿宋" w:hAnsi="仿宋" w:eastAsia="仿宋" w:cs="仿宋"/>
                <w:b/>
                <w:color w:val="000000"/>
                <w:kern w:val="0"/>
                <w:sz w:val="24"/>
              </w:rPr>
            </w:pPr>
            <w:r>
              <w:rPr>
                <w:rFonts w:hint="eastAsia" w:ascii="仿宋" w:hAnsi="仿宋" w:eastAsia="仿宋" w:cs="仿宋"/>
                <w:b/>
                <w:color w:val="000000"/>
                <w:kern w:val="0"/>
                <w:sz w:val="24"/>
              </w:rPr>
              <w:t>信息系统名称</w:t>
            </w:r>
          </w:p>
        </w:tc>
        <w:tc>
          <w:tcPr>
            <w:tcW w:w="3222" w:type="pct"/>
            <w:vAlign w:val="center"/>
          </w:tcPr>
          <w:p w14:paraId="4918864F">
            <w:pPr>
              <w:snapToGrid w:val="0"/>
              <w:spacing w:line="360" w:lineRule="auto"/>
              <w:jc w:val="center"/>
              <w:rPr>
                <w:rFonts w:ascii="仿宋" w:hAnsi="仿宋" w:eastAsia="仿宋" w:cs="仿宋"/>
                <w:b/>
                <w:color w:val="000000"/>
                <w:kern w:val="0"/>
                <w:sz w:val="24"/>
              </w:rPr>
            </w:pPr>
            <w:r>
              <w:rPr>
                <w:rFonts w:hint="eastAsia" w:ascii="仿宋" w:hAnsi="仿宋" w:eastAsia="仿宋" w:cs="仿宋"/>
                <w:b/>
                <w:color w:val="000000"/>
                <w:kern w:val="0"/>
                <w:sz w:val="24"/>
              </w:rPr>
              <w:t>子系统名称</w:t>
            </w:r>
          </w:p>
        </w:tc>
      </w:tr>
      <w:tr w14:paraId="50854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restart"/>
            <w:vAlign w:val="center"/>
          </w:tcPr>
          <w:p w14:paraId="45D9ED50">
            <w:pPr>
              <w:snapToGrid w:val="0"/>
              <w:spacing w:line="360" w:lineRule="auto"/>
              <w:jc w:val="center"/>
              <w:rPr>
                <w:rFonts w:ascii="仿宋" w:hAnsi="仿宋" w:eastAsia="仿宋" w:cs="仿宋"/>
                <w:sz w:val="24"/>
              </w:rPr>
            </w:pPr>
            <w:r>
              <w:rPr>
                <w:rFonts w:hint="eastAsia" w:ascii="仿宋" w:hAnsi="仿宋" w:eastAsia="仿宋" w:cs="仿宋"/>
                <w:color w:val="000000"/>
                <w:kern w:val="0"/>
                <w:sz w:val="24"/>
              </w:rPr>
              <w:t>合理用药监测系统PASSV4.2</w:t>
            </w:r>
          </w:p>
        </w:tc>
        <w:tc>
          <w:tcPr>
            <w:tcW w:w="3222" w:type="pct"/>
            <w:vAlign w:val="center"/>
          </w:tcPr>
          <w:p w14:paraId="742994E5">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1、合理用药检查</w:t>
            </w:r>
          </w:p>
        </w:tc>
      </w:tr>
      <w:tr w14:paraId="3969F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20B204E0">
            <w:pPr>
              <w:snapToGrid w:val="0"/>
              <w:spacing w:line="360" w:lineRule="auto"/>
              <w:jc w:val="center"/>
              <w:rPr>
                <w:rFonts w:ascii="仿宋" w:hAnsi="仿宋" w:eastAsia="仿宋" w:cs="仿宋"/>
                <w:color w:val="000000"/>
                <w:kern w:val="0"/>
                <w:sz w:val="24"/>
              </w:rPr>
            </w:pPr>
          </w:p>
        </w:tc>
        <w:tc>
          <w:tcPr>
            <w:tcW w:w="3222" w:type="pct"/>
            <w:vAlign w:val="center"/>
          </w:tcPr>
          <w:p w14:paraId="65CC8CAE">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2、药物信息查询</w:t>
            </w:r>
          </w:p>
        </w:tc>
      </w:tr>
      <w:tr w14:paraId="6EC5F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2CDF4BEC">
            <w:pPr>
              <w:snapToGrid w:val="0"/>
              <w:spacing w:line="360" w:lineRule="auto"/>
              <w:jc w:val="center"/>
              <w:rPr>
                <w:rFonts w:ascii="仿宋" w:hAnsi="仿宋" w:eastAsia="仿宋" w:cs="仿宋"/>
                <w:color w:val="000000"/>
                <w:kern w:val="0"/>
                <w:sz w:val="24"/>
              </w:rPr>
            </w:pPr>
          </w:p>
        </w:tc>
        <w:tc>
          <w:tcPr>
            <w:tcW w:w="3222" w:type="pct"/>
            <w:vAlign w:val="center"/>
          </w:tcPr>
          <w:p w14:paraId="13D6AF63">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3、用药指导单</w:t>
            </w:r>
          </w:p>
        </w:tc>
      </w:tr>
      <w:tr w14:paraId="102CC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302BC830">
            <w:pPr>
              <w:snapToGrid w:val="0"/>
              <w:spacing w:line="360" w:lineRule="auto"/>
              <w:jc w:val="center"/>
              <w:rPr>
                <w:rFonts w:ascii="仿宋" w:hAnsi="仿宋" w:eastAsia="仿宋" w:cs="仿宋"/>
                <w:color w:val="000000"/>
                <w:kern w:val="0"/>
                <w:sz w:val="24"/>
              </w:rPr>
            </w:pPr>
          </w:p>
        </w:tc>
        <w:tc>
          <w:tcPr>
            <w:tcW w:w="3222" w:type="pct"/>
            <w:vAlign w:val="center"/>
          </w:tcPr>
          <w:p w14:paraId="4E1403EF">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4、统计分析</w:t>
            </w:r>
          </w:p>
        </w:tc>
      </w:tr>
      <w:tr w14:paraId="275A5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51B10D65">
            <w:pPr>
              <w:snapToGrid w:val="0"/>
              <w:spacing w:line="360" w:lineRule="auto"/>
              <w:jc w:val="center"/>
              <w:rPr>
                <w:rFonts w:ascii="仿宋" w:hAnsi="仿宋" w:eastAsia="仿宋" w:cs="仿宋"/>
                <w:color w:val="000000"/>
                <w:kern w:val="0"/>
                <w:sz w:val="24"/>
              </w:rPr>
            </w:pPr>
          </w:p>
        </w:tc>
        <w:tc>
          <w:tcPr>
            <w:tcW w:w="3222" w:type="pct"/>
            <w:vAlign w:val="center"/>
          </w:tcPr>
          <w:p w14:paraId="457E8A69">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5、自定义功能</w:t>
            </w:r>
          </w:p>
        </w:tc>
      </w:tr>
      <w:tr w14:paraId="170BF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346ECA41">
            <w:pPr>
              <w:snapToGrid w:val="0"/>
              <w:spacing w:line="360" w:lineRule="auto"/>
              <w:jc w:val="center"/>
              <w:rPr>
                <w:rFonts w:ascii="仿宋" w:hAnsi="仿宋" w:eastAsia="仿宋" w:cs="仿宋"/>
                <w:color w:val="000000"/>
                <w:kern w:val="0"/>
                <w:sz w:val="24"/>
              </w:rPr>
            </w:pPr>
          </w:p>
        </w:tc>
        <w:tc>
          <w:tcPr>
            <w:tcW w:w="3222" w:type="pct"/>
            <w:vAlign w:val="center"/>
          </w:tcPr>
          <w:p w14:paraId="1ED6EA76">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6、PASS通信平台功能</w:t>
            </w:r>
          </w:p>
        </w:tc>
      </w:tr>
      <w:tr w14:paraId="7485A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restart"/>
            <w:vAlign w:val="center"/>
          </w:tcPr>
          <w:p w14:paraId="6010922A">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临床药学管理系统V2.2</w:t>
            </w:r>
          </w:p>
        </w:tc>
        <w:tc>
          <w:tcPr>
            <w:tcW w:w="3222" w:type="pct"/>
            <w:vAlign w:val="center"/>
          </w:tcPr>
          <w:p w14:paraId="0917451C">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1、病历查看</w:t>
            </w:r>
          </w:p>
        </w:tc>
      </w:tr>
      <w:tr w14:paraId="467A1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688D3A9F">
            <w:pPr>
              <w:snapToGrid w:val="0"/>
              <w:spacing w:line="360" w:lineRule="auto"/>
              <w:jc w:val="center"/>
              <w:rPr>
                <w:rFonts w:ascii="仿宋" w:hAnsi="仿宋" w:eastAsia="仿宋" w:cs="仿宋"/>
                <w:color w:val="000000"/>
                <w:kern w:val="0"/>
                <w:sz w:val="24"/>
              </w:rPr>
            </w:pPr>
          </w:p>
        </w:tc>
        <w:tc>
          <w:tcPr>
            <w:tcW w:w="3222" w:type="pct"/>
            <w:vAlign w:val="center"/>
          </w:tcPr>
          <w:p w14:paraId="78946CF8">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2、处方点评</w:t>
            </w:r>
          </w:p>
        </w:tc>
      </w:tr>
      <w:tr w14:paraId="53E31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4B489910">
            <w:pPr>
              <w:snapToGrid w:val="0"/>
              <w:spacing w:line="360" w:lineRule="auto"/>
              <w:jc w:val="center"/>
              <w:rPr>
                <w:rFonts w:ascii="仿宋" w:hAnsi="仿宋" w:eastAsia="仿宋" w:cs="仿宋"/>
                <w:color w:val="000000"/>
                <w:kern w:val="0"/>
                <w:sz w:val="24"/>
              </w:rPr>
            </w:pPr>
          </w:p>
        </w:tc>
        <w:tc>
          <w:tcPr>
            <w:tcW w:w="3222" w:type="pct"/>
            <w:vAlign w:val="center"/>
          </w:tcPr>
          <w:p w14:paraId="239E2C0C">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3、抗菌药物临床应用检测</w:t>
            </w:r>
          </w:p>
        </w:tc>
      </w:tr>
      <w:tr w14:paraId="4D30D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1FF3AEED">
            <w:pPr>
              <w:snapToGrid w:val="0"/>
              <w:spacing w:line="360" w:lineRule="auto"/>
              <w:jc w:val="center"/>
              <w:rPr>
                <w:rFonts w:ascii="仿宋" w:hAnsi="仿宋" w:eastAsia="仿宋" w:cs="仿宋"/>
                <w:color w:val="000000"/>
                <w:kern w:val="0"/>
                <w:sz w:val="24"/>
              </w:rPr>
            </w:pPr>
          </w:p>
        </w:tc>
        <w:tc>
          <w:tcPr>
            <w:tcW w:w="3222" w:type="pct"/>
            <w:vAlign w:val="center"/>
          </w:tcPr>
          <w:p w14:paraId="7EB47071">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4、电子药历</w:t>
            </w:r>
          </w:p>
        </w:tc>
      </w:tr>
      <w:tr w14:paraId="2A7D9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16AA8CD5">
            <w:pPr>
              <w:snapToGrid w:val="0"/>
              <w:spacing w:line="360" w:lineRule="auto"/>
              <w:jc w:val="center"/>
              <w:rPr>
                <w:rFonts w:ascii="仿宋" w:hAnsi="仿宋" w:eastAsia="仿宋" w:cs="仿宋"/>
                <w:color w:val="000000"/>
                <w:kern w:val="0"/>
                <w:sz w:val="24"/>
              </w:rPr>
            </w:pPr>
          </w:p>
        </w:tc>
        <w:tc>
          <w:tcPr>
            <w:tcW w:w="3222" w:type="pct"/>
            <w:vAlign w:val="center"/>
          </w:tcPr>
          <w:p w14:paraId="78DD8555">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5、统计报表</w:t>
            </w:r>
          </w:p>
        </w:tc>
      </w:tr>
      <w:tr w14:paraId="5FD3C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777" w:type="pct"/>
            <w:vMerge w:val="restart"/>
            <w:vAlign w:val="center"/>
          </w:tcPr>
          <w:p w14:paraId="40B8A73E">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合理用药信息支持系统MCDEXV3.1</w:t>
            </w:r>
          </w:p>
        </w:tc>
        <w:tc>
          <w:tcPr>
            <w:tcW w:w="3222" w:type="pct"/>
            <w:vAlign w:val="center"/>
          </w:tcPr>
          <w:p w14:paraId="72F5375D">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1、药品基本信息</w:t>
            </w:r>
          </w:p>
        </w:tc>
      </w:tr>
      <w:tr w14:paraId="1FF2B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1777" w:type="pct"/>
            <w:vMerge w:val="continue"/>
            <w:vAlign w:val="center"/>
          </w:tcPr>
          <w:p w14:paraId="3090CAB1">
            <w:pPr>
              <w:snapToGrid w:val="0"/>
              <w:spacing w:line="360" w:lineRule="auto"/>
              <w:jc w:val="center"/>
              <w:rPr>
                <w:rFonts w:ascii="仿宋" w:hAnsi="仿宋" w:eastAsia="仿宋" w:cs="仿宋"/>
                <w:color w:val="000000"/>
                <w:kern w:val="0"/>
                <w:sz w:val="24"/>
              </w:rPr>
            </w:pPr>
          </w:p>
        </w:tc>
        <w:tc>
          <w:tcPr>
            <w:tcW w:w="3222" w:type="pct"/>
            <w:vAlign w:val="center"/>
          </w:tcPr>
          <w:p w14:paraId="5651C286">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2、药品说明书</w:t>
            </w:r>
          </w:p>
        </w:tc>
      </w:tr>
      <w:tr w14:paraId="767BC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06FD40BA">
            <w:pPr>
              <w:snapToGrid w:val="0"/>
              <w:spacing w:line="360" w:lineRule="auto"/>
              <w:jc w:val="center"/>
              <w:rPr>
                <w:rFonts w:ascii="仿宋" w:hAnsi="仿宋" w:eastAsia="仿宋" w:cs="仿宋"/>
                <w:sz w:val="24"/>
              </w:rPr>
            </w:pPr>
          </w:p>
        </w:tc>
        <w:tc>
          <w:tcPr>
            <w:tcW w:w="3222" w:type="pct"/>
            <w:vAlign w:val="center"/>
          </w:tcPr>
          <w:p w14:paraId="6F0DB974">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3、药物专论</w:t>
            </w:r>
          </w:p>
        </w:tc>
      </w:tr>
      <w:tr w14:paraId="33B8B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5AA40AD5">
            <w:pPr>
              <w:snapToGrid w:val="0"/>
              <w:spacing w:line="360" w:lineRule="auto"/>
              <w:jc w:val="center"/>
              <w:rPr>
                <w:rFonts w:ascii="仿宋" w:hAnsi="仿宋" w:eastAsia="仿宋" w:cs="仿宋"/>
                <w:color w:val="000000"/>
                <w:kern w:val="0"/>
                <w:sz w:val="24"/>
              </w:rPr>
            </w:pPr>
          </w:p>
        </w:tc>
        <w:tc>
          <w:tcPr>
            <w:tcW w:w="3222" w:type="pct"/>
            <w:vAlign w:val="center"/>
          </w:tcPr>
          <w:p w14:paraId="27305790">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4、用药教育</w:t>
            </w:r>
          </w:p>
        </w:tc>
      </w:tr>
      <w:tr w14:paraId="1E616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38A9BFCD">
            <w:pPr>
              <w:snapToGrid w:val="0"/>
              <w:spacing w:line="360" w:lineRule="auto"/>
              <w:jc w:val="center"/>
              <w:rPr>
                <w:rFonts w:ascii="仿宋" w:hAnsi="仿宋" w:eastAsia="仿宋" w:cs="仿宋"/>
                <w:color w:val="000000"/>
                <w:kern w:val="0"/>
                <w:sz w:val="24"/>
              </w:rPr>
            </w:pPr>
          </w:p>
        </w:tc>
        <w:tc>
          <w:tcPr>
            <w:tcW w:w="3222" w:type="pct"/>
            <w:vAlign w:val="center"/>
          </w:tcPr>
          <w:p w14:paraId="2D695DA5">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5、药物相互作用</w:t>
            </w:r>
          </w:p>
        </w:tc>
      </w:tr>
      <w:tr w14:paraId="20C4F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3F866189">
            <w:pPr>
              <w:snapToGrid w:val="0"/>
              <w:spacing w:line="360" w:lineRule="auto"/>
              <w:jc w:val="center"/>
              <w:rPr>
                <w:rFonts w:ascii="仿宋" w:hAnsi="仿宋" w:eastAsia="仿宋" w:cs="仿宋"/>
                <w:color w:val="000000"/>
                <w:kern w:val="0"/>
                <w:sz w:val="24"/>
              </w:rPr>
            </w:pPr>
          </w:p>
        </w:tc>
        <w:tc>
          <w:tcPr>
            <w:tcW w:w="3222" w:type="pct"/>
            <w:vAlign w:val="center"/>
          </w:tcPr>
          <w:p w14:paraId="6449EE4B">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6、注射剂配伍</w:t>
            </w:r>
          </w:p>
        </w:tc>
      </w:tr>
      <w:tr w14:paraId="686B6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2B885514">
            <w:pPr>
              <w:snapToGrid w:val="0"/>
              <w:spacing w:line="360" w:lineRule="auto"/>
              <w:jc w:val="center"/>
              <w:rPr>
                <w:rFonts w:ascii="仿宋" w:hAnsi="仿宋" w:eastAsia="仿宋" w:cs="仿宋"/>
                <w:color w:val="000000"/>
                <w:kern w:val="0"/>
                <w:sz w:val="24"/>
              </w:rPr>
            </w:pPr>
          </w:p>
        </w:tc>
        <w:tc>
          <w:tcPr>
            <w:tcW w:w="3222" w:type="pct"/>
            <w:vAlign w:val="center"/>
          </w:tcPr>
          <w:p w14:paraId="7C95ACFE">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7、检验值</w:t>
            </w:r>
          </w:p>
        </w:tc>
      </w:tr>
      <w:tr w14:paraId="696AC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08EBEF6C">
            <w:pPr>
              <w:snapToGrid w:val="0"/>
              <w:spacing w:line="360" w:lineRule="auto"/>
              <w:jc w:val="center"/>
              <w:rPr>
                <w:rFonts w:ascii="仿宋" w:hAnsi="仿宋" w:eastAsia="仿宋" w:cs="仿宋"/>
                <w:color w:val="000000"/>
                <w:kern w:val="0"/>
                <w:sz w:val="24"/>
              </w:rPr>
            </w:pPr>
          </w:p>
        </w:tc>
        <w:tc>
          <w:tcPr>
            <w:tcW w:w="3222" w:type="pct"/>
            <w:vAlign w:val="center"/>
          </w:tcPr>
          <w:p w14:paraId="1D492425">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8、临床指南</w:t>
            </w:r>
          </w:p>
        </w:tc>
      </w:tr>
      <w:tr w14:paraId="4E97C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38161F1A">
            <w:pPr>
              <w:snapToGrid w:val="0"/>
              <w:spacing w:line="360" w:lineRule="auto"/>
              <w:jc w:val="center"/>
              <w:rPr>
                <w:rFonts w:ascii="仿宋" w:hAnsi="仿宋" w:eastAsia="仿宋" w:cs="仿宋"/>
                <w:color w:val="000000"/>
                <w:kern w:val="0"/>
                <w:sz w:val="24"/>
              </w:rPr>
            </w:pPr>
          </w:p>
        </w:tc>
        <w:tc>
          <w:tcPr>
            <w:tcW w:w="3222" w:type="pct"/>
            <w:vAlign w:val="center"/>
          </w:tcPr>
          <w:p w14:paraId="4BE646A3">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9、DDD值</w:t>
            </w:r>
          </w:p>
        </w:tc>
      </w:tr>
      <w:tr w14:paraId="2F80D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5F6FEF8C">
            <w:pPr>
              <w:snapToGrid w:val="0"/>
              <w:spacing w:line="360" w:lineRule="auto"/>
              <w:jc w:val="center"/>
              <w:rPr>
                <w:rFonts w:ascii="仿宋" w:hAnsi="仿宋" w:eastAsia="仿宋" w:cs="仿宋"/>
                <w:color w:val="000000"/>
                <w:kern w:val="0"/>
                <w:sz w:val="24"/>
              </w:rPr>
            </w:pPr>
          </w:p>
        </w:tc>
        <w:tc>
          <w:tcPr>
            <w:tcW w:w="3222" w:type="pct"/>
            <w:vAlign w:val="center"/>
          </w:tcPr>
          <w:p w14:paraId="399B8C01">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10、ICD编码</w:t>
            </w:r>
          </w:p>
        </w:tc>
      </w:tr>
      <w:tr w14:paraId="6ABCA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2C783B47">
            <w:pPr>
              <w:snapToGrid w:val="0"/>
              <w:spacing w:line="360" w:lineRule="auto"/>
              <w:jc w:val="center"/>
              <w:rPr>
                <w:rFonts w:ascii="仿宋" w:hAnsi="仿宋" w:eastAsia="仿宋" w:cs="仿宋"/>
                <w:color w:val="000000"/>
                <w:kern w:val="0"/>
                <w:sz w:val="24"/>
              </w:rPr>
            </w:pPr>
          </w:p>
        </w:tc>
        <w:tc>
          <w:tcPr>
            <w:tcW w:w="3222" w:type="pct"/>
            <w:vAlign w:val="center"/>
          </w:tcPr>
          <w:p w14:paraId="77F7405D">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11、临床路径</w:t>
            </w:r>
          </w:p>
        </w:tc>
      </w:tr>
      <w:tr w14:paraId="0C8E3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759A3E6F">
            <w:pPr>
              <w:snapToGrid w:val="0"/>
              <w:spacing w:line="360" w:lineRule="auto"/>
              <w:jc w:val="center"/>
              <w:rPr>
                <w:rFonts w:ascii="仿宋" w:hAnsi="仿宋" w:eastAsia="仿宋" w:cs="仿宋"/>
                <w:color w:val="000000"/>
                <w:kern w:val="0"/>
                <w:sz w:val="24"/>
              </w:rPr>
            </w:pPr>
          </w:p>
        </w:tc>
        <w:tc>
          <w:tcPr>
            <w:tcW w:w="3222" w:type="pct"/>
            <w:vAlign w:val="center"/>
          </w:tcPr>
          <w:p w14:paraId="540A65B1">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12、医药公式</w:t>
            </w:r>
          </w:p>
        </w:tc>
      </w:tr>
      <w:tr w14:paraId="29F46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1AA98D42">
            <w:pPr>
              <w:snapToGrid w:val="0"/>
              <w:spacing w:line="360" w:lineRule="auto"/>
              <w:jc w:val="center"/>
              <w:rPr>
                <w:rFonts w:ascii="仿宋" w:hAnsi="仿宋" w:eastAsia="仿宋" w:cs="仿宋"/>
                <w:color w:val="000000"/>
                <w:kern w:val="0"/>
                <w:sz w:val="24"/>
              </w:rPr>
            </w:pPr>
          </w:p>
        </w:tc>
        <w:tc>
          <w:tcPr>
            <w:tcW w:w="3222" w:type="pct"/>
            <w:vAlign w:val="center"/>
          </w:tcPr>
          <w:p w14:paraId="58F8E411">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13、MCDEX时讯</w:t>
            </w:r>
          </w:p>
        </w:tc>
      </w:tr>
      <w:tr w14:paraId="30540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777" w:type="pct"/>
            <w:vMerge w:val="continue"/>
            <w:vAlign w:val="center"/>
          </w:tcPr>
          <w:p w14:paraId="4B5CE2A8">
            <w:pPr>
              <w:snapToGrid w:val="0"/>
              <w:spacing w:line="360" w:lineRule="auto"/>
              <w:jc w:val="center"/>
              <w:rPr>
                <w:rFonts w:ascii="仿宋" w:hAnsi="仿宋" w:eastAsia="仿宋" w:cs="仿宋"/>
                <w:color w:val="000000"/>
                <w:kern w:val="0"/>
                <w:sz w:val="24"/>
              </w:rPr>
            </w:pPr>
          </w:p>
        </w:tc>
        <w:tc>
          <w:tcPr>
            <w:tcW w:w="3222" w:type="pct"/>
            <w:vAlign w:val="center"/>
          </w:tcPr>
          <w:p w14:paraId="714BCC3C">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14、医药法规</w:t>
            </w:r>
          </w:p>
        </w:tc>
      </w:tr>
    </w:tbl>
    <w:p w14:paraId="5779BB51">
      <w:pPr>
        <w:snapToGrid w:val="0"/>
        <w:spacing w:line="360" w:lineRule="auto"/>
        <w:ind w:firstLine="480" w:firstLineChars="200"/>
        <w:jc w:val="left"/>
        <w:rPr>
          <w:rFonts w:ascii="仿宋" w:hAnsi="仿宋" w:eastAsia="仿宋" w:cs="仿宋"/>
          <w:sz w:val="24"/>
        </w:rPr>
      </w:pPr>
    </w:p>
    <w:p w14:paraId="583DF6B2">
      <w:pPr>
        <w:snapToGrid w:val="0"/>
        <w:spacing w:line="360" w:lineRule="auto"/>
        <w:jc w:val="left"/>
        <w:rPr>
          <w:rFonts w:ascii="仿宋" w:hAnsi="仿宋" w:eastAsia="仿宋" w:cs="仿宋"/>
          <w:sz w:val="24"/>
        </w:rPr>
      </w:pPr>
      <w:bookmarkStart w:id="31" w:name="heading_4"/>
      <w:r>
        <w:rPr>
          <w:rFonts w:hint="eastAsia" w:ascii="仿宋" w:hAnsi="仿宋" w:eastAsia="仿宋" w:cs="仿宋"/>
          <w:b/>
          <w:sz w:val="24"/>
        </w:rPr>
        <w:t>3. 故障分级标准及服务级别协议（SLA）要求</w:t>
      </w:r>
      <w:bookmarkEnd w:id="31"/>
    </w:p>
    <w:p w14:paraId="2402C6A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结合医疗行业业务连续性要求与《医疗卫生机构网络安全管理办法》事件分级标准，制定四级故障分级与刚性SLA要求，服务商须提供7×24小时全时段服务，工作日、节假日、夜间执行统一响应与处置标准，具体如下：</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57"/>
        <w:gridCol w:w="1508"/>
        <w:gridCol w:w="3531"/>
        <w:gridCol w:w="3342"/>
      </w:tblGrid>
      <w:tr w14:paraId="36D6F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14" w:type="pct"/>
            <w:tcMar>
              <w:top w:w="60" w:type="dxa"/>
              <w:left w:w="120" w:type="dxa"/>
              <w:bottom w:w="30" w:type="dxa"/>
              <w:right w:w="120" w:type="dxa"/>
            </w:tcMar>
            <w:vAlign w:val="center"/>
          </w:tcPr>
          <w:p w14:paraId="3ECF4C62">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825" w:type="pct"/>
            <w:tcMar>
              <w:top w:w="60" w:type="dxa"/>
              <w:left w:w="120" w:type="dxa"/>
              <w:bottom w:w="30" w:type="dxa"/>
              <w:right w:w="120" w:type="dxa"/>
            </w:tcMar>
            <w:vAlign w:val="center"/>
          </w:tcPr>
          <w:p w14:paraId="0E86DDC7">
            <w:pPr>
              <w:snapToGrid w:val="0"/>
              <w:spacing w:line="360" w:lineRule="auto"/>
              <w:jc w:val="center"/>
              <w:rPr>
                <w:rFonts w:ascii="仿宋" w:hAnsi="仿宋" w:eastAsia="仿宋" w:cs="仿宋"/>
                <w:b/>
                <w:sz w:val="24"/>
              </w:rPr>
            </w:pPr>
            <w:r>
              <w:rPr>
                <w:rFonts w:hint="eastAsia" w:ascii="仿宋" w:hAnsi="仿宋" w:eastAsia="仿宋" w:cs="仿宋"/>
                <w:b/>
                <w:sz w:val="24"/>
              </w:rPr>
              <w:t>故障等级</w:t>
            </w:r>
          </w:p>
        </w:tc>
        <w:tc>
          <w:tcPr>
            <w:tcW w:w="1931" w:type="pct"/>
            <w:tcMar>
              <w:top w:w="60" w:type="dxa"/>
              <w:left w:w="120" w:type="dxa"/>
              <w:bottom w:w="30" w:type="dxa"/>
              <w:right w:w="120" w:type="dxa"/>
            </w:tcMar>
            <w:vAlign w:val="center"/>
          </w:tcPr>
          <w:p w14:paraId="3E4E0661">
            <w:pPr>
              <w:snapToGrid w:val="0"/>
              <w:spacing w:line="360" w:lineRule="auto"/>
              <w:jc w:val="center"/>
              <w:rPr>
                <w:rFonts w:ascii="仿宋" w:hAnsi="仿宋" w:eastAsia="仿宋" w:cs="仿宋"/>
                <w:b/>
                <w:sz w:val="24"/>
              </w:rPr>
            </w:pPr>
            <w:r>
              <w:rPr>
                <w:rFonts w:hint="eastAsia" w:ascii="仿宋" w:hAnsi="仿宋" w:eastAsia="仿宋" w:cs="仿宋"/>
                <w:b/>
                <w:sz w:val="24"/>
              </w:rPr>
              <w:t>故障情况描述</w:t>
            </w:r>
          </w:p>
        </w:tc>
        <w:tc>
          <w:tcPr>
            <w:tcW w:w="1828" w:type="pct"/>
            <w:tcMar>
              <w:top w:w="60" w:type="dxa"/>
              <w:left w:w="120" w:type="dxa"/>
              <w:bottom w:w="30" w:type="dxa"/>
              <w:right w:w="120" w:type="dxa"/>
            </w:tcMar>
            <w:vAlign w:val="center"/>
          </w:tcPr>
          <w:p w14:paraId="265B56CB">
            <w:pPr>
              <w:snapToGrid w:val="0"/>
              <w:spacing w:line="360" w:lineRule="auto"/>
              <w:jc w:val="center"/>
              <w:rPr>
                <w:rFonts w:ascii="仿宋" w:hAnsi="仿宋" w:eastAsia="仿宋" w:cs="仿宋"/>
                <w:b/>
                <w:sz w:val="24"/>
              </w:rPr>
            </w:pPr>
            <w:r>
              <w:rPr>
                <w:rFonts w:hint="eastAsia" w:ascii="仿宋" w:hAnsi="仿宋" w:eastAsia="仿宋" w:cs="仿宋"/>
                <w:b/>
                <w:sz w:val="24"/>
              </w:rPr>
              <w:t>刚性SLA要求</w:t>
            </w:r>
          </w:p>
        </w:tc>
      </w:tr>
      <w:tr w14:paraId="5589E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14" w:type="pct"/>
            <w:tcMar>
              <w:top w:w="60" w:type="dxa"/>
              <w:left w:w="120" w:type="dxa"/>
              <w:bottom w:w="30" w:type="dxa"/>
              <w:right w:w="120" w:type="dxa"/>
            </w:tcMar>
            <w:vAlign w:val="center"/>
          </w:tcPr>
          <w:p w14:paraId="7D18B1B8">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825" w:type="pct"/>
            <w:tcMar>
              <w:top w:w="60" w:type="dxa"/>
              <w:left w:w="120" w:type="dxa"/>
              <w:bottom w:w="30" w:type="dxa"/>
              <w:right w:w="120" w:type="dxa"/>
            </w:tcMar>
            <w:vAlign w:val="center"/>
          </w:tcPr>
          <w:p w14:paraId="47C97942">
            <w:pPr>
              <w:snapToGrid w:val="0"/>
              <w:spacing w:line="360" w:lineRule="auto"/>
              <w:jc w:val="center"/>
              <w:rPr>
                <w:rFonts w:ascii="仿宋" w:hAnsi="仿宋" w:eastAsia="仿宋" w:cs="仿宋"/>
                <w:sz w:val="24"/>
              </w:rPr>
            </w:pPr>
            <w:r>
              <w:rPr>
                <w:rFonts w:hint="eastAsia" w:ascii="仿宋" w:hAnsi="仿宋" w:eastAsia="仿宋" w:cs="仿宋"/>
                <w:sz w:val="24"/>
              </w:rPr>
              <w:t>一级故障（重大）</w:t>
            </w:r>
          </w:p>
        </w:tc>
        <w:tc>
          <w:tcPr>
            <w:tcW w:w="1931" w:type="pct"/>
            <w:tcMar>
              <w:top w:w="60" w:type="dxa"/>
              <w:left w:w="120" w:type="dxa"/>
              <w:bottom w:w="30" w:type="dxa"/>
              <w:right w:w="120" w:type="dxa"/>
            </w:tcMar>
          </w:tcPr>
          <w:p w14:paraId="24F47346">
            <w:pPr>
              <w:snapToGrid w:val="0"/>
              <w:spacing w:line="360" w:lineRule="auto"/>
              <w:jc w:val="left"/>
              <w:rPr>
                <w:rFonts w:ascii="仿宋" w:hAnsi="仿宋" w:eastAsia="仿宋" w:cs="仿宋"/>
                <w:sz w:val="24"/>
              </w:rPr>
            </w:pPr>
            <w:r>
              <w:rPr>
                <w:rFonts w:hint="eastAsia" w:ascii="仿宋" w:hAnsi="仿宋" w:eastAsia="仿宋" w:cs="仿宋"/>
                <w:sz w:val="24"/>
              </w:rPr>
              <w:t>1. 系统核心服务瘫痪，导致业务中断，多部门终端无法办理业务，严重影响医院正常医疗秩序；</w:t>
            </w:r>
          </w:p>
          <w:p w14:paraId="4149A7EF">
            <w:pPr>
              <w:snapToGrid w:val="0"/>
              <w:spacing w:line="360" w:lineRule="auto"/>
              <w:jc w:val="left"/>
              <w:rPr>
                <w:rFonts w:ascii="仿宋" w:hAnsi="仿宋" w:eastAsia="仿宋" w:cs="仿宋"/>
                <w:sz w:val="24"/>
              </w:rPr>
            </w:pPr>
            <w:r>
              <w:rPr>
                <w:rFonts w:hint="eastAsia" w:ascii="仿宋" w:hAnsi="仿宋" w:eastAsia="仿宋" w:cs="仿宋"/>
                <w:sz w:val="24"/>
              </w:rPr>
              <w:t>2. 系统与HIS、EMR、PACS等核心系统接口完全中断，导致业务数据无法传输，严重影响医院正常医疗秩序</w:t>
            </w:r>
          </w:p>
          <w:p w14:paraId="5C718C6D">
            <w:pPr>
              <w:snapToGrid w:val="0"/>
              <w:spacing w:line="360" w:lineRule="auto"/>
              <w:jc w:val="left"/>
              <w:rPr>
                <w:rFonts w:ascii="仿宋" w:hAnsi="仿宋" w:eastAsia="仿宋" w:cs="仿宋"/>
                <w:sz w:val="24"/>
              </w:rPr>
            </w:pPr>
            <w:r>
              <w:rPr>
                <w:rFonts w:hint="eastAsia" w:ascii="仿宋" w:hAnsi="仿宋" w:eastAsia="仿宋" w:cs="仿宋"/>
                <w:sz w:val="24"/>
              </w:rPr>
              <w:t>3.  发生患者个人信息批量泄露、医疗数据被篡改/丢失等重大数据安全事件；</w:t>
            </w:r>
          </w:p>
          <w:p w14:paraId="573C72C8">
            <w:pPr>
              <w:snapToGrid w:val="0"/>
              <w:spacing w:line="360" w:lineRule="auto"/>
              <w:jc w:val="left"/>
              <w:rPr>
                <w:rFonts w:ascii="仿宋" w:hAnsi="仿宋" w:eastAsia="仿宋" w:cs="仿宋"/>
                <w:sz w:val="24"/>
              </w:rPr>
            </w:pPr>
            <w:r>
              <w:rPr>
                <w:rFonts w:hint="eastAsia" w:ascii="仿宋" w:hAnsi="仿宋" w:eastAsia="仿宋" w:cs="仿宋"/>
                <w:sz w:val="24"/>
              </w:rPr>
              <w:t>4. 系统被非法入侵、攻击，出现高危安全漏洞，威胁医院整体网络安全。</w:t>
            </w:r>
          </w:p>
        </w:tc>
        <w:tc>
          <w:tcPr>
            <w:tcW w:w="1828" w:type="pct"/>
            <w:tcMar>
              <w:top w:w="60" w:type="dxa"/>
              <w:left w:w="120" w:type="dxa"/>
              <w:bottom w:w="30" w:type="dxa"/>
              <w:right w:w="120" w:type="dxa"/>
            </w:tcMar>
          </w:tcPr>
          <w:p w14:paraId="76DC9095">
            <w:pPr>
              <w:snapToGrid w:val="0"/>
              <w:spacing w:line="360" w:lineRule="auto"/>
              <w:jc w:val="left"/>
              <w:rPr>
                <w:rFonts w:ascii="仿宋" w:hAnsi="仿宋" w:eastAsia="仿宋" w:cs="仿宋"/>
                <w:sz w:val="24"/>
              </w:rPr>
            </w:pPr>
            <w:r>
              <w:rPr>
                <w:rFonts w:hint="eastAsia" w:ascii="仿宋" w:hAnsi="仿宋" w:eastAsia="仿宋" w:cs="仿宋"/>
                <w:sz w:val="24"/>
              </w:rPr>
              <w:t>1. 10分钟内必须响应，与采购人明确故障情况，出具应急处置方案；</w:t>
            </w:r>
          </w:p>
          <w:p w14:paraId="36489DA5">
            <w:pPr>
              <w:snapToGrid w:val="0"/>
              <w:spacing w:line="360" w:lineRule="auto"/>
              <w:jc w:val="left"/>
              <w:rPr>
                <w:rFonts w:ascii="仿宋" w:hAnsi="仿宋" w:eastAsia="仿宋" w:cs="仿宋"/>
                <w:sz w:val="24"/>
              </w:rPr>
            </w:pPr>
            <w:r>
              <w:rPr>
                <w:rFonts w:hint="eastAsia" w:ascii="仿宋" w:hAnsi="仿宋" w:eastAsia="仿宋" w:cs="仿宋"/>
                <w:sz w:val="24"/>
              </w:rPr>
              <w:t>2. 4小时内派驻具备资质的技术人员到达现场；</w:t>
            </w:r>
          </w:p>
          <w:p w14:paraId="1CC65246">
            <w:pPr>
              <w:snapToGrid w:val="0"/>
              <w:spacing w:line="360" w:lineRule="auto"/>
              <w:jc w:val="left"/>
              <w:rPr>
                <w:rFonts w:ascii="仿宋" w:hAnsi="仿宋" w:eastAsia="仿宋" w:cs="仿宋"/>
                <w:sz w:val="24"/>
              </w:rPr>
            </w:pPr>
            <w:r>
              <w:rPr>
                <w:rFonts w:hint="eastAsia" w:ascii="仿宋" w:hAnsi="仿宋" w:eastAsia="仿宋" w:cs="仿宋"/>
                <w:sz w:val="24"/>
              </w:rPr>
              <w:t>3. 6小时内完成故障修复，恢复系统核心业务正常运行；</w:t>
            </w:r>
          </w:p>
          <w:p w14:paraId="1BA0B611">
            <w:pPr>
              <w:snapToGrid w:val="0"/>
              <w:spacing w:line="360" w:lineRule="auto"/>
              <w:jc w:val="left"/>
              <w:rPr>
                <w:rFonts w:ascii="仿宋" w:hAnsi="仿宋" w:eastAsia="仿宋" w:cs="仿宋"/>
                <w:sz w:val="24"/>
              </w:rPr>
            </w:pPr>
            <w:r>
              <w:rPr>
                <w:rFonts w:hint="eastAsia" w:ascii="仿宋" w:hAnsi="仿宋" w:eastAsia="仿宋" w:cs="仿宋"/>
                <w:sz w:val="24"/>
              </w:rPr>
              <w:t>4. 无法在时限内完全修复的，须提供临时应急方案保障业务连续性，直至系统完全恢复；</w:t>
            </w:r>
          </w:p>
          <w:p w14:paraId="3883028A">
            <w:pPr>
              <w:snapToGrid w:val="0"/>
              <w:spacing w:line="360" w:lineRule="auto"/>
              <w:jc w:val="left"/>
              <w:rPr>
                <w:rFonts w:ascii="仿宋" w:hAnsi="仿宋" w:eastAsia="仿宋" w:cs="仿宋"/>
                <w:sz w:val="24"/>
              </w:rPr>
            </w:pPr>
            <w:r>
              <w:rPr>
                <w:rFonts w:hint="eastAsia" w:ascii="仿宋" w:hAnsi="仿宋" w:eastAsia="仿宋" w:cs="仿宋"/>
                <w:sz w:val="24"/>
              </w:rPr>
              <w:t>5. 故障处置完成后24小时内提交正式故障分析与复盘报告。</w:t>
            </w:r>
          </w:p>
        </w:tc>
      </w:tr>
      <w:tr w14:paraId="5D8AA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14" w:type="pct"/>
            <w:tcMar>
              <w:top w:w="60" w:type="dxa"/>
              <w:left w:w="120" w:type="dxa"/>
              <w:bottom w:w="30" w:type="dxa"/>
              <w:right w:w="120" w:type="dxa"/>
            </w:tcMar>
            <w:vAlign w:val="center"/>
          </w:tcPr>
          <w:p w14:paraId="74E20AC8">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825" w:type="pct"/>
            <w:tcMar>
              <w:top w:w="60" w:type="dxa"/>
              <w:left w:w="120" w:type="dxa"/>
              <w:bottom w:w="30" w:type="dxa"/>
              <w:right w:w="120" w:type="dxa"/>
            </w:tcMar>
            <w:vAlign w:val="center"/>
          </w:tcPr>
          <w:p w14:paraId="245872A9">
            <w:pPr>
              <w:snapToGrid w:val="0"/>
              <w:spacing w:line="360" w:lineRule="auto"/>
              <w:jc w:val="center"/>
              <w:rPr>
                <w:rFonts w:ascii="仿宋" w:hAnsi="仿宋" w:eastAsia="仿宋" w:cs="仿宋"/>
                <w:sz w:val="24"/>
              </w:rPr>
            </w:pPr>
            <w:r>
              <w:rPr>
                <w:rFonts w:hint="eastAsia" w:ascii="仿宋" w:hAnsi="仿宋" w:eastAsia="仿宋" w:cs="仿宋"/>
                <w:sz w:val="24"/>
              </w:rPr>
              <w:t>二级故障（严重）</w:t>
            </w:r>
          </w:p>
        </w:tc>
        <w:tc>
          <w:tcPr>
            <w:tcW w:w="1931" w:type="pct"/>
            <w:tcMar>
              <w:top w:w="60" w:type="dxa"/>
              <w:left w:w="120" w:type="dxa"/>
              <w:bottom w:w="30" w:type="dxa"/>
              <w:right w:w="120" w:type="dxa"/>
            </w:tcMar>
          </w:tcPr>
          <w:p w14:paraId="67456643">
            <w:pPr>
              <w:snapToGrid w:val="0"/>
              <w:spacing w:line="360" w:lineRule="auto"/>
              <w:jc w:val="left"/>
              <w:rPr>
                <w:rFonts w:ascii="仿宋" w:hAnsi="仿宋" w:eastAsia="仿宋" w:cs="仿宋"/>
                <w:sz w:val="24"/>
              </w:rPr>
            </w:pPr>
            <w:r>
              <w:rPr>
                <w:rFonts w:hint="eastAsia" w:ascii="仿宋" w:hAnsi="仿宋" w:eastAsia="仿宋" w:cs="仿宋"/>
                <w:sz w:val="24"/>
              </w:rPr>
              <w:t>1. 系统操作性能严重降级，核心功能响应延迟超500%，严重影响医生操作与患者业务办理；</w:t>
            </w:r>
          </w:p>
          <w:p w14:paraId="21B3B3A5">
            <w:pPr>
              <w:snapToGrid w:val="0"/>
              <w:spacing w:line="360" w:lineRule="auto"/>
              <w:jc w:val="left"/>
              <w:rPr>
                <w:rFonts w:ascii="仿宋" w:hAnsi="仿宋" w:eastAsia="仿宋" w:cs="仿宋"/>
                <w:sz w:val="24"/>
              </w:rPr>
            </w:pPr>
            <w:r>
              <w:rPr>
                <w:rFonts w:hint="eastAsia" w:ascii="仿宋" w:hAnsi="仿宋" w:eastAsia="仿宋" w:cs="仿宋"/>
                <w:sz w:val="24"/>
              </w:rPr>
              <w:t>2. 核心科室、门诊3个及以上科室系统无法正常使用，影响大面积患者就医；</w:t>
            </w:r>
          </w:p>
          <w:p w14:paraId="735DEC19">
            <w:pPr>
              <w:snapToGrid w:val="0"/>
              <w:spacing w:line="360" w:lineRule="auto"/>
              <w:jc w:val="left"/>
              <w:rPr>
                <w:rFonts w:ascii="仿宋" w:hAnsi="仿宋" w:eastAsia="仿宋" w:cs="仿宋"/>
                <w:sz w:val="24"/>
              </w:rPr>
            </w:pPr>
            <w:r>
              <w:rPr>
                <w:rFonts w:hint="eastAsia" w:ascii="仿宋" w:hAnsi="仿宋" w:eastAsia="仿宋" w:cs="仿宋"/>
                <w:sz w:val="24"/>
              </w:rPr>
              <w:t>3. 系统出现数据异常、统计错误，影响医疗业务正常开展，存在数据安全隐患。</w:t>
            </w:r>
          </w:p>
        </w:tc>
        <w:tc>
          <w:tcPr>
            <w:tcW w:w="1828" w:type="pct"/>
            <w:tcMar>
              <w:top w:w="60" w:type="dxa"/>
              <w:left w:w="120" w:type="dxa"/>
              <w:bottom w:w="30" w:type="dxa"/>
              <w:right w:w="120" w:type="dxa"/>
            </w:tcMar>
          </w:tcPr>
          <w:p w14:paraId="593BC728">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30分钟内必须响应，出具初步处置方案；</w:t>
            </w:r>
          </w:p>
          <w:p w14:paraId="65C3B580">
            <w:pPr>
              <w:snapToGrid w:val="0"/>
              <w:spacing w:line="360" w:lineRule="auto"/>
              <w:jc w:val="left"/>
              <w:rPr>
                <w:rFonts w:ascii="仿宋" w:hAnsi="仿宋" w:eastAsia="仿宋" w:cs="仿宋"/>
                <w:sz w:val="24"/>
              </w:rPr>
            </w:pPr>
            <w:r>
              <w:rPr>
                <w:rFonts w:hint="eastAsia" w:ascii="仿宋" w:hAnsi="仿宋" w:eastAsia="仿宋" w:cs="仿宋"/>
                <w:sz w:val="24"/>
              </w:rPr>
              <w:t>2. 6小时内到达现场或通过安全远程方式完成故障处置；</w:t>
            </w:r>
          </w:p>
          <w:p w14:paraId="651FC77E">
            <w:pPr>
              <w:snapToGrid w:val="0"/>
              <w:spacing w:line="360" w:lineRule="auto"/>
              <w:jc w:val="left"/>
              <w:rPr>
                <w:rFonts w:ascii="仿宋" w:hAnsi="仿宋" w:eastAsia="仿宋" w:cs="仿宋"/>
                <w:sz w:val="24"/>
              </w:rPr>
            </w:pPr>
            <w:r>
              <w:rPr>
                <w:rFonts w:hint="eastAsia" w:ascii="仿宋" w:hAnsi="仿宋" w:eastAsia="仿宋" w:cs="仿宋"/>
                <w:sz w:val="24"/>
              </w:rPr>
              <w:t>3. 12小时内完成故障修复，系统恢复正常运行；</w:t>
            </w:r>
          </w:p>
          <w:p w14:paraId="33BB0947">
            <w:pPr>
              <w:snapToGrid w:val="0"/>
              <w:spacing w:line="360" w:lineRule="auto"/>
              <w:jc w:val="left"/>
              <w:rPr>
                <w:rFonts w:ascii="仿宋" w:hAnsi="仿宋" w:eastAsia="仿宋" w:cs="仿宋"/>
                <w:sz w:val="24"/>
              </w:rPr>
            </w:pPr>
            <w:r>
              <w:rPr>
                <w:rFonts w:hint="eastAsia" w:ascii="仿宋" w:hAnsi="仿宋" w:eastAsia="仿宋" w:cs="仿宋"/>
                <w:sz w:val="24"/>
              </w:rPr>
              <w:t>4. 故障处置完成后3个工作日内提交故障分析报告。</w:t>
            </w:r>
          </w:p>
        </w:tc>
      </w:tr>
      <w:tr w14:paraId="6940E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2" w:hRule="atLeast"/>
        </w:trPr>
        <w:tc>
          <w:tcPr>
            <w:tcW w:w="414" w:type="pct"/>
            <w:tcMar>
              <w:top w:w="60" w:type="dxa"/>
              <w:left w:w="120" w:type="dxa"/>
              <w:bottom w:w="30" w:type="dxa"/>
              <w:right w:w="120" w:type="dxa"/>
            </w:tcMar>
            <w:vAlign w:val="center"/>
          </w:tcPr>
          <w:p w14:paraId="60C7848F">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825" w:type="pct"/>
            <w:tcMar>
              <w:top w:w="60" w:type="dxa"/>
              <w:left w:w="120" w:type="dxa"/>
              <w:bottom w:w="30" w:type="dxa"/>
              <w:right w:w="120" w:type="dxa"/>
            </w:tcMar>
            <w:vAlign w:val="center"/>
          </w:tcPr>
          <w:p w14:paraId="045C1A5B">
            <w:pPr>
              <w:snapToGrid w:val="0"/>
              <w:spacing w:line="360" w:lineRule="auto"/>
              <w:jc w:val="center"/>
              <w:rPr>
                <w:rFonts w:ascii="仿宋" w:hAnsi="仿宋" w:eastAsia="仿宋" w:cs="仿宋"/>
                <w:sz w:val="24"/>
              </w:rPr>
            </w:pPr>
            <w:r>
              <w:rPr>
                <w:rFonts w:hint="eastAsia" w:ascii="仿宋" w:hAnsi="仿宋" w:eastAsia="仿宋" w:cs="仿宋"/>
                <w:sz w:val="24"/>
              </w:rPr>
              <w:t>三级故障（一般）</w:t>
            </w:r>
          </w:p>
        </w:tc>
        <w:tc>
          <w:tcPr>
            <w:tcW w:w="1931" w:type="pct"/>
            <w:tcMar>
              <w:top w:w="60" w:type="dxa"/>
              <w:left w:w="120" w:type="dxa"/>
              <w:bottom w:w="30" w:type="dxa"/>
              <w:right w:w="120" w:type="dxa"/>
            </w:tcMar>
          </w:tcPr>
          <w:p w14:paraId="28F6554F">
            <w:pPr>
              <w:snapToGrid w:val="0"/>
              <w:spacing w:line="360" w:lineRule="auto"/>
              <w:jc w:val="left"/>
              <w:rPr>
                <w:rFonts w:ascii="仿宋" w:hAnsi="仿宋" w:eastAsia="仿宋" w:cs="仿宋"/>
                <w:sz w:val="24"/>
              </w:rPr>
            </w:pPr>
            <w:r>
              <w:rPr>
                <w:rFonts w:hint="eastAsia" w:ascii="仿宋" w:hAnsi="仿宋" w:eastAsia="仿宋" w:cs="仿宋"/>
                <w:sz w:val="24"/>
              </w:rPr>
              <w:t>1. 系统非核心功能受损，仅影响单个科室/少量终端使用，医院核心业务可正常开展；</w:t>
            </w:r>
          </w:p>
          <w:p w14:paraId="31692651">
            <w:pPr>
              <w:snapToGrid w:val="0"/>
              <w:spacing w:line="360" w:lineRule="auto"/>
              <w:jc w:val="left"/>
              <w:rPr>
                <w:rFonts w:ascii="仿宋" w:hAnsi="仿宋" w:eastAsia="仿宋" w:cs="仿宋"/>
                <w:sz w:val="24"/>
              </w:rPr>
            </w:pPr>
            <w:r>
              <w:rPr>
                <w:rFonts w:hint="eastAsia" w:ascii="仿宋" w:hAnsi="仿宋" w:eastAsia="仿宋" w:cs="仿宋"/>
                <w:sz w:val="24"/>
              </w:rPr>
              <w:t>2. 系统出现局部数据异常、报表统计偏差，不影响核心业务办理；</w:t>
            </w:r>
          </w:p>
          <w:p w14:paraId="422E8172">
            <w:pPr>
              <w:snapToGrid w:val="0"/>
              <w:spacing w:line="360" w:lineRule="auto"/>
              <w:jc w:val="left"/>
              <w:rPr>
                <w:rFonts w:ascii="仿宋" w:hAnsi="仿宋" w:eastAsia="仿宋" w:cs="仿宋"/>
                <w:sz w:val="24"/>
              </w:rPr>
            </w:pPr>
            <w:r>
              <w:rPr>
                <w:rFonts w:hint="eastAsia" w:ascii="仿宋" w:hAnsi="仿宋" w:eastAsia="仿宋" w:cs="仿宋"/>
                <w:sz w:val="24"/>
              </w:rPr>
              <w:t>3.配套设备故障，不影响整体业务流程。</w:t>
            </w:r>
          </w:p>
        </w:tc>
        <w:tc>
          <w:tcPr>
            <w:tcW w:w="1828" w:type="pct"/>
            <w:tcMar>
              <w:top w:w="60" w:type="dxa"/>
              <w:left w:w="120" w:type="dxa"/>
              <w:bottom w:w="30" w:type="dxa"/>
              <w:right w:w="120" w:type="dxa"/>
            </w:tcMar>
          </w:tcPr>
          <w:p w14:paraId="1F38C61D">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30分钟内必须响应，出具处置方案；</w:t>
            </w:r>
          </w:p>
          <w:p w14:paraId="6048047A">
            <w:pPr>
              <w:snapToGrid w:val="0"/>
              <w:spacing w:line="360" w:lineRule="auto"/>
              <w:jc w:val="left"/>
              <w:rPr>
                <w:rFonts w:ascii="仿宋" w:hAnsi="仿宋" w:eastAsia="仿宋" w:cs="仿宋"/>
                <w:sz w:val="24"/>
              </w:rPr>
            </w:pPr>
            <w:r>
              <w:rPr>
                <w:rFonts w:hint="eastAsia" w:ascii="仿宋" w:hAnsi="仿宋" w:eastAsia="仿宋" w:cs="仿宋"/>
                <w:sz w:val="24"/>
              </w:rPr>
              <w:t>2. 12小时内到达现场或通过远程方式完成故障处置；</w:t>
            </w:r>
          </w:p>
          <w:p w14:paraId="54E7B866">
            <w:pPr>
              <w:snapToGrid w:val="0"/>
              <w:spacing w:line="360" w:lineRule="auto"/>
              <w:jc w:val="left"/>
              <w:rPr>
                <w:rFonts w:ascii="仿宋" w:hAnsi="仿宋" w:eastAsia="仿宋" w:cs="仿宋"/>
                <w:sz w:val="24"/>
              </w:rPr>
            </w:pPr>
            <w:r>
              <w:rPr>
                <w:rFonts w:hint="eastAsia" w:ascii="仿宋" w:hAnsi="仿宋" w:eastAsia="仿宋" w:cs="仿宋"/>
                <w:sz w:val="24"/>
              </w:rPr>
              <w:t>3. 24小时内完成故障修复，闭环处置问题。</w:t>
            </w:r>
          </w:p>
        </w:tc>
      </w:tr>
      <w:tr w14:paraId="6CB39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14" w:type="pct"/>
            <w:tcMar>
              <w:top w:w="60" w:type="dxa"/>
              <w:left w:w="120" w:type="dxa"/>
              <w:bottom w:w="30" w:type="dxa"/>
              <w:right w:w="120" w:type="dxa"/>
            </w:tcMar>
            <w:vAlign w:val="center"/>
          </w:tcPr>
          <w:p w14:paraId="19FFB7FD">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825" w:type="pct"/>
            <w:tcMar>
              <w:top w:w="60" w:type="dxa"/>
              <w:left w:w="120" w:type="dxa"/>
              <w:bottom w:w="30" w:type="dxa"/>
              <w:right w:w="120" w:type="dxa"/>
            </w:tcMar>
            <w:vAlign w:val="center"/>
          </w:tcPr>
          <w:p w14:paraId="7CF83EC4">
            <w:pPr>
              <w:snapToGrid w:val="0"/>
              <w:spacing w:line="360" w:lineRule="auto"/>
              <w:jc w:val="center"/>
              <w:rPr>
                <w:rFonts w:ascii="仿宋" w:hAnsi="仿宋" w:eastAsia="仿宋" w:cs="仿宋"/>
                <w:sz w:val="24"/>
              </w:rPr>
            </w:pPr>
            <w:r>
              <w:rPr>
                <w:rFonts w:hint="eastAsia" w:ascii="仿宋" w:hAnsi="仿宋" w:eastAsia="仿宋" w:cs="仿宋"/>
                <w:sz w:val="24"/>
              </w:rPr>
              <w:t>四级故障（轻微）</w:t>
            </w:r>
          </w:p>
        </w:tc>
        <w:tc>
          <w:tcPr>
            <w:tcW w:w="1931" w:type="pct"/>
            <w:tcMar>
              <w:top w:w="60" w:type="dxa"/>
              <w:left w:w="120" w:type="dxa"/>
              <w:bottom w:w="30" w:type="dxa"/>
              <w:right w:w="120" w:type="dxa"/>
            </w:tcMar>
          </w:tcPr>
          <w:p w14:paraId="0F5BDBA7">
            <w:pPr>
              <w:snapToGrid w:val="0"/>
              <w:spacing w:line="360" w:lineRule="auto"/>
              <w:jc w:val="left"/>
              <w:rPr>
                <w:rFonts w:ascii="仿宋" w:hAnsi="仿宋" w:eastAsia="仿宋" w:cs="仿宋"/>
                <w:sz w:val="24"/>
              </w:rPr>
            </w:pPr>
            <w:r>
              <w:rPr>
                <w:rFonts w:hint="eastAsia" w:ascii="仿宋" w:hAnsi="仿宋" w:eastAsia="仿宋" w:cs="仿宋"/>
                <w:sz w:val="24"/>
              </w:rPr>
              <w:t>1. 系统出现一般性操作问题、界面显示异常，对患者就医、系统运行几乎无影响；</w:t>
            </w:r>
          </w:p>
          <w:p w14:paraId="3A846D80">
            <w:pPr>
              <w:snapToGrid w:val="0"/>
              <w:spacing w:line="360" w:lineRule="auto"/>
              <w:jc w:val="left"/>
              <w:rPr>
                <w:rFonts w:ascii="仿宋" w:hAnsi="仿宋" w:eastAsia="仿宋" w:cs="仿宋"/>
                <w:sz w:val="24"/>
              </w:rPr>
            </w:pPr>
            <w:r>
              <w:rPr>
                <w:rFonts w:hint="eastAsia" w:ascii="仿宋" w:hAnsi="仿宋" w:eastAsia="仿宋" w:cs="仿宋"/>
                <w:sz w:val="24"/>
              </w:rPr>
              <w:t>2. 医护人员提出的系统操作咨询、功能配置调整等非故障类服务请求。</w:t>
            </w:r>
          </w:p>
        </w:tc>
        <w:tc>
          <w:tcPr>
            <w:tcW w:w="1828" w:type="pct"/>
            <w:tcMar>
              <w:top w:w="60" w:type="dxa"/>
              <w:left w:w="120" w:type="dxa"/>
              <w:bottom w:w="30" w:type="dxa"/>
              <w:right w:w="120" w:type="dxa"/>
            </w:tcMar>
          </w:tcPr>
          <w:p w14:paraId="04D6F220">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30分钟内必须响应，提供技术指导与解决方案；</w:t>
            </w:r>
          </w:p>
          <w:p w14:paraId="16B11F50">
            <w:pPr>
              <w:snapToGrid w:val="0"/>
              <w:spacing w:line="360" w:lineRule="auto"/>
              <w:jc w:val="left"/>
              <w:rPr>
                <w:rFonts w:ascii="仿宋" w:hAnsi="仿宋" w:eastAsia="仿宋" w:cs="仿宋"/>
                <w:sz w:val="24"/>
              </w:rPr>
            </w:pPr>
            <w:r>
              <w:rPr>
                <w:rFonts w:hint="eastAsia" w:ascii="仿宋" w:hAnsi="仿宋" w:eastAsia="仿宋" w:cs="仿宋"/>
                <w:sz w:val="24"/>
              </w:rPr>
              <w:t>2. 24小时内通过远程或现场方式完成处置；</w:t>
            </w:r>
          </w:p>
          <w:p w14:paraId="1446F724">
            <w:pPr>
              <w:snapToGrid w:val="0"/>
              <w:spacing w:line="360" w:lineRule="auto"/>
              <w:jc w:val="left"/>
              <w:rPr>
                <w:rFonts w:ascii="仿宋" w:hAnsi="仿宋" w:eastAsia="仿宋" w:cs="仿宋"/>
                <w:sz w:val="24"/>
              </w:rPr>
            </w:pPr>
            <w:r>
              <w:rPr>
                <w:rFonts w:hint="eastAsia" w:ascii="仿宋" w:hAnsi="仿宋" w:eastAsia="仿宋" w:cs="仿宋"/>
                <w:sz w:val="24"/>
              </w:rPr>
              <w:t>3. 48小时内完成问题闭环。</w:t>
            </w:r>
          </w:p>
        </w:tc>
      </w:tr>
    </w:tbl>
    <w:p w14:paraId="247B8008">
      <w:pPr>
        <w:snapToGrid w:val="0"/>
        <w:spacing w:line="360" w:lineRule="auto"/>
        <w:ind w:firstLine="480" w:firstLineChars="200"/>
        <w:jc w:val="left"/>
        <w:rPr>
          <w:rFonts w:ascii="仿宋" w:hAnsi="仿宋" w:eastAsia="仿宋" w:cs="仿宋"/>
          <w:sz w:val="24"/>
        </w:rPr>
      </w:pPr>
    </w:p>
    <w:p w14:paraId="02DD8786">
      <w:pPr>
        <w:snapToGrid w:val="0"/>
        <w:spacing w:line="360" w:lineRule="auto"/>
        <w:jc w:val="left"/>
        <w:rPr>
          <w:rFonts w:ascii="仿宋" w:hAnsi="仿宋" w:eastAsia="仿宋" w:cs="仿宋"/>
          <w:sz w:val="24"/>
        </w:rPr>
      </w:pPr>
      <w:bookmarkStart w:id="32" w:name="heading_5"/>
      <w:r>
        <w:rPr>
          <w:rFonts w:hint="eastAsia" w:ascii="仿宋" w:hAnsi="仿宋" w:eastAsia="仿宋" w:cs="仿宋"/>
          <w:b/>
          <w:sz w:val="24"/>
        </w:rPr>
        <w:t>4. 售后运维服务核心要求</w:t>
      </w:r>
      <w:bookmarkEnd w:id="32"/>
    </w:p>
    <w:p w14:paraId="7D69C0A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服务商须严格按照以下要求提供全流程售后运维服务，可依据自身技术能力提供增值服务，但不得低于以下标准要求，所有服务须留存完整、可追溯的工作记录，接受采购人全程监督。</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27"/>
        <w:gridCol w:w="1653"/>
        <w:gridCol w:w="4056"/>
        <w:gridCol w:w="1201"/>
        <w:gridCol w:w="1501"/>
      </w:tblGrid>
      <w:tr w14:paraId="286C6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8" w:type="pct"/>
            <w:tcMar>
              <w:top w:w="60" w:type="dxa"/>
              <w:left w:w="120" w:type="dxa"/>
              <w:bottom w:w="30" w:type="dxa"/>
              <w:right w:w="120" w:type="dxa"/>
            </w:tcMar>
            <w:vAlign w:val="center"/>
          </w:tcPr>
          <w:p w14:paraId="1208EDBF">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904" w:type="pct"/>
            <w:tcMar>
              <w:top w:w="60" w:type="dxa"/>
              <w:left w:w="120" w:type="dxa"/>
              <w:bottom w:w="30" w:type="dxa"/>
              <w:right w:w="120" w:type="dxa"/>
            </w:tcMar>
            <w:vAlign w:val="center"/>
          </w:tcPr>
          <w:p w14:paraId="6722DB5F">
            <w:pPr>
              <w:snapToGrid w:val="0"/>
              <w:spacing w:line="360" w:lineRule="auto"/>
              <w:jc w:val="center"/>
              <w:rPr>
                <w:rFonts w:ascii="仿宋" w:hAnsi="仿宋" w:eastAsia="仿宋" w:cs="仿宋"/>
                <w:b/>
                <w:sz w:val="24"/>
              </w:rPr>
            </w:pPr>
            <w:r>
              <w:rPr>
                <w:rFonts w:hint="eastAsia" w:ascii="仿宋" w:hAnsi="仿宋" w:eastAsia="仿宋" w:cs="仿宋"/>
                <w:b/>
                <w:sz w:val="24"/>
              </w:rPr>
              <w:t>服务项目</w:t>
            </w:r>
          </w:p>
        </w:tc>
        <w:tc>
          <w:tcPr>
            <w:tcW w:w="2219" w:type="pct"/>
            <w:tcMar>
              <w:top w:w="60" w:type="dxa"/>
              <w:left w:w="120" w:type="dxa"/>
              <w:bottom w:w="30" w:type="dxa"/>
              <w:right w:w="120" w:type="dxa"/>
            </w:tcMar>
            <w:vAlign w:val="center"/>
          </w:tcPr>
          <w:p w14:paraId="502E4F37">
            <w:pPr>
              <w:snapToGrid w:val="0"/>
              <w:spacing w:line="360" w:lineRule="auto"/>
              <w:jc w:val="center"/>
              <w:rPr>
                <w:rFonts w:ascii="仿宋" w:hAnsi="仿宋" w:eastAsia="仿宋" w:cs="仿宋"/>
                <w:b/>
                <w:sz w:val="24"/>
              </w:rPr>
            </w:pPr>
            <w:r>
              <w:rPr>
                <w:rFonts w:hint="eastAsia" w:ascii="仿宋" w:hAnsi="仿宋" w:eastAsia="仿宋" w:cs="仿宋"/>
                <w:b/>
                <w:sz w:val="24"/>
              </w:rPr>
              <w:t>服务内涵</w:t>
            </w:r>
          </w:p>
        </w:tc>
        <w:tc>
          <w:tcPr>
            <w:tcW w:w="657" w:type="pct"/>
            <w:tcMar>
              <w:top w:w="60" w:type="dxa"/>
              <w:left w:w="120" w:type="dxa"/>
              <w:bottom w:w="30" w:type="dxa"/>
              <w:right w:w="120" w:type="dxa"/>
            </w:tcMar>
            <w:vAlign w:val="center"/>
          </w:tcPr>
          <w:p w14:paraId="2BD036D7">
            <w:pPr>
              <w:snapToGrid w:val="0"/>
              <w:spacing w:line="360" w:lineRule="auto"/>
              <w:jc w:val="center"/>
              <w:rPr>
                <w:rFonts w:ascii="仿宋" w:hAnsi="仿宋" w:eastAsia="仿宋" w:cs="仿宋"/>
                <w:b/>
                <w:sz w:val="24"/>
              </w:rPr>
            </w:pPr>
            <w:r>
              <w:rPr>
                <w:rFonts w:hint="eastAsia" w:ascii="仿宋" w:hAnsi="仿宋" w:eastAsia="仿宋" w:cs="仿宋"/>
                <w:b/>
                <w:sz w:val="24"/>
              </w:rPr>
              <w:t>服务方式</w:t>
            </w:r>
          </w:p>
        </w:tc>
        <w:tc>
          <w:tcPr>
            <w:tcW w:w="821" w:type="pct"/>
            <w:tcMar>
              <w:top w:w="60" w:type="dxa"/>
              <w:left w:w="120" w:type="dxa"/>
              <w:bottom w:w="30" w:type="dxa"/>
              <w:right w:w="120" w:type="dxa"/>
            </w:tcMar>
            <w:vAlign w:val="center"/>
          </w:tcPr>
          <w:p w14:paraId="25FC8D76">
            <w:pPr>
              <w:snapToGrid w:val="0"/>
              <w:spacing w:line="360" w:lineRule="auto"/>
              <w:jc w:val="center"/>
              <w:rPr>
                <w:rFonts w:ascii="仿宋" w:hAnsi="仿宋" w:eastAsia="仿宋" w:cs="仿宋"/>
                <w:b/>
                <w:sz w:val="24"/>
              </w:rPr>
            </w:pPr>
            <w:r>
              <w:rPr>
                <w:rFonts w:hint="eastAsia" w:ascii="仿宋" w:hAnsi="仿宋" w:eastAsia="仿宋" w:cs="仿宋"/>
                <w:b/>
                <w:sz w:val="24"/>
              </w:rPr>
              <w:t>服务频次/次数要求</w:t>
            </w:r>
          </w:p>
        </w:tc>
      </w:tr>
      <w:tr w14:paraId="18E65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8" w:type="pct"/>
            <w:tcMar>
              <w:top w:w="60" w:type="dxa"/>
              <w:left w:w="120" w:type="dxa"/>
              <w:bottom w:w="30" w:type="dxa"/>
              <w:right w:w="120" w:type="dxa"/>
            </w:tcMar>
            <w:vAlign w:val="center"/>
          </w:tcPr>
          <w:p w14:paraId="6255A58A">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904" w:type="pct"/>
            <w:tcMar>
              <w:top w:w="60" w:type="dxa"/>
              <w:left w:w="120" w:type="dxa"/>
              <w:bottom w:w="30" w:type="dxa"/>
              <w:right w:w="120" w:type="dxa"/>
            </w:tcMar>
            <w:vAlign w:val="center"/>
          </w:tcPr>
          <w:p w14:paraId="4B043916">
            <w:pPr>
              <w:snapToGrid w:val="0"/>
              <w:spacing w:line="360" w:lineRule="auto"/>
              <w:jc w:val="center"/>
              <w:rPr>
                <w:rFonts w:ascii="仿宋" w:hAnsi="仿宋" w:eastAsia="仿宋" w:cs="仿宋"/>
                <w:sz w:val="24"/>
              </w:rPr>
            </w:pPr>
            <w:r>
              <w:rPr>
                <w:rFonts w:hint="eastAsia" w:ascii="仿宋" w:hAnsi="仿宋" w:eastAsia="仿宋" w:cs="仿宋"/>
                <w:sz w:val="24"/>
              </w:rPr>
              <w:t>信息系统基础运维服务</w:t>
            </w:r>
          </w:p>
        </w:tc>
        <w:tc>
          <w:tcPr>
            <w:tcW w:w="2219" w:type="pct"/>
            <w:tcMar>
              <w:top w:w="60" w:type="dxa"/>
              <w:left w:w="120" w:type="dxa"/>
              <w:bottom w:w="30" w:type="dxa"/>
              <w:right w:w="120" w:type="dxa"/>
            </w:tcMar>
            <w:vAlign w:val="center"/>
          </w:tcPr>
          <w:p w14:paraId="2523013D">
            <w:pPr>
              <w:snapToGrid w:val="0"/>
              <w:spacing w:line="360" w:lineRule="auto"/>
              <w:rPr>
                <w:rFonts w:ascii="仿宋" w:hAnsi="仿宋" w:eastAsia="仿宋" w:cs="仿宋"/>
                <w:sz w:val="24"/>
              </w:rPr>
            </w:pPr>
            <w:r>
              <w:rPr>
                <w:rFonts w:hint="eastAsia" w:ascii="仿宋" w:hAnsi="仿宋" w:eastAsia="仿宋" w:cs="仿宋"/>
                <w:sz w:val="24"/>
              </w:rPr>
              <w:t>1. 上表所列全部系统模块的软件操作指导、故障排查、bug修复、配置管理服务，重点覆盖处方审核、药品专项管控等核心功能；</w:t>
            </w:r>
          </w:p>
          <w:p w14:paraId="2A978BFB">
            <w:pPr>
              <w:snapToGrid w:val="0"/>
              <w:spacing w:line="360" w:lineRule="auto"/>
              <w:rPr>
                <w:rFonts w:ascii="仿宋" w:hAnsi="仿宋" w:eastAsia="仿宋" w:cs="仿宋"/>
                <w:sz w:val="24"/>
              </w:rPr>
            </w:pPr>
            <w:r>
              <w:rPr>
                <w:rFonts w:hint="eastAsia" w:ascii="仿宋" w:hAnsi="仿宋" w:eastAsia="仿宋" w:cs="仿宋"/>
                <w:sz w:val="24"/>
              </w:rPr>
              <w:t>2. 系统死机、数据错误、处方审核失效、预警异常、用药指导单生成失败等全场景故障处置；</w:t>
            </w:r>
          </w:p>
          <w:p w14:paraId="7A5505B8">
            <w:pPr>
              <w:snapToGrid w:val="0"/>
              <w:spacing w:line="360" w:lineRule="auto"/>
              <w:rPr>
                <w:rFonts w:ascii="仿宋" w:hAnsi="仿宋" w:eastAsia="仿宋" w:cs="仿宋"/>
                <w:sz w:val="24"/>
              </w:rPr>
            </w:pPr>
            <w:r>
              <w:rPr>
                <w:rFonts w:hint="eastAsia" w:ascii="仿宋" w:hAnsi="仿宋" w:eastAsia="仿宋" w:cs="仿宋"/>
                <w:sz w:val="24"/>
              </w:rPr>
              <w:t>3. 系统运行环境适配、显示异常、运行效率降低等问题的优化处置，确保系统响应流畅；</w:t>
            </w:r>
          </w:p>
          <w:p w14:paraId="3D557655">
            <w:pPr>
              <w:snapToGrid w:val="0"/>
              <w:spacing w:line="360" w:lineRule="auto"/>
              <w:rPr>
                <w:rFonts w:ascii="仿宋" w:hAnsi="仿宋" w:eastAsia="仿宋" w:cs="仿宋"/>
                <w:sz w:val="24"/>
              </w:rPr>
            </w:pPr>
            <w:r>
              <w:rPr>
                <w:rFonts w:hint="eastAsia" w:ascii="仿宋" w:hAnsi="仿宋" w:eastAsia="仿宋" w:cs="仿宋"/>
                <w:sz w:val="24"/>
              </w:rPr>
              <w:t>4. 系统与院内其他信息系统接口运维、适配调整、故障修复，确保药学数据流转全流程畅通；</w:t>
            </w:r>
          </w:p>
          <w:p w14:paraId="4A1AB73C">
            <w:pPr>
              <w:snapToGrid w:val="0"/>
              <w:spacing w:line="360" w:lineRule="auto"/>
              <w:rPr>
                <w:rFonts w:ascii="仿宋" w:hAnsi="仿宋" w:eastAsia="仿宋" w:cs="仿宋"/>
                <w:sz w:val="24"/>
              </w:rPr>
            </w:pPr>
            <w:r>
              <w:rPr>
                <w:rFonts w:hint="eastAsia" w:ascii="仿宋" w:hAnsi="仿宋" w:eastAsia="仿宋" w:cs="仿宋"/>
                <w:sz w:val="24"/>
              </w:rPr>
              <w:t>5. 系统终端设备、服务器运行状态的定期巡检与隐患排查。</w:t>
            </w:r>
          </w:p>
        </w:tc>
        <w:tc>
          <w:tcPr>
            <w:tcW w:w="657" w:type="pct"/>
            <w:tcMar>
              <w:top w:w="60" w:type="dxa"/>
              <w:left w:w="120" w:type="dxa"/>
              <w:bottom w:w="30" w:type="dxa"/>
              <w:right w:w="120" w:type="dxa"/>
            </w:tcMar>
            <w:vAlign w:val="center"/>
          </w:tcPr>
          <w:p w14:paraId="6B1C7302">
            <w:pPr>
              <w:snapToGrid w:val="0"/>
              <w:spacing w:line="360" w:lineRule="auto"/>
              <w:jc w:val="center"/>
              <w:rPr>
                <w:rFonts w:ascii="仿宋" w:hAnsi="仿宋" w:eastAsia="仿宋" w:cs="仿宋"/>
                <w:sz w:val="24"/>
              </w:rPr>
            </w:pPr>
            <w:r>
              <w:rPr>
                <w:rFonts w:hint="eastAsia" w:ascii="仿宋" w:hAnsi="仿宋" w:eastAsia="仿宋" w:cs="仿宋"/>
                <w:sz w:val="24"/>
              </w:rPr>
              <w:t>7×24小时热线服务、安全远程运维服务、现场驻场/上门服务</w:t>
            </w:r>
          </w:p>
        </w:tc>
        <w:tc>
          <w:tcPr>
            <w:tcW w:w="821" w:type="pct"/>
            <w:tcMar>
              <w:top w:w="60" w:type="dxa"/>
              <w:left w:w="120" w:type="dxa"/>
              <w:bottom w:w="30" w:type="dxa"/>
              <w:right w:w="120" w:type="dxa"/>
            </w:tcMar>
            <w:vAlign w:val="center"/>
          </w:tcPr>
          <w:p w14:paraId="3D554AE8">
            <w:pPr>
              <w:snapToGrid w:val="0"/>
              <w:spacing w:line="360" w:lineRule="auto"/>
              <w:jc w:val="center"/>
              <w:rPr>
                <w:rFonts w:ascii="仿宋" w:hAnsi="仿宋" w:eastAsia="仿宋" w:cs="仿宋"/>
                <w:sz w:val="24"/>
              </w:rPr>
            </w:pPr>
            <w:r>
              <w:rPr>
                <w:rFonts w:hint="eastAsia" w:ascii="仿宋" w:hAnsi="仿宋" w:eastAsia="仿宋" w:cs="仿宋"/>
                <w:sz w:val="24"/>
              </w:rPr>
              <w:t>不限次数，全时段响应，确保临床用药相关故障优先处置</w:t>
            </w:r>
          </w:p>
        </w:tc>
      </w:tr>
      <w:tr w14:paraId="0E253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8" w:type="pct"/>
            <w:tcMar>
              <w:top w:w="60" w:type="dxa"/>
              <w:left w:w="120" w:type="dxa"/>
              <w:bottom w:w="30" w:type="dxa"/>
              <w:right w:w="120" w:type="dxa"/>
            </w:tcMar>
            <w:vAlign w:val="center"/>
          </w:tcPr>
          <w:p w14:paraId="5C846E69">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904" w:type="pct"/>
            <w:tcMar>
              <w:top w:w="60" w:type="dxa"/>
              <w:left w:w="120" w:type="dxa"/>
              <w:bottom w:w="30" w:type="dxa"/>
              <w:right w:w="120" w:type="dxa"/>
            </w:tcMar>
            <w:vAlign w:val="center"/>
          </w:tcPr>
          <w:p w14:paraId="4A05F661">
            <w:pPr>
              <w:snapToGrid w:val="0"/>
              <w:spacing w:line="360" w:lineRule="auto"/>
              <w:jc w:val="center"/>
              <w:rPr>
                <w:rFonts w:ascii="仿宋" w:hAnsi="仿宋" w:eastAsia="仿宋" w:cs="仿宋"/>
                <w:sz w:val="24"/>
              </w:rPr>
            </w:pPr>
            <w:r>
              <w:rPr>
                <w:rFonts w:hint="eastAsia" w:ascii="仿宋" w:hAnsi="仿宋" w:eastAsia="仿宋" w:cs="仿宋"/>
                <w:sz w:val="24"/>
              </w:rPr>
              <w:t>数据库专项运维服务</w:t>
            </w:r>
          </w:p>
        </w:tc>
        <w:tc>
          <w:tcPr>
            <w:tcW w:w="2219" w:type="pct"/>
            <w:tcMar>
              <w:top w:w="60" w:type="dxa"/>
              <w:left w:w="120" w:type="dxa"/>
              <w:bottom w:w="30" w:type="dxa"/>
              <w:right w:w="120" w:type="dxa"/>
            </w:tcMar>
            <w:vAlign w:val="center"/>
          </w:tcPr>
          <w:p w14:paraId="59CE1CFB">
            <w:pPr>
              <w:snapToGrid w:val="0"/>
              <w:spacing w:line="360" w:lineRule="auto"/>
              <w:rPr>
                <w:rFonts w:ascii="仿宋" w:hAnsi="仿宋" w:eastAsia="仿宋" w:cs="仿宋"/>
                <w:sz w:val="24"/>
              </w:rPr>
            </w:pPr>
            <w:r>
              <w:rPr>
                <w:rFonts w:hint="eastAsia" w:ascii="仿宋" w:hAnsi="仿宋" w:eastAsia="仿宋" w:cs="仿宋"/>
                <w:sz w:val="24"/>
              </w:rPr>
              <w:t>1. 每月开展数据库全量巡检，包括服务器系统日志、磁盘空间、CPU/内存使用率、数据库表空间、数据文件大小、数据库运行日志、异常操作审计日志等，重点检查药学数据完整性与安全性；</w:t>
            </w:r>
          </w:p>
          <w:p w14:paraId="14A087F8">
            <w:pPr>
              <w:snapToGrid w:val="0"/>
              <w:spacing w:line="360" w:lineRule="auto"/>
              <w:rPr>
                <w:rFonts w:ascii="仿宋" w:hAnsi="仿宋" w:eastAsia="仿宋" w:cs="仿宋"/>
                <w:sz w:val="24"/>
              </w:rPr>
            </w:pPr>
            <w:r>
              <w:rPr>
                <w:rFonts w:hint="eastAsia" w:ascii="仿宋" w:hAnsi="仿宋" w:eastAsia="仿宋" w:cs="仿宋"/>
                <w:sz w:val="24"/>
              </w:rPr>
              <w:t>2. 每季度完成数据库安全加固、高危漏洞修复，确保数据库符合等保合规要求及药事数据安全规定；</w:t>
            </w:r>
          </w:p>
          <w:p w14:paraId="3815B1E5">
            <w:pPr>
              <w:snapToGrid w:val="0"/>
              <w:spacing w:line="360" w:lineRule="auto"/>
              <w:rPr>
                <w:rFonts w:ascii="仿宋" w:hAnsi="仿宋" w:eastAsia="仿宋" w:cs="仿宋"/>
                <w:sz w:val="24"/>
              </w:rPr>
            </w:pPr>
            <w:r>
              <w:rPr>
                <w:rFonts w:hint="eastAsia" w:ascii="仿宋" w:hAnsi="仿宋" w:eastAsia="仿宋" w:cs="仿宋"/>
                <w:sz w:val="24"/>
              </w:rPr>
              <w:t>3. 提供同版本数据库迁移、数据备份与恢复服务，配合采购人完成数据备份有效性验证，重点保障处方数据、患者用药信息、药品信息的安全性；</w:t>
            </w:r>
          </w:p>
          <w:p w14:paraId="1F390444">
            <w:pPr>
              <w:snapToGrid w:val="0"/>
              <w:spacing w:line="360" w:lineRule="auto"/>
              <w:rPr>
                <w:rFonts w:ascii="仿宋" w:hAnsi="仿宋" w:eastAsia="仿宋" w:cs="仿宋"/>
                <w:sz w:val="24"/>
              </w:rPr>
            </w:pPr>
            <w:r>
              <w:rPr>
                <w:rFonts w:hint="eastAsia" w:ascii="仿宋" w:hAnsi="仿宋" w:eastAsia="仿宋" w:cs="仿宋"/>
                <w:sz w:val="24"/>
              </w:rPr>
              <w:t>4. 针对巡检发现的问题，完成数据库性能优化、参数调整，保障数据库持续处于最佳运行状态，支撑处方审核等核心功能高效运行；</w:t>
            </w:r>
          </w:p>
          <w:p w14:paraId="4F8B5ECB">
            <w:pPr>
              <w:snapToGrid w:val="0"/>
              <w:spacing w:line="360" w:lineRule="auto"/>
              <w:rPr>
                <w:rFonts w:ascii="仿宋" w:hAnsi="仿宋" w:eastAsia="仿宋" w:cs="仿宋"/>
                <w:sz w:val="24"/>
              </w:rPr>
            </w:pPr>
            <w:r>
              <w:rPr>
                <w:rFonts w:hint="eastAsia" w:ascii="仿宋" w:hAnsi="仿宋" w:eastAsia="仿宋" w:cs="仿宋"/>
                <w:sz w:val="24"/>
              </w:rPr>
              <w:t>5. 数据库故障的应急处置，保障药学数据不丢失、不泄露、不篡改，确保药事管理数据可追溯。</w:t>
            </w:r>
          </w:p>
        </w:tc>
        <w:tc>
          <w:tcPr>
            <w:tcW w:w="657" w:type="pct"/>
            <w:tcMar>
              <w:top w:w="60" w:type="dxa"/>
              <w:left w:w="120" w:type="dxa"/>
              <w:bottom w:w="30" w:type="dxa"/>
              <w:right w:w="120" w:type="dxa"/>
            </w:tcMar>
            <w:vAlign w:val="center"/>
          </w:tcPr>
          <w:p w14:paraId="09ABBFC5">
            <w:pPr>
              <w:snapToGrid w:val="0"/>
              <w:spacing w:line="360" w:lineRule="auto"/>
              <w:jc w:val="center"/>
              <w:rPr>
                <w:rFonts w:ascii="仿宋" w:hAnsi="仿宋" w:eastAsia="仿宋" w:cs="仿宋"/>
                <w:sz w:val="24"/>
              </w:rPr>
            </w:pPr>
            <w:r>
              <w:rPr>
                <w:rFonts w:hint="eastAsia" w:ascii="仿宋" w:hAnsi="仿宋" w:eastAsia="仿宋" w:cs="仿宋"/>
                <w:sz w:val="24"/>
              </w:rPr>
              <w:t>热线服务、安全远程服务、现场服务</w:t>
            </w:r>
          </w:p>
        </w:tc>
        <w:tc>
          <w:tcPr>
            <w:tcW w:w="821" w:type="pct"/>
            <w:tcMar>
              <w:top w:w="60" w:type="dxa"/>
              <w:left w:w="120" w:type="dxa"/>
              <w:bottom w:w="30" w:type="dxa"/>
              <w:right w:w="120" w:type="dxa"/>
            </w:tcMar>
            <w:vAlign w:val="center"/>
          </w:tcPr>
          <w:p w14:paraId="1C130FF1">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不限次数，每月至少1次全量巡检，每季度至少1次性能优化，每年至少2次备份恢复演练，每半年完成1次药品数据库完整性核查</w:t>
            </w:r>
          </w:p>
        </w:tc>
      </w:tr>
      <w:tr w14:paraId="6A9C7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8" w:type="pct"/>
            <w:tcMar>
              <w:top w:w="60" w:type="dxa"/>
              <w:left w:w="120" w:type="dxa"/>
              <w:bottom w:w="30" w:type="dxa"/>
              <w:right w:w="120" w:type="dxa"/>
            </w:tcMar>
            <w:vAlign w:val="center"/>
          </w:tcPr>
          <w:p w14:paraId="03695E27">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904" w:type="pct"/>
            <w:tcMar>
              <w:top w:w="60" w:type="dxa"/>
              <w:left w:w="120" w:type="dxa"/>
              <w:bottom w:w="30" w:type="dxa"/>
              <w:right w:w="120" w:type="dxa"/>
            </w:tcMar>
            <w:vAlign w:val="center"/>
          </w:tcPr>
          <w:p w14:paraId="79F8E721">
            <w:pPr>
              <w:snapToGrid w:val="0"/>
              <w:spacing w:line="360" w:lineRule="auto"/>
              <w:jc w:val="center"/>
              <w:rPr>
                <w:rFonts w:ascii="仿宋" w:hAnsi="仿宋" w:eastAsia="仿宋" w:cs="仿宋"/>
                <w:sz w:val="24"/>
              </w:rPr>
            </w:pPr>
            <w:r>
              <w:rPr>
                <w:rFonts w:hint="eastAsia" w:ascii="仿宋" w:hAnsi="仿宋" w:eastAsia="仿宋" w:cs="仿宋"/>
                <w:sz w:val="24"/>
              </w:rPr>
              <w:t>信息系统升级与合规更新服务</w:t>
            </w:r>
          </w:p>
        </w:tc>
        <w:tc>
          <w:tcPr>
            <w:tcW w:w="2219" w:type="pct"/>
            <w:tcMar>
              <w:top w:w="60" w:type="dxa"/>
              <w:left w:w="120" w:type="dxa"/>
              <w:bottom w:w="30" w:type="dxa"/>
              <w:right w:w="120" w:type="dxa"/>
            </w:tcMar>
            <w:vAlign w:val="center"/>
          </w:tcPr>
          <w:p w14:paraId="06DBE438">
            <w:pPr>
              <w:snapToGrid w:val="0"/>
              <w:spacing w:line="360" w:lineRule="auto"/>
              <w:rPr>
                <w:rFonts w:ascii="仿宋" w:hAnsi="仿宋" w:eastAsia="仿宋" w:cs="仿宋"/>
                <w:sz w:val="24"/>
              </w:rPr>
            </w:pPr>
            <w:r>
              <w:rPr>
                <w:rFonts w:hint="eastAsia" w:ascii="仿宋" w:hAnsi="仿宋" w:eastAsia="仿宋" w:cs="仿宋"/>
                <w:sz w:val="24"/>
              </w:rPr>
              <w:t>1. 依据国家、省、市卫健、医保、网信等部门新增或变更的政策法规、药事管理标准，结合《全国公立医疗卫生机构药品使用监测管理标准》要求，及时完成系统的合规性适配与更新服务，确保系统符合最新监管要求；</w:t>
            </w:r>
          </w:p>
          <w:p w14:paraId="1616EEBE">
            <w:pPr>
              <w:snapToGrid w:val="0"/>
              <w:spacing w:line="360" w:lineRule="auto"/>
              <w:rPr>
                <w:rFonts w:ascii="仿宋" w:hAnsi="仿宋" w:eastAsia="仿宋" w:cs="仿宋"/>
                <w:sz w:val="24"/>
              </w:rPr>
            </w:pPr>
            <w:r>
              <w:rPr>
                <w:rFonts w:hint="eastAsia" w:ascii="仿宋" w:hAnsi="仿宋" w:eastAsia="仿宋" w:cs="仿宋"/>
                <w:sz w:val="24"/>
              </w:rPr>
              <w:t>2. 提供系统同版本内的免费升级、功能优化服务，重点优化处方审核规则、统计分析功能，组织专业技术人员完成升级方案制定、测试、上线全流程工作，确保升级过程不影响医院正常药学业务；</w:t>
            </w:r>
          </w:p>
          <w:p w14:paraId="1709DFCF">
            <w:pPr>
              <w:snapToGrid w:val="0"/>
              <w:spacing w:line="360" w:lineRule="auto"/>
              <w:rPr>
                <w:rFonts w:ascii="仿宋" w:hAnsi="仿宋" w:eastAsia="仿宋" w:cs="仿宋"/>
                <w:sz w:val="24"/>
              </w:rPr>
            </w:pPr>
            <w:r>
              <w:rPr>
                <w:rFonts w:hint="eastAsia" w:ascii="仿宋" w:hAnsi="仿宋" w:eastAsia="仿宋" w:cs="仿宋"/>
                <w:sz w:val="24"/>
              </w:rPr>
              <w:t>3. 定期完成系统安全补丁、漏洞修复包的安装与调试，每月完成高危漏洞排查与修复；</w:t>
            </w:r>
          </w:p>
          <w:p w14:paraId="40941B69">
            <w:pPr>
              <w:snapToGrid w:val="0"/>
              <w:spacing w:line="360" w:lineRule="auto"/>
              <w:rPr>
                <w:rFonts w:ascii="仿宋" w:hAnsi="仿宋" w:eastAsia="仿宋" w:cs="仿宋"/>
                <w:sz w:val="24"/>
              </w:rPr>
            </w:pPr>
            <w:r>
              <w:rPr>
                <w:rFonts w:hint="eastAsia" w:ascii="仿宋" w:hAnsi="仿宋" w:eastAsia="仿宋" w:cs="仿宋"/>
                <w:sz w:val="24"/>
              </w:rPr>
              <w:t>4. 配合采购人完成网络安全等级保护测评、药事管理专项检查、医保检查等相关工作，完成对应整改与系统适配；</w:t>
            </w:r>
          </w:p>
          <w:p w14:paraId="020D3BBE">
            <w:pPr>
              <w:snapToGrid w:val="0"/>
              <w:spacing w:line="360" w:lineRule="auto"/>
              <w:rPr>
                <w:rFonts w:ascii="仿宋" w:hAnsi="仿宋" w:eastAsia="仿宋" w:cs="仿宋"/>
                <w:sz w:val="24"/>
              </w:rPr>
            </w:pPr>
            <w:r>
              <w:rPr>
                <w:rFonts w:hint="eastAsia" w:ascii="仿宋" w:hAnsi="仿宋" w:eastAsia="仿宋" w:cs="仿宋"/>
                <w:sz w:val="24"/>
              </w:rPr>
              <w:t>5. 及时更新药品数据库，包括药品说明书、药物相互作用、超说明书用药、儿童/妊娠哺乳用药等权威数据，确保处方审核的准确性。</w:t>
            </w:r>
          </w:p>
        </w:tc>
        <w:tc>
          <w:tcPr>
            <w:tcW w:w="657" w:type="pct"/>
            <w:tcMar>
              <w:top w:w="60" w:type="dxa"/>
              <w:left w:w="120" w:type="dxa"/>
              <w:bottom w:w="30" w:type="dxa"/>
              <w:right w:w="120" w:type="dxa"/>
            </w:tcMar>
            <w:vAlign w:val="center"/>
          </w:tcPr>
          <w:p w14:paraId="4BBDD3C0">
            <w:pPr>
              <w:snapToGrid w:val="0"/>
              <w:spacing w:line="360" w:lineRule="auto"/>
              <w:jc w:val="center"/>
              <w:rPr>
                <w:rFonts w:ascii="仿宋" w:hAnsi="仿宋" w:eastAsia="仿宋" w:cs="仿宋"/>
                <w:sz w:val="24"/>
              </w:rPr>
            </w:pPr>
            <w:r>
              <w:rPr>
                <w:rFonts w:hint="eastAsia" w:ascii="仿宋" w:hAnsi="仿宋" w:eastAsia="仿宋" w:cs="仿宋"/>
                <w:sz w:val="24"/>
              </w:rPr>
              <w:t>现场服务为主、远程辅助</w:t>
            </w:r>
          </w:p>
        </w:tc>
        <w:tc>
          <w:tcPr>
            <w:tcW w:w="821" w:type="pct"/>
            <w:tcMar>
              <w:top w:w="60" w:type="dxa"/>
              <w:left w:w="120" w:type="dxa"/>
              <w:bottom w:w="30" w:type="dxa"/>
              <w:right w:w="120" w:type="dxa"/>
            </w:tcMar>
            <w:vAlign w:val="center"/>
          </w:tcPr>
          <w:p w14:paraId="4F31DD86">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不限次数，每月至少1次安全补丁更新，政策/标准变更后10个工作日内完成合规适配，药品数据库每月至少1次常规更新，紧急药品信息24小时内完成更新</w:t>
            </w:r>
          </w:p>
        </w:tc>
      </w:tr>
      <w:tr w14:paraId="773AE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8" w:type="pct"/>
            <w:tcMar>
              <w:top w:w="60" w:type="dxa"/>
              <w:left w:w="120" w:type="dxa"/>
              <w:bottom w:w="30" w:type="dxa"/>
              <w:right w:w="120" w:type="dxa"/>
            </w:tcMar>
            <w:vAlign w:val="center"/>
          </w:tcPr>
          <w:p w14:paraId="50F8EFB9">
            <w:pPr>
              <w:snapToGrid w:val="0"/>
              <w:spacing w:line="360" w:lineRule="auto"/>
              <w:jc w:val="center"/>
              <w:rPr>
                <w:rFonts w:ascii="仿宋" w:hAnsi="仿宋" w:eastAsia="仿宋" w:cs="仿宋"/>
                <w:sz w:val="24"/>
              </w:rPr>
            </w:pPr>
            <w:bookmarkStart w:id="33" w:name="_Hlk230165786"/>
            <w:r>
              <w:rPr>
                <w:rFonts w:hint="eastAsia" w:ascii="仿宋" w:hAnsi="仿宋" w:eastAsia="仿宋" w:cs="仿宋"/>
                <w:sz w:val="24"/>
              </w:rPr>
              <w:t>4</w:t>
            </w:r>
          </w:p>
        </w:tc>
        <w:tc>
          <w:tcPr>
            <w:tcW w:w="904" w:type="pct"/>
            <w:tcMar>
              <w:top w:w="60" w:type="dxa"/>
              <w:left w:w="120" w:type="dxa"/>
              <w:bottom w:w="30" w:type="dxa"/>
              <w:right w:w="120" w:type="dxa"/>
            </w:tcMar>
            <w:vAlign w:val="center"/>
          </w:tcPr>
          <w:p w14:paraId="7E02AECB">
            <w:pPr>
              <w:snapToGrid w:val="0"/>
              <w:spacing w:line="360" w:lineRule="auto"/>
              <w:jc w:val="center"/>
              <w:rPr>
                <w:rFonts w:ascii="仿宋" w:hAnsi="仿宋" w:eastAsia="仿宋" w:cs="仿宋"/>
                <w:sz w:val="24"/>
              </w:rPr>
            </w:pPr>
            <w:r>
              <w:rPr>
                <w:rFonts w:hint="eastAsia" w:ascii="仿宋" w:hAnsi="仿宋" w:eastAsia="仿宋" w:cs="仿宋"/>
                <w:sz w:val="24"/>
              </w:rPr>
              <w:t>网络安全与数据安全服务</w:t>
            </w:r>
          </w:p>
        </w:tc>
        <w:tc>
          <w:tcPr>
            <w:tcW w:w="2219" w:type="pct"/>
            <w:tcMar>
              <w:top w:w="60" w:type="dxa"/>
              <w:left w:w="120" w:type="dxa"/>
              <w:bottom w:w="30" w:type="dxa"/>
              <w:right w:w="120" w:type="dxa"/>
            </w:tcMar>
            <w:vAlign w:val="center"/>
          </w:tcPr>
          <w:p w14:paraId="5A783279">
            <w:pPr>
              <w:snapToGrid w:val="0"/>
              <w:spacing w:line="360" w:lineRule="auto"/>
              <w:rPr>
                <w:rFonts w:ascii="仿宋" w:hAnsi="仿宋" w:eastAsia="仿宋" w:cs="仿宋"/>
                <w:sz w:val="24"/>
              </w:rPr>
            </w:pPr>
            <w:r>
              <w:rPr>
                <w:rFonts w:hint="eastAsia" w:ascii="仿宋" w:hAnsi="仿宋" w:eastAsia="仿宋" w:cs="仿宋"/>
                <w:sz w:val="24"/>
              </w:rPr>
              <w:t>1. 严格根据《网络安全法》《数据安全法》《个人信息保护法》《医疗卫生机构网络安全管理办法》及药事管理相关法律法规，为医院提供全流程网络安全与数据安全服务；</w:t>
            </w:r>
          </w:p>
          <w:p w14:paraId="3EE8CAEF">
            <w:pPr>
              <w:snapToGrid w:val="0"/>
              <w:spacing w:line="360" w:lineRule="auto"/>
              <w:rPr>
                <w:rFonts w:ascii="仿宋" w:hAnsi="仿宋" w:eastAsia="仿宋" w:cs="仿宋"/>
                <w:sz w:val="24"/>
              </w:rPr>
            </w:pPr>
            <w:r>
              <w:rPr>
                <w:rFonts w:hint="eastAsia" w:ascii="仿宋" w:hAnsi="仿宋" w:eastAsia="仿宋" w:cs="仿宋"/>
                <w:sz w:val="24"/>
              </w:rPr>
              <w:t>2. 网络安全服务包含且不限于：漏洞修复、安全问题整改、安全风险排查、入侵检测与防御等服务，重点保障系统核心数据传输安全；</w:t>
            </w:r>
          </w:p>
          <w:p w14:paraId="3EC216A4">
            <w:pPr>
              <w:snapToGrid w:val="0"/>
              <w:spacing w:line="360" w:lineRule="auto"/>
              <w:rPr>
                <w:rFonts w:ascii="仿宋" w:hAnsi="仿宋" w:eastAsia="仿宋" w:cs="仿宋"/>
                <w:sz w:val="24"/>
              </w:rPr>
            </w:pPr>
            <w:r>
              <w:rPr>
                <w:rFonts w:hint="eastAsia" w:ascii="仿宋" w:hAnsi="仿宋" w:eastAsia="仿宋" w:cs="仿宋"/>
                <w:sz w:val="24"/>
              </w:rPr>
              <w:t>3. 数据安全服务包含且不限于：数据加密、数据备份与恢复、数据库安全审计、药学数据全生命周期保护、患者用药信息保护等服务，确保数据符合药事管理与医保数据安全要求；</w:t>
            </w:r>
          </w:p>
          <w:p w14:paraId="7043553B">
            <w:pPr>
              <w:snapToGrid w:val="0"/>
              <w:spacing w:line="360" w:lineRule="auto"/>
              <w:rPr>
                <w:rFonts w:ascii="仿宋" w:hAnsi="仿宋" w:eastAsia="仿宋" w:cs="仿宋"/>
                <w:sz w:val="24"/>
              </w:rPr>
            </w:pPr>
            <w:r>
              <w:rPr>
                <w:rFonts w:hint="eastAsia" w:ascii="仿宋" w:hAnsi="仿宋" w:eastAsia="仿宋" w:cs="仿宋"/>
                <w:sz w:val="24"/>
              </w:rPr>
              <w:t>4. 配合采购人完成数据安全检查、网络安全审计、等保测评、药事管理专项检查等相关工作，提供技术支撑与整改服务；</w:t>
            </w:r>
          </w:p>
          <w:p w14:paraId="0A1E87DB">
            <w:pPr>
              <w:snapToGrid w:val="0"/>
              <w:spacing w:line="360" w:lineRule="auto"/>
              <w:rPr>
                <w:rFonts w:ascii="仿宋" w:hAnsi="仿宋" w:eastAsia="仿宋" w:cs="仿宋"/>
                <w:sz w:val="24"/>
              </w:rPr>
            </w:pPr>
            <w:r>
              <w:rPr>
                <w:rFonts w:hint="eastAsia" w:ascii="仿宋" w:hAnsi="仿宋" w:eastAsia="仿宋" w:cs="仿宋"/>
                <w:sz w:val="24"/>
              </w:rPr>
              <w:t>5. 规范远程运维操作，所有远程操作全程留痕，审计日志留存不少于6个月，杜绝非法远程访问。</w:t>
            </w:r>
          </w:p>
        </w:tc>
        <w:tc>
          <w:tcPr>
            <w:tcW w:w="657" w:type="pct"/>
            <w:tcMar>
              <w:top w:w="60" w:type="dxa"/>
              <w:left w:w="120" w:type="dxa"/>
              <w:bottom w:w="30" w:type="dxa"/>
              <w:right w:w="120" w:type="dxa"/>
            </w:tcMar>
            <w:vAlign w:val="center"/>
          </w:tcPr>
          <w:p w14:paraId="1E41139E">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w:t>
            </w:r>
          </w:p>
        </w:tc>
        <w:tc>
          <w:tcPr>
            <w:tcW w:w="821" w:type="pct"/>
            <w:tcMar>
              <w:top w:w="60" w:type="dxa"/>
              <w:left w:w="120" w:type="dxa"/>
              <w:bottom w:w="30" w:type="dxa"/>
              <w:right w:w="120" w:type="dxa"/>
            </w:tcMar>
            <w:vAlign w:val="center"/>
          </w:tcPr>
          <w:p w14:paraId="63C15BD3">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不限次数，每月至少1次安全风险排查，每季度至少1次数据安全专项检查</w:t>
            </w:r>
          </w:p>
        </w:tc>
      </w:tr>
      <w:bookmarkEnd w:id="33"/>
      <w:tr w14:paraId="3E1F2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8" w:type="pct"/>
            <w:tcMar>
              <w:top w:w="60" w:type="dxa"/>
              <w:left w:w="120" w:type="dxa"/>
              <w:bottom w:w="30" w:type="dxa"/>
              <w:right w:w="120" w:type="dxa"/>
            </w:tcMar>
            <w:vAlign w:val="center"/>
          </w:tcPr>
          <w:p w14:paraId="05FAD06B">
            <w:pPr>
              <w:snapToGrid w:val="0"/>
              <w:spacing w:line="360" w:lineRule="auto"/>
              <w:jc w:val="center"/>
              <w:rPr>
                <w:rFonts w:ascii="仿宋" w:hAnsi="仿宋" w:eastAsia="仿宋" w:cs="仿宋"/>
                <w:sz w:val="24"/>
              </w:rPr>
            </w:pPr>
            <w:r>
              <w:rPr>
                <w:rFonts w:hint="eastAsia" w:ascii="仿宋" w:hAnsi="仿宋" w:eastAsia="仿宋" w:cs="仿宋"/>
                <w:sz w:val="24"/>
              </w:rPr>
              <w:t>5</w:t>
            </w:r>
          </w:p>
        </w:tc>
        <w:tc>
          <w:tcPr>
            <w:tcW w:w="904" w:type="pct"/>
            <w:tcMar>
              <w:top w:w="60" w:type="dxa"/>
              <w:left w:w="120" w:type="dxa"/>
              <w:bottom w:w="30" w:type="dxa"/>
              <w:right w:w="120" w:type="dxa"/>
            </w:tcMar>
            <w:vAlign w:val="center"/>
          </w:tcPr>
          <w:p w14:paraId="4DFE31E3">
            <w:pPr>
              <w:snapToGrid w:val="0"/>
              <w:spacing w:line="360" w:lineRule="auto"/>
              <w:jc w:val="center"/>
              <w:rPr>
                <w:rFonts w:ascii="仿宋" w:hAnsi="仿宋" w:eastAsia="仿宋" w:cs="仿宋"/>
                <w:sz w:val="24"/>
              </w:rPr>
            </w:pPr>
            <w:r>
              <w:rPr>
                <w:rFonts w:hint="eastAsia" w:ascii="仿宋" w:hAnsi="仿宋" w:eastAsia="仿宋" w:cs="仿宋"/>
                <w:sz w:val="24"/>
              </w:rPr>
              <w:t>人员培训服务</w:t>
            </w:r>
          </w:p>
        </w:tc>
        <w:tc>
          <w:tcPr>
            <w:tcW w:w="2219" w:type="pct"/>
            <w:tcMar>
              <w:top w:w="60" w:type="dxa"/>
              <w:left w:w="120" w:type="dxa"/>
              <w:bottom w:w="30" w:type="dxa"/>
              <w:right w:w="120" w:type="dxa"/>
            </w:tcMar>
            <w:vAlign w:val="center"/>
          </w:tcPr>
          <w:p w14:paraId="6B3B469F">
            <w:pPr>
              <w:snapToGrid w:val="0"/>
              <w:spacing w:line="360" w:lineRule="auto"/>
              <w:rPr>
                <w:rFonts w:ascii="仿宋" w:hAnsi="仿宋" w:eastAsia="仿宋" w:cs="仿宋"/>
                <w:sz w:val="24"/>
              </w:rPr>
            </w:pPr>
            <w:r>
              <w:rPr>
                <w:rFonts w:hint="eastAsia" w:ascii="仿宋" w:hAnsi="仿宋" w:eastAsia="仿宋" w:cs="仿宋"/>
                <w:sz w:val="24"/>
              </w:rPr>
              <w:t>1. 针对医院药剂科管理人员、药学操作岗、信息科技术岗，分别制定差异化培训计划，编制标准化培训教材与操作手册，结合系统药学专业特性设计培训内容；</w:t>
            </w:r>
          </w:p>
          <w:p w14:paraId="34B47BA6">
            <w:pPr>
              <w:snapToGrid w:val="0"/>
              <w:spacing w:line="360" w:lineRule="auto"/>
              <w:rPr>
                <w:rFonts w:ascii="仿宋" w:hAnsi="仿宋" w:eastAsia="仿宋" w:cs="仿宋"/>
                <w:sz w:val="24"/>
              </w:rPr>
            </w:pPr>
            <w:r>
              <w:rPr>
                <w:rFonts w:hint="eastAsia" w:ascii="仿宋" w:hAnsi="仿宋" w:eastAsia="仿宋" w:cs="仿宋"/>
                <w:sz w:val="24"/>
              </w:rPr>
              <w:t>2. 培训内容包括系统操作规范、处方审核流程、药品专项管控操作、常见故障处置、药事合规要求、数据安全与患者信息保护、应急处置流程、药品数据库查询使用等；</w:t>
            </w:r>
          </w:p>
          <w:p w14:paraId="3BF8CB71">
            <w:pPr>
              <w:snapToGrid w:val="0"/>
              <w:spacing w:line="360" w:lineRule="auto"/>
              <w:rPr>
                <w:rFonts w:ascii="仿宋" w:hAnsi="仿宋" w:eastAsia="仿宋" w:cs="仿宋"/>
                <w:sz w:val="24"/>
              </w:rPr>
            </w:pPr>
            <w:r>
              <w:rPr>
                <w:rFonts w:hint="eastAsia" w:ascii="仿宋" w:hAnsi="仿宋" w:eastAsia="仿宋" w:cs="仿宋"/>
                <w:sz w:val="24"/>
              </w:rPr>
              <w:t>3. 培训完成后组织考核，确保参训人员掌握对应技能，能熟练操作系统完成药学相关工作；</w:t>
            </w:r>
          </w:p>
          <w:p w14:paraId="42B4CA31">
            <w:pPr>
              <w:snapToGrid w:val="0"/>
              <w:spacing w:line="360" w:lineRule="auto"/>
              <w:rPr>
                <w:rFonts w:ascii="仿宋" w:hAnsi="仿宋" w:eastAsia="仿宋" w:cs="仿宋"/>
                <w:sz w:val="24"/>
              </w:rPr>
            </w:pPr>
            <w:r>
              <w:rPr>
                <w:rFonts w:hint="eastAsia" w:ascii="仿宋" w:hAnsi="仿宋" w:eastAsia="仿宋" w:cs="仿宋"/>
                <w:sz w:val="24"/>
              </w:rPr>
              <w:t>4. 针对系统升级、新功能上线、新员工入职、政策调整等场景，提供即时专项培训服务，重点覆盖处方审核规则、药品管控要求等更新内容。</w:t>
            </w:r>
          </w:p>
        </w:tc>
        <w:tc>
          <w:tcPr>
            <w:tcW w:w="657" w:type="pct"/>
            <w:tcMar>
              <w:top w:w="60" w:type="dxa"/>
              <w:left w:w="120" w:type="dxa"/>
              <w:bottom w:w="30" w:type="dxa"/>
              <w:right w:w="120" w:type="dxa"/>
            </w:tcMar>
            <w:vAlign w:val="center"/>
          </w:tcPr>
          <w:p w14:paraId="5F9F6E2F">
            <w:pPr>
              <w:snapToGrid w:val="0"/>
              <w:spacing w:line="360" w:lineRule="auto"/>
              <w:jc w:val="center"/>
              <w:rPr>
                <w:rFonts w:ascii="仿宋" w:hAnsi="仿宋" w:eastAsia="仿宋" w:cs="仿宋"/>
                <w:sz w:val="24"/>
              </w:rPr>
            </w:pPr>
            <w:r>
              <w:rPr>
                <w:rFonts w:hint="eastAsia" w:ascii="仿宋" w:hAnsi="仿宋" w:eastAsia="仿宋" w:cs="仿宋"/>
                <w:sz w:val="24"/>
              </w:rPr>
              <w:t>现场培训、远程线上培训</w:t>
            </w:r>
          </w:p>
        </w:tc>
        <w:tc>
          <w:tcPr>
            <w:tcW w:w="821" w:type="pct"/>
            <w:tcMar>
              <w:top w:w="60" w:type="dxa"/>
              <w:left w:w="120" w:type="dxa"/>
              <w:bottom w:w="30" w:type="dxa"/>
              <w:right w:w="120" w:type="dxa"/>
            </w:tcMar>
            <w:vAlign w:val="center"/>
          </w:tcPr>
          <w:p w14:paraId="72C7A613">
            <w:pPr>
              <w:snapToGrid w:val="0"/>
              <w:spacing w:line="360" w:lineRule="auto"/>
              <w:jc w:val="center"/>
              <w:rPr>
                <w:rFonts w:ascii="仿宋" w:hAnsi="仿宋" w:eastAsia="仿宋" w:cs="仿宋"/>
                <w:sz w:val="24"/>
              </w:rPr>
            </w:pPr>
            <w:r>
              <w:rPr>
                <w:rFonts w:hint="eastAsia" w:ascii="仿宋" w:hAnsi="仿宋" w:eastAsia="仿宋" w:cs="仿宋"/>
                <w:sz w:val="24"/>
              </w:rPr>
              <w:t>全年累计培训不少于20学时，集中培训不少于2次，专项培训不限次数，新员工入职培训随到随学</w:t>
            </w:r>
          </w:p>
        </w:tc>
      </w:tr>
      <w:tr w14:paraId="083D6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8" w:type="pct"/>
            <w:tcMar>
              <w:top w:w="60" w:type="dxa"/>
              <w:left w:w="120" w:type="dxa"/>
              <w:bottom w:w="30" w:type="dxa"/>
              <w:right w:w="120" w:type="dxa"/>
            </w:tcMar>
            <w:vAlign w:val="center"/>
          </w:tcPr>
          <w:p w14:paraId="132B4717">
            <w:pPr>
              <w:snapToGrid w:val="0"/>
              <w:spacing w:line="360" w:lineRule="auto"/>
              <w:jc w:val="center"/>
              <w:rPr>
                <w:rFonts w:ascii="仿宋" w:hAnsi="仿宋" w:eastAsia="仿宋" w:cs="仿宋"/>
                <w:sz w:val="24"/>
              </w:rPr>
            </w:pPr>
            <w:r>
              <w:rPr>
                <w:rFonts w:hint="eastAsia" w:ascii="仿宋" w:hAnsi="仿宋" w:eastAsia="仿宋" w:cs="仿宋"/>
                <w:sz w:val="24"/>
              </w:rPr>
              <w:t>6</w:t>
            </w:r>
          </w:p>
        </w:tc>
        <w:tc>
          <w:tcPr>
            <w:tcW w:w="904" w:type="pct"/>
            <w:tcMar>
              <w:top w:w="60" w:type="dxa"/>
              <w:left w:w="120" w:type="dxa"/>
              <w:bottom w:w="30" w:type="dxa"/>
              <w:right w:w="120" w:type="dxa"/>
            </w:tcMar>
            <w:vAlign w:val="center"/>
          </w:tcPr>
          <w:p w14:paraId="6286EB68">
            <w:pPr>
              <w:snapToGrid w:val="0"/>
              <w:spacing w:line="360" w:lineRule="auto"/>
              <w:jc w:val="center"/>
              <w:rPr>
                <w:rFonts w:ascii="仿宋" w:hAnsi="仿宋" w:eastAsia="仿宋" w:cs="仿宋"/>
                <w:sz w:val="24"/>
              </w:rPr>
            </w:pPr>
            <w:r>
              <w:rPr>
                <w:rFonts w:hint="eastAsia" w:ascii="仿宋" w:hAnsi="仿宋" w:eastAsia="仿宋" w:cs="仿宋"/>
                <w:sz w:val="24"/>
              </w:rPr>
              <w:t>应急保障服务</w:t>
            </w:r>
          </w:p>
        </w:tc>
        <w:tc>
          <w:tcPr>
            <w:tcW w:w="2219" w:type="pct"/>
            <w:tcMar>
              <w:top w:w="60" w:type="dxa"/>
              <w:left w:w="120" w:type="dxa"/>
              <w:bottom w:w="30" w:type="dxa"/>
              <w:right w:w="120" w:type="dxa"/>
            </w:tcMar>
            <w:vAlign w:val="center"/>
          </w:tcPr>
          <w:p w14:paraId="11106C7C">
            <w:pPr>
              <w:snapToGrid w:val="0"/>
              <w:spacing w:line="360" w:lineRule="auto"/>
              <w:rPr>
                <w:rFonts w:ascii="仿宋" w:hAnsi="仿宋" w:eastAsia="仿宋" w:cs="仿宋"/>
                <w:sz w:val="24"/>
              </w:rPr>
            </w:pPr>
            <w:r>
              <w:rPr>
                <w:rFonts w:hint="eastAsia" w:ascii="仿宋" w:hAnsi="仿宋" w:eastAsia="仿宋" w:cs="仿宋"/>
                <w:sz w:val="24"/>
              </w:rPr>
              <w:t>1. 针对系统瘫痪、重大数据安全事件、网络攻击、核心接口中断、处方审核失效等突发场景，制定专项应急预案，明确应急处置流程、责任人员、处置方案，结合药学业务特点优化应急措施；</w:t>
            </w:r>
          </w:p>
          <w:p w14:paraId="2D18B89B">
            <w:pPr>
              <w:snapToGrid w:val="0"/>
              <w:spacing w:line="360" w:lineRule="auto"/>
              <w:rPr>
                <w:rFonts w:ascii="仿宋" w:hAnsi="仿宋" w:eastAsia="仿宋" w:cs="仿宋"/>
                <w:sz w:val="24"/>
              </w:rPr>
            </w:pPr>
            <w:r>
              <w:rPr>
                <w:rFonts w:hint="eastAsia" w:ascii="仿宋" w:hAnsi="仿宋" w:eastAsia="仿宋" w:cs="仿宋"/>
                <w:sz w:val="24"/>
              </w:rPr>
              <w:t>2. 每年联合采购人组织不少于1次应急演练，优化应急预案，重点演练系统业务中断、数据泄露、药品管控失效等场景的处置，提升应急响应能力；</w:t>
            </w:r>
          </w:p>
          <w:p w14:paraId="11190291">
            <w:pPr>
              <w:snapToGrid w:val="0"/>
              <w:spacing w:line="360" w:lineRule="auto"/>
              <w:rPr>
                <w:rFonts w:ascii="仿宋" w:hAnsi="仿宋" w:eastAsia="仿宋" w:cs="仿宋"/>
                <w:sz w:val="24"/>
              </w:rPr>
            </w:pPr>
            <w:r>
              <w:rPr>
                <w:rFonts w:hint="eastAsia" w:ascii="仿宋" w:hAnsi="仿宋" w:eastAsia="仿宋" w:cs="仿宋"/>
                <w:sz w:val="24"/>
              </w:rPr>
              <w:t>3. 医院就诊高峰、节假日等特殊时段，提供专属保障服务，提前完成系统巡检、药品数据库核查，全程值守保障系统稳定运行，确保处方点评、药品管控功能正常。</w:t>
            </w:r>
          </w:p>
        </w:tc>
        <w:tc>
          <w:tcPr>
            <w:tcW w:w="657" w:type="pct"/>
            <w:tcMar>
              <w:top w:w="60" w:type="dxa"/>
              <w:left w:w="120" w:type="dxa"/>
              <w:bottom w:w="30" w:type="dxa"/>
              <w:right w:w="120" w:type="dxa"/>
            </w:tcMar>
            <w:vAlign w:val="center"/>
          </w:tcPr>
          <w:p w14:paraId="350DD08A">
            <w:pPr>
              <w:snapToGrid w:val="0"/>
              <w:spacing w:line="360" w:lineRule="auto"/>
              <w:jc w:val="center"/>
              <w:rPr>
                <w:rFonts w:ascii="仿宋" w:hAnsi="仿宋" w:eastAsia="仿宋" w:cs="仿宋"/>
                <w:sz w:val="24"/>
              </w:rPr>
            </w:pPr>
            <w:r>
              <w:rPr>
                <w:rFonts w:hint="eastAsia" w:ascii="仿宋" w:hAnsi="仿宋" w:eastAsia="仿宋" w:cs="仿宋"/>
                <w:sz w:val="24"/>
              </w:rPr>
              <w:t>现场驻场服务、7×24小时应急响应</w:t>
            </w:r>
          </w:p>
        </w:tc>
        <w:tc>
          <w:tcPr>
            <w:tcW w:w="821" w:type="pct"/>
            <w:tcMar>
              <w:top w:w="60" w:type="dxa"/>
              <w:left w:w="120" w:type="dxa"/>
              <w:bottom w:w="30" w:type="dxa"/>
              <w:right w:w="120" w:type="dxa"/>
            </w:tcMar>
            <w:vAlign w:val="center"/>
          </w:tcPr>
          <w:p w14:paraId="391887DD">
            <w:pPr>
              <w:snapToGrid w:val="0"/>
              <w:spacing w:line="360" w:lineRule="auto"/>
              <w:jc w:val="center"/>
              <w:rPr>
                <w:rFonts w:ascii="仿宋" w:hAnsi="仿宋" w:eastAsia="仿宋" w:cs="仿宋"/>
                <w:sz w:val="24"/>
              </w:rPr>
            </w:pPr>
            <w:r>
              <w:rPr>
                <w:rFonts w:hint="eastAsia" w:ascii="仿宋" w:hAnsi="仿宋" w:eastAsia="仿宋" w:cs="仿宋"/>
                <w:sz w:val="24"/>
              </w:rPr>
              <w:t>每年不少于2次应急演练，特殊时段按需提供驻场保障，重大药事活动全程驻场支撑</w:t>
            </w:r>
          </w:p>
        </w:tc>
      </w:tr>
      <w:tr w14:paraId="23657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8" w:type="pct"/>
            <w:tcMar>
              <w:top w:w="60" w:type="dxa"/>
              <w:left w:w="120" w:type="dxa"/>
              <w:bottom w:w="30" w:type="dxa"/>
              <w:right w:w="120" w:type="dxa"/>
            </w:tcMar>
            <w:vAlign w:val="center"/>
          </w:tcPr>
          <w:p w14:paraId="55DF9D8C">
            <w:pPr>
              <w:snapToGrid w:val="0"/>
              <w:spacing w:line="360" w:lineRule="auto"/>
              <w:jc w:val="center"/>
              <w:rPr>
                <w:rFonts w:ascii="仿宋" w:hAnsi="仿宋" w:eastAsia="仿宋" w:cs="仿宋"/>
                <w:sz w:val="24"/>
              </w:rPr>
            </w:pPr>
            <w:r>
              <w:rPr>
                <w:rFonts w:hint="eastAsia" w:ascii="仿宋" w:hAnsi="仿宋" w:eastAsia="仿宋" w:cs="仿宋"/>
                <w:sz w:val="24"/>
              </w:rPr>
              <w:t>7</w:t>
            </w:r>
          </w:p>
        </w:tc>
        <w:tc>
          <w:tcPr>
            <w:tcW w:w="904" w:type="pct"/>
            <w:tcMar>
              <w:top w:w="60" w:type="dxa"/>
              <w:left w:w="120" w:type="dxa"/>
              <w:bottom w:w="30" w:type="dxa"/>
              <w:right w:w="120" w:type="dxa"/>
            </w:tcMar>
            <w:vAlign w:val="center"/>
          </w:tcPr>
          <w:p w14:paraId="72CFCD61">
            <w:pPr>
              <w:snapToGrid w:val="0"/>
              <w:spacing w:line="360" w:lineRule="auto"/>
              <w:jc w:val="center"/>
              <w:rPr>
                <w:rFonts w:ascii="仿宋" w:hAnsi="仿宋" w:eastAsia="仿宋" w:cs="仿宋"/>
                <w:sz w:val="24"/>
              </w:rPr>
            </w:pPr>
            <w:r>
              <w:rPr>
                <w:rFonts w:hint="eastAsia" w:ascii="仿宋" w:hAnsi="仿宋" w:eastAsia="仿宋" w:cs="仿宋"/>
                <w:sz w:val="24"/>
              </w:rPr>
              <w:t>服务器端国产化替代专项技术服务</w:t>
            </w:r>
          </w:p>
        </w:tc>
        <w:tc>
          <w:tcPr>
            <w:tcW w:w="2219" w:type="pct"/>
            <w:tcMar>
              <w:top w:w="60" w:type="dxa"/>
              <w:left w:w="120" w:type="dxa"/>
              <w:bottom w:w="30" w:type="dxa"/>
              <w:right w:w="120" w:type="dxa"/>
            </w:tcMar>
            <w:vAlign w:val="center"/>
          </w:tcPr>
          <w:p w14:paraId="5B81E691">
            <w:pPr>
              <w:snapToGrid w:val="0"/>
              <w:spacing w:line="360" w:lineRule="auto"/>
              <w:rPr>
                <w:rFonts w:ascii="仿宋" w:hAnsi="仿宋" w:eastAsia="仿宋" w:cs="仿宋"/>
                <w:sz w:val="24"/>
              </w:rPr>
            </w:pPr>
            <w:r>
              <w:rPr>
                <w:rFonts w:hint="eastAsia" w:ascii="仿宋" w:hAnsi="仿宋" w:eastAsia="仿宋" w:cs="仿宋"/>
                <w:sz w:val="24"/>
              </w:rPr>
              <w:t>1. 国产化适配前置评估：针对采购人服务器端国产化替代建设需求，完成现有信息系统全模块、全功能的国产化环境兼容性评估，覆盖国产服务器硬件、服务器操作系统、数据库、中间件的全栈适配性分析，结合药学系统特性出具完整的《系统国产化适配评估报告》《国产化迁移实施方案》《业务割接与风险应急预案》；</w:t>
            </w:r>
          </w:p>
          <w:p w14:paraId="3553B67B">
            <w:pPr>
              <w:snapToGrid w:val="0"/>
              <w:spacing w:line="360" w:lineRule="auto"/>
              <w:rPr>
                <w:rFonts w:ascii="仿宋" w:hAnsi="仿宋" w:eastAsia="仿宋" w:cs="仿宋"/>
                <w:sz w:val="24"/>
              </w:rPr>
            </w:pPr>
            <w:r>
              <w:rPr>
                <w:rFonts w:hint="eastAsia" w:ascii="仿宋" w:hAnsi="仿宋" w:eastAsia="仿宋" w:cs="仿宋"/>
                <w:sz w:val="24"/>
              </w:rPr>
              <w:t>2. 原厂级适配改造开发：针对评估发现的兼容性问题，提供系统源代码级的适配改造、功能优化、接口重构服务，重点保障处方审核、药品数据库、统计分析等核心功能在国产化环境下全功能正常运行、业务流程无断点、数据交互无异常，同时保障系统与院内现有及新增信创/非信创系统、外部系统的互联互通，适配改造后系统性能不低于原有非国产化环境水平；</w:t>
            </w:r>
          </w:p>
          <w:p w14:paraId="1743AD83">
            <w:pPr>
              <w:snapToGrid w:val="0"/>
              <w:spacing w:line="360" w:lineRule="auto"/>
              <w:rPr>
                <w:rFonts w:ascii="仿宋" w:hAnsi="仿宋" w:eastAsia="仿宋" w:cs="仿宋"/>
                <w:sz w:val="24"/>
              </w:rPr>
            </w:pPr>
            <w:r>
              <w:rPr>
                <w:rFonts w:hint="eastAsia" w:ascii="仿宋" w:hAnsi="仿宋" w:eastAsia="仿宋" w:cs="仿宋"/>
                <w:sz w:val="24"/>
              </w:rPr>
              <w:t>3. 国产化迁移与割接实施：配合采购人完成国产化测试环境搭建、全量功能测试、压力测试、兼容性测试、安全测试，制定分阶段、零风险的业务割接方案，割接操作安排在非业务高峰时段（夜间、节假日），全程派驻技术人员现场值守，保障迁移过程数据零丢失、零泄露、零篡改，业务中断时长符合医院药学管理安全要求，如出现异常立即启动回滚预案，保障临床用药连续性；</w:t>
            </w:r>
          </w:p>
          <w:p w14:paraId="40C78B6E">
            <w:pPr>
              <w:snapToGrid w:val="0"/>
              <w:spacing w:line="360" w:lineRule="auto"/>
              <w:rPr>
                <w:rFonts w:ascii="仿宋" w:hAnsi="仿宋" w:eastAsia="仿宋" w:cs="仿宋"/>
                <w:sz w:val="24"/>
              </w:rPr>
            </w:pPr>
            <w:r>
              <w:rPr>
                <w:rFonts w:hint="eastAsia" w:ascii="仿宋" w:hAnsi="仿宋" w:eastAsia="仿宋" w:cs="仿宋"/>
                <w:sz w:val="24"/>
              </w:rPr>
              <w:t>4. 国产化环境专项运维保障：系统迁移至国产化服务器环境后，提供专属专项运维服务，包括国产化环境下系统日常巡检、性能优化、故障排查处置、安全补丁适配、漏洞修复、合规性升级，建立国产化环境专属运维台账，针对国产化平台特性优化运维流程，重点保障药品数据库稳定运行，确保系统在国产化服务器环境下持续稳定运行；</w:t>
            </w:r>
          </w:p>
          <w:p w14:paraId="1B63CC8A">
            <w:pPr>
              <w:snapToGrid w:val="0"/>
              <w:spacing w:line="360" w:lineRule="auto"/>
              <w:rPr>
                <w:rFonts w:ascii="仿宋" w:hAnsi="仿宋" w:eastAsia="仿宋" w:cs="仿宋"/>
                <w:sz w:val="24"/>
              </w:rPr>
            </w:pPr>
            <w:r>
              <w:rPr>
                <w:rFonts w:hint="eastAsia" w:ascii="仿宋" w:hAnsi="仿宋" w:eastAsia="仿宋" w:cs="仿宋"/>
                <w:sz w:val="24"/>
              </w:rPr>
              <w:t>5. 合规适配与测评支撑：配合采购人完成信创建设合规验收、网络安全等级保护测评、药事管理专项检查、医保数据安全检查等相关工作，提供系统国产化适配证明、测试报告、技术支撑及整改服务，确保系统符合国家及地方相关政策要求；</w:t>
            </w:r>
          </w:p>
          <w:p w14:paraId="530950C4">
            <w:pPr>
              <w:snapToGrid w:val="0"/>
              <w:spacing w:line="360" w:lineRule="auto"/>
              <w:rPr>
                <w:rFonts w:ascii="仿宋" w:hAnsi="仿宋" w:eastAsia="仿宋" w:cs="仿宋"/>
                <w:sz w:val="24"/>
              </w:rPr>
            </w:pPr>
            <w:r>
              <w:rPr>
                <w:rFonts w:hint="eastAsia" w:ascii="仿宋" w:hAnsi="仿宋" w:eastAsia="仿宋" w:cs="仿宋"/>
                <w:sz w:val="24"/>
              </w:rPr>
              <w:t>6. 国产化专项培训：针对国产化服务器环境下的系统运维、操作使用、故障应急处置，为采购人信息科技术人员、药学操作岗、管理人员提供专项定制化培训，编制专属培训教材，确保参训人员掌握对应技能，能熟练开展国产化环境下的药学相关工作。</w:t>
            </w:r>
          </w:p>
        </w:tc>
        <w:tc>
          <w:tcPr>
            <w:tcW w:w="657" w:type="pct"/>
            <w:tcMar>
              <w:top w:w="60" w:type="dxa"/>
              <w:left w:w="120" w:type="dxa"/>
              <w:bottom w:w="30" w:type="dxa"/>
              <w:right w:w="120" w:type="dxa"/>
            </w:tcMar>
            <w:vAlign w:val="center"/>
          </w:tcPr>
          <w:p w14:paraId="19635ED1">
            <w:pPr>
              <w:snapToGrid w:val="0"/>
              <w:spacing w:line="360" w:lineRule="auto"/>
              <w:jc w:val="center"/>
              <w:rPr>
                <w:rFonts w:ascii="仿宋" w:hAnsi="仿宋" w:eastAsia="仿宋" w:cs="仿宋"/>
                <w:sz w:val="24"/>
              </w:rPr>
            </w:pPr>
            <w:r>
              <w:rPr>
                <w:rFonts w:hint="eastAsia" w:ascii="仿宋" w:hAnsi="仿宋" w:eastAsia="仿宋" w:cs="仿宋"/>
                <w:sz w:val="24"/>
              </w:rPr>
              <w:t>现场服务为主、远程辅助服务、专项驻场服务</w:t>
            </w:r>
          </w:p>
        </w:tc>
        <w:tc>
          <w:tcPr>
            <w:tcW w:w="821" w:type="pct"/>
            <w:tcMar>
              <w:top w:w="60" w:type="dxa"/>
              <w:left w:w="120" w:type="dxa"/>
              <w:bottom w:w="30" w:type="dxa"/>
              <w:right w:w="120" w:type="dxa"/>
            </w:tcMar>
            <w:vAlign w:val="center"/>
          </w:tcPr>
          <w:p w14:paraId="1B4BB477">
            <w:pPr>
              <w:snapToGrid w:val="0"/>
              <w:spacing w:line="360" w:lineRule="auto"/>
              <w:jc w:val="center"/>
              <w:rPr>
                <w:rFonts w:ascii="仿宋" w:hAnsi="仿宋" w:eastAsia="仿宋" w:cs="仿宋"/>
                <w:sz w:val="24"/>
              </w:rPr>
            </w:pPr>
            <w:r>
              <w:rPr>
                <w:rFonts w:hint="eastAsia" w:ascii="仿宋" w:hAnsi="仿宋" w:eastAsia="仿宋" w:cs="仿宋"/>
                <w:sz w:val="24"/>
              </w:rPr>
              <w:t>按需提供全流程服务，服务期内不限响应次数；适配评估与方案编制须在采购人提出需求后15个工作日内完成；迁移实施全流程须配合采购人信创建设时限要求完成；迁移完成后每月至少1次国产化环境专项巡检，每季度至少1次性能优化</w:t>
            </w:r>
          </w:p>
        </w:tc>
      </w:tr>
      <w:tr w14:paraId="4546A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98" w:type="pct"/>
            <w:tcMar>
              <w:top w:w="60" w:type="dxa"/>
              <w:left w:w="120" w:type="dxa"/>
              <w:bottom w:w="30" w:type="dxa"/>
              <w:right w:w="120" w:type="dxa"/>
            </w:tcMar>
            <w:vAlign w:val="center"/>
          </w:tcPr>
          <w:p w14:paraId="5E6B3CB0">
            <w:pPr>
              <w:snapToGrid w:val="0"/>
              <w:spacing w:line="360" w:lineRule="auto"/>
              <w:jc w:val="center"/>
              <w:rPr>
                <w:rFonts w:ascii="仿宋" w:hAnsi="仿宋" w:eastAsia="仿宋" w:cs="仿宋"/>
                <w:sz w:val="24"/>
              </w:rPr>
            </w:pPr>
            <w:r>
              <w:rPr>
                <w:rFonts w:hint="eastAsia" w:ascii="仿宋" w:hAnsi="仿宋" w:eastAsia="仿宋" w:cs="仿宋"/>
                <w:sz w:val="24"/>
              </w:rPr>
              <w:t>8</w:t>
            </w:r>
          </w:p>
        </w:tc>
        <w:tc>
          <w:tcPr>
            <w:tcW w:w="904" w:type="pct"/>
            <w:tcMar>
              <w:top w:w="60" w:type="dxa"/>
              <w:left w:w="120" w:type="dxa"/>
              <w:bottom w:w="30" w:type="dxa"/>
              <w:right w:w="120" w:type="dxa"/>
            </w:tcMar>
            <w:vAlign w:val="center"/>
          </w:tcPr>
          <w:p w14:paraId="1681E3B1">
            <w:pPr>
              <w:snapToGrid w:val="0"/>
              <w:spacing w:line="360" w:lineRule="auto"/>
              <w:jc w:val="center"/>
              <w:rPr>
                <w:rFonts w:ascii="仿宋" w:hAnsi="仿宋" w:eastAsia="仿宋" w:cs="仿宋"/>
                <w:sz w:val="24"/>
              </w:rPr>
            </w:pPr>
            <w:r>
              <w:rPr>
                <w:rFonts w:hint="eastAsia" w:ascii="仿宋" w:hAnsi="仿宋" w:eastAsia="仿宋" w:cs="仿宋"/>
                <w:sz w:val="24"/>
              </w:rPr>
              <w:t>运维报告服务</w:t>
            </w:r>
          </w:p>
        </w:tc>
        <w:tc>
          <w:tcPr>
            <w:tcW w:w="2219" w:type="pct"/>
            <w:tcMar>
              <w:top w:w="60" w:type="dxa"/>
              <w:left w:w="120" w:type="dxa"/>
              <w:bottom w:w="30" w:type="dxa"/>
              <w:right w:w="120" w:type="dxa"/>
            </w:tcMar>
            <w:vAlign w:val="center"/>
          </w:tcPr>
          <w:p w14:paraId="3552C525">
            <w:pPr>
              <w:snapToGrid w:val="0"/>
              <w:spacing w:line="360" w:lineRule="auto"/>
              <w:rPr>
                <w:rFonts w:ascii="仿宋" w:hAnsi="仿宋" w:eastAsia="仿宋" w:cs="仿宋"/>
                <w:sz w:val="24"/>
              </w:rPr>
            </w:pPr>
            <w:r>
              <w:rPr>
                <w:rFonts w:hint="eastAsia" w:ascii="仿宋" w:hAnsi="仿宋" w:eastAsia="仿宋" w:cs="仿宋"/>
                <w:sz w:val="24"/>
              </w:rPr>
              <w:t>1. 每季度、每年提交阶段性运维报告，年度报告须包含全年服务总结、系统运行评估、安全合规情况、下一年度运维优化方案等；</w:t>
            </w:r>
          </w:p>
          <w:p w14:paraId="55D5D4CD">
            <w:pPr>
              <w:snapToGrid w:val="0"/>
              <w:spacing w:line="360" w:lineRule="auto"/>
              <w:rPr>
                <w:rFonts w:ascii="仿宋" w:hAnsi="仿宋" w:eastAsia="仿宋" w:cs="仿宋"/>
                <w:sz w:val="24"/>
              </w:rPr>
            </w:pPr>
            <w:r>
              <w:rPr>
                <w:rFonts w:hint="eastAsia" w:ascii="仿宋" w:hAnsi="仿宋" w:eastAsia="仿宋" w:cs="仿宋"/>
                <w:sz w:val="24"/>
              </w:rPr>
              <w:t>2. 重大故障、专项工作单独提交专项报告。</w:t>
            </w:r>
          </w:p>
        </w:tc>
        <w:tc>
          <w:tcPr>
            <w:tcW w:w="657" w:type="pct"/>
            <w:tcMar>
              <w:top w:w="60" w:type="dxa"/>
              <w:left w:w="120" w:type="dxa"/>
              <w:bottom w:w="30" w:type="dxa"/>
              <w:right w:w="120" w:type="dxa"/>
            </w:tcMar>
            <w:vAlign w:val="center"/>
          </w:tcPr>
          <w:p w14:paraId="38BF9145">
            <w:pPr>
              <w:snapToGrid w:val="0"/>
              <w:spacing w:line="360" w:lineRule="auto"/>
              <w:rPr>
                <w:rFonts w:ascii="仿宋" w:hAnsi="仿宋" w:eastAsia="仿宋" w:cs="仿宋"/>
                <w:sz w:val="24"/>
              </w:rPr>
            </w:pPr>
            <w:r>
              <w:rPr>
                <w:rFonts w:hint="eastAsia" w:ascii="仿宋" w:hAnsi="仿宋" w:eastAsia="仿宋" w:cs="仿宋"/>
                <w:sz w:val="24"/>
              </w:rPr>
              <w:t>书面盖章报告、电子文档</w:t>
            </w:r>
          </w:p>
        </w:tc>
        <w:tc>
          <w:tcPr>
            <w:tcW w:w="821" w:type="pct"/>
            <w:tcMar>
              <w:top w:w="60" w:type="dxa"/>
              <w:left w:w="120" w:type="dxa"/>
              <w:bottom w:w="30" w:type="dxa"/>
              <w:right w:w="120" w:type="dxa"/>
            </w:tcMar>
            <w:vAlign w:val="center"/>
          </w:tcPr>
          <w:p w14:paraId="655548FA">
            <w:pPr>
              <w:snapToGrid w:val="0"/>
              <w:spacing w:line="360" w:lineRule="auto"/>
              <w:rPr>
                <w:rFonts w:ascii="仿宋" w:hAnsi="仿宋" w:eastAsia="仿宋" w:cs="仿宋"/>
                <w:sz w:val="24"/>
              </w:rPr>
            </w:pPr>
            <w:r>
              <w:rPr>
                <w:rFonts w:hint="eastAsia" w:ascii="仿宋" w:hAnsi="仿宋" w:eastAsia="仿宋" w:cs="仿宋"/>
                <w:sz w:val="24"/>
              </w:rPr>
              <w:t>每季度1次季报，每年1次年报，专项报告按需提交</w:t>
            </w:r>
          </w:p>
        </w:tc>
      </w:tr>
    </w:tbl>
    <w:p w14:paraId="7749EF92">
      <w:pPr>
        <w:snapToGrid w:val="0"/>
        <w:spacing w:line="360" w:lineRule="auto"/>
        <w:jc w:val="left"/>
        <w:rPr>
          <w:rFonts w:ascii="仿宋" w:hAnsi="仿宋" w:eastAsia="仿宋" w:cs="仿宋"/>
          <w:sz w:val="24"/>
        </w:rPr>
      </w:pPr>
      <w:bookmarkStart w:id="34" w:name="heading_6"/>
      <w:r>
        <w:rPr>
          <w:rFonts w:hint="eastAsia" w:ascii="仿宋" w:hAnsi="仿宋" w:eastAsia="仿宋" w:cs="仿宋"/>
          <w:b/>
          <w:sz w:val="24"/>
        </w:rPr>
        <w:t>5. 售后服务方案与技术能力要求</w:t>
      </w:r>
      <w:bookmarkEnd w:id="34"/>
    </w:p>
    <w:p w14:paraId="0B72FB57">
      <w:pPr>
        <w:snapToGrid w:val="0"/>
        <w:spacing w:line="360" w:lineRule="auto"/>
        <w:jc w:val="left"/>
        <w:rPr>
          <w:rFonts w:ascii="仿宋" w:hAnsi="仿宋" w:eastAsia="仿宋" w:cs="仿宋"/>
          <w:sz w:val="24"/>
        </w:rPr>
      </w:pPr>
      <w:bookmarkStart w:id="35" w:name="heading_7"/>
      <w:r>
        <w:rPr>
          <w:rFonts w:hint="eastAsia" w:ascii="仿宋" w:hAnsi="仿宋" w:eastAsia="仿宋" w:cs="仿宋"/>
          <w:b/>
          <w:sz w:val="24"/>
        </w:rPr>
        <w:t>5.1 售后服务方案要求</w:t>
      </w:r>
      <w:bookmarkEnd w:id="35"/>
    </w:p>
    <w:p w14:paraId="20C8DE02">
      <w:pPr>
        <w:snapToGrid w:val="0"/>
        <w:spacing w:line="360" w:lineRule="auto"/>
        <w:ind w:firstLine="480" w:firstLineChars="200"/>
        <w:jc w:val="left"/>
        <w:rPr>
          <w:rFonts w:ascii="仿宋" w:hAnsi="仿宋" w:eastAsia="仿宋" w:cs="仿宋"/>
          <w:sz w:val="24"/>
        </w:rPr>
      </w:pPr>
      <w:bookmarkStart w:id="36" w:name="heading_8"/>
      <w:r>
        <w:rPr>
          <w:rFonts w:hint="eastAsia" w:ascii="仿宋" w:hAnsi="仿宋" w:eastAsia="仿宋" w:cs="仿宋"/>
          <w:sz w:val="24"/>
        </w:rPr>
        <w:t>服务商须根据采购人信息化建设现状、系统使用情况、业务运行特点，制定详尽、可落地的售后服务方案，方案须至少包含以下内容：</w:t>
      </w:r>
    </w:p>
    <w:p w14:paraId="5B5425A6">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1.</w:t>
      </w:r>
    </w:p>
    <w:p w14:paraId="331C64AA">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2.</w:t>
      </w:r>
    </w:p>
    <w:p w14:paraId="0ABBEF2D">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3.</w:t>
      </w:r>
    </w:p>
    <w:p w14:paraId="5E3F204E">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4.</w:t>
      </w:r>
    </w:p>
    <w:p w14:paraId="5266B032">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5.</w:t>
      </w:r>
    </w:p>
    <w:p w14:paraId="01E60BE4">
      <w:pPr>
        <w:pStyle w:val="34"/>
        <w:numPr>
          <w:ilvl w:val="1"/>
          <w:numId w:val="0"/>
        </w:numPr>
        <w:snapToGrid w:val="0"/>
        <w:spacing w:line="360" w:lineRule="auto"/>
        <w:ind w:left="567" w:hanging="567"/>
        <w:jc w:val="left"/>
        <w:rPr>
          <w:rFonts w:ascii="仿宋" w:hAnsi="仿宋" w:eastAsia="仿宋" w:cs="仿宋"/>
          <w:vanish/>
          <w:sz w:val="24"/>
        </w:rPr>
      </w:pPr>
      <w:r>
        <w:rPr>
          <w:rFonts w:hint="eastAsia" w:ascii="仿宋" w:hAnsi="仿宋" w:eastAsia="仿宋" w:cs="仿宋"/>
          <w:vanish/>
          <w:sz w:val="24"/>
        </w:rPr>
        <w:t>5.1.</w:t>
      </w:r>
    </w:p>
    <w:p w14:paraId="2FD46D46">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5.1.1.售后运维服务的整体承诺、服务级别保障承诺；</w:t>
      </w:r>
    </w:p>
    <w:p w14:paraId="17E95B10">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5.1.2.售后运维服务的详细内容、实施流程、操作规范；</w:t>
      </w:r>
    </w:p>
    <w:p w14:paraId="32494C04">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5.1.3.各故障等级的应急处置措施、业务连续性保障方案；</w:t>
      </w:r>
    </w:p>
    <w:p w14:paraId="1E86DB83">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5.1.4.售后运维服务全流程管理制度、质量管控体系；</w:t>
      </w:r>
    </w:p>
    <w:p w14:paraId="470D2BF0">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5.1.5.数据安全事件、系统瘫痪等突发场景的专项应急预案；</w:t>
      </w:r>
    </w:p>
    <w:p w14:paraId="4E94377F">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5.1.6.运维服务人员的岗位职责、考核方案、奖惩机制；</w:t>
      </w:r>
    </w:p>
    <w:p w14:paraId="0BE51B3B">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5.1.7.合规性保障方案、等保合规配合方案、个人信息保护专项方案。</w:t>
      </w:r>
    </w:p>
    <w:p w14:paraId="154FD9A6">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5.1.8.服务器端国产化替代专项服务方案与专项应急预案。</w:t>
      </w:r>
    </w:p>
    <w:p w14:paraId="633160BA">
      <w:pPr>
        <w:snapToGrid w:val="0"/>
        <w:spacing w:line="360" w:lineRule="auto"/>
        <w:jc w:val="left"/>
        <w:rPr>
          <w:rFonts w:ascii="仿宋" w:hAnsi="仿宋" w:eastAsia="仿宋" w:cs="仿宋"/>
          <w:sz w:val="24"/>
        </w:rPr>
      </w:pPr>
      <w:r>
        <w:rPr>
          <w:rFonts w:hint="eastAsia" w:ascii="仿宋" w:hAnsi="仿宋" w:eastAsia="仿宋" w:cs="仿宋"/>
          <w:b/>
          <w:sz w:val="24"/>
        </w:rPr>
        <w:t>5.2 技术能力与人员要求</w:t>
      </w:r>
      <w:bookmarkEnd w:id="36"/>
    </w:p>
    <w:p w14:paraId="01E1431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5.2.1 服务商须提供本项目售后服务专属团队组织架构，明确项目负责人、技术负责人、现场运维人员、安全专项人员、应急保障人员、药事对接专员的岗位职责与联系方式，确保7×24小时可联系。</w:t>
      </w:r>
    </w:p>
    <w:p w14:paraId="2F26858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5.2.2 本项目专属技术团队人员不少于5名，团队人员须满足以下资质要求：</w:t>
      </w:r>
    </w:p>
    <w:p w14:paraId="5C8313C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项目负责人须具备3年以上医疗信息化系统（药学类）运维项目管理经验，具备药学信息系统相关项目服务经验，熟悉药事管理、相关政策；</w:t>
      </w:r>
    </w:p>
    <w:p w14:paraId="048C03C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技术团队须包含至少1名数据库工程师、1名网络安全工程师、1名药事对接专员，所有运维人员须具备药学信息系统原厂运维认证资质；</w:t>
      </w:r>
    </w:p>
    <w:p w14:paraId="6473C3D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提供团队所有人员近3个月的社保缴纳证明材料，确保人员稳定，未经采购人书面同意，不得擅自更换项目核心人员；</w:t>
      </w:r>
    </w:p>
    <w:p w14:paraId="04EBF39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5.2.3 服务商须具备完善的技术支撑体系，具备药学信息系统原厂级研发与维护能力，可提供系统源代码级的故障修复、功能适配服务，具备本地化服务能力，确保应急处置时效，同时具备对接医保、卫健部门药学数据的技术能力，熟悉药事管理相关规范。</w:t>
      </w:r>
    </w:p>
    <w:p w14:paraId="596F09A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5.2.4 服务商须具备权威的药品数据库支撑能力，能及时更新药品说明书、药物相互作用、超说明书用药等相关数据，确保处方审核的准确性与专业性，契合美康系统的核心优势。</w:t>
      </w:r>
    </w:p>
    <w:p w14:paraId="223663FA">
      <w:pPr>
        <w:snapToGrid w:val="0"/>
        <w:spacing w:line="360" w:lineRule="auto"/>
        <w:jc w:val="left"/>
        <w:rPr>
          <w:rFonts w:ascii="仿宋" w:hAnsi="仿宋" w:eastAsia="仿宋" w:cs="仿宋"/>
          <w:sz w:val="24"/>
        </w:rPr>
      </w:pPr>
      <w:bookmarkStart w:id="37" w:name="heading_9"/>
      <w:r>
        <w:rPr>
          <w:rFonts w:hint="eastAsia" w:ascii="仿宋" w:hAnsi="仿宋" w:eastAsia="仿宋" w:cs="仿宋"/>
          <w:b/>
          <w:sz w:val="24"/>
        </w:rPr>
        <w:t>6. 数据安全与信息保密要求</w:t>
      </w:r>
      <w:bookmarkEnd w:id="37"/>
    </w:p>
    <w:p w14:paraId="57E81154">
      <w:pPr>
        <w:snapToGrid w:val="0"/>
        <w:spacing w:line="360" w:lineRule="auto"/>
        <w:ind w:firstLine="480" w:firstLineChars="200"/>
        <w:jc w:val="left"/>
        <w:rPr>
          <w:rFonts w:ascii="仿宋" w:hAnsi="仿宋" w:eastAsia="仿宋" w:cs="仿宋"/>
          <w:sz w:val="24"/>
        </w:rPr>
      </w:pPr>
      <w:bookmarkStart w:id="38" w:name="heading_10"/>
      <w:r>
        <w:rPr>
          <w:rFonts w:hint="eastAsia" w:ascii="仿宋" w:hAnsi="仿宋" w:eastAsia="仿宋" w:cs="仿宋"/>
          <w:sz w:val="24"/>
        </w:rPr>
        <w:t>本条款严格遵循《数据安全法》、《个人信息保护法》、《医疗卫生机构网络安全管理办法》、《医疗卫生数据安全指南》制定，为项目刚性要求，具体如下：</w:t>
      </w:r>
    </w:p>
    <w:p w14:paraId="3B044EE3">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5.</w:t>
      </w:r>
    </w:p>
    <w:p w14:paraId="1AC35F0D">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6.</w:t>
      </w:r>
    </w:p>
    <w:p w14:paraId="2B313366">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6.1.服务商须建立完善的数据安全管理制度、全生命周期数据保护体系、个人信息保护管理制度，符合国家医疗数据分类分级保护要求，明确数据安全责任部门与专职技术人员，提供专职人员近3个月的社保缴纳证明材料。</w:t>
      </w:r>
    </w:p>
    <w:p w14:paraId="09C47BB8">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6.2.服务商须与采购人签订专项数据安全与保密协议，同时与所有参与本项目的服务人员签订保密协议，明确保密义务、保密范围、保密期限（含在职期间及离职后终身保密）与违约责任，相关协议文本须提交采购人备案。</w:t>
      </w:r>
    </w:p>
    <w:p w14:paraId="20665BDB">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6.3.服务商须严格遵守国家法律法规，对服务过程中接触、获取的所有医疗数据、患者个人信息、医院业务数据、涉密信息等，仅可用于本项目运维服务工作，不得擅自复制、存储、泄露、转让、篡改、销毁，不得用于任何商业用途或其他未经授权的用途。</w:t>
      </w:r>
    </w:p>
    <w:p w14:paraId="212104D5">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6.4.服务商的远程运维操作须经过采购人审批，采用加密安全接入方式，全程留痕，审计日志留存不少于6个月；严禁未经授权的远程操作，严禁将系统接入公共互联网进行运维操作。</w:t>
      </w:r>
    </w:p>
    <w:p w14:paraId="26B483CB">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6.5.服务商须建立数据安全事件应急处置机制，发生数据泄露、篡改、丢失等安全事件时，须10分钟内响应，第一时间通知采购人，同步启动应急预案，采取处置措施防止事件扩大，配合采购人完成监管上报、事件调查等工作，并承担全部法律责任与经济损失。</w:t>
      </w:r>
    </w:p>
    <w:p w14:paraId="46FF8A5F">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6.6.国产化迁移实施过程中，须严格遵循采购人数据安全管理规定，制定专项数据迁移安全方案，全程加密传输数据，做好全量数据备份与一致性校验，确保迁移过程数据全生命周期安全。</w:t>
      </w:r>
    </w:p>
    <w:p w14:paraId="61D64701">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6.7.服务期结束后，服务商须将所有运维相关数据、文档、材料完整移交采购人，彻底删除所持有的采购人全部数据，不得留存任何副本，并向采购人出具数据删除承诺书。</w:t>
      </w:r>
    </w:p>
    <w:p w14:paraId="7D784810">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6.8.服务商须配合采购人完成数据安全检查、网络安全审计、等保测评等相关工作，提供对应的技术支撑与整改服务。</w:t>
      </w:r>
    </w:p>
    <w:p w14:paraId="6E768E89">
      <w:pPr>
        <w:snapToGrid w:val="0"/>
        <w:spacing w:line="360" w:lineRule="auto"/>
        <w:jc w:val="left"/>
        <w:rPr>
          <w:rFonts w:ascii="仿宋" w:hAnsi="仿宋" w:eastAsia="仿宋" w:cs="仿宋"/>
          <w:sz w:val="24"/>
        </w:rPr>
      </w:pPr>
      <w:r>
        <w:rPr>
          <w:rFonts w:hint="eastAsia" w:ascii="仿宋" w:hAnsi="仿宋" w:eastAsia="仿宋" w:cs="仿宋"/>
          <w:b/>
          <w:sz w:val="24"/>
        </w:rPr>
        <w:t>三、商务要求</w:t>
      </w:r>
      <w:bookmarkEnd w:id="38"/>
    </w:p>
    <w:p w14:paraId="18374E6A">
      <w:pPr>
        <w:snapToGrid w:val="0"/>
        <w:spacing w:line="360" w:lineRule="auto"/>
        <w:jc w:val="left"/>
        <w:rPr>
          <w:rFonts w:ascii="仿宋" w:hAnsi="仿宋" w:eastAsia="仿宋" w:cs="仿宋"/>
          <w:sz w:val="24"/>
        </w:rPr>
      </w:pPr>
      <w:bookmarkStart w:id="39" w:name="heading_11"/>
      <w:r>
        <w:rPr>
          <w:rFonts w:hint="eastAsia" w:ascii="仿宋" w:hAnsi="仿宋" w:eastAsia="仿宋" w:cs="仿宋"/>
          <w:b/>
          <w:sz w:val="24"/>
        </w:rPr>
        <w:t>1. 合同核心内容</w:t>
      </w:r>
      <w:bookmarkEnd w:id="39"/>
    </w:p>
    <w:p w14:paraId="1D63D346">
      <w:pPr>
        <w:snapToGrid w:val="0"/>
        <w:spacing w:line="360" w:lineRule="auto"/>
        <w:ind w:firstLine="480" w:firstLineChars="200"/>
        <w:jc w:val="left"/>
        <w:rPr>
          <w:rFonts w:ascii="仿宋" w:hAnsi="仿宋" w:eastAsia="仿宋" w:cs="仿宋"/>
          <w:sz w:val="24"/>
        </w:rPr>
      </w:pPr>
      <w:bookmarkStart w:id="40" w:name="heading_12"/>
      <w:bookmarkStart w:id="41" w:name="heading_14"/>
      <w:r>
        <w:rPr>
          <w:rFonts w:hint="eastAsia" w:ascii="仿宋" w:hAnsi="仿宋" w:eastAsia="仿宋" w:cs="仿宋"/>
          <w:sz w:val="24"/>
        </w:rPr>
        <w:t>合同标的为成交供应商提供的本文件约定的全部运维服务、服务器端国产化替代专项技术服务，合同内容包含采购文件、成交供应商的响应文件、单一来源采购协商记录、服务承诺、成交通知书、合同文本等全部文件，成交总金额为合同固定总价，包含服务期内完成全部服务所需的人工、材料、设备、开发、测试、税费、培训、应急保障等所有费用，采购人无需额外支付任何费用。</w:t>
      </w:r>
    </w:p>
    <w:p w14:paraId="1BB66FAD">
      <w:pPr>
        <w:snapToGrid w:val="0"/>
        <w:spacing w:line="360" w:lineRule="auto"/>
        <w:jc w:val="left"/>
        <w:rPr>
          <w:rFonts w:ascii="仿宋" w:hAnsi="仿宋" w:eastAsia="仿宋" w:cs="仿宋"/>
          <w:sz w:val="24"/>
        </w:rPr>
      </w:pPr>
      <w:r>
        <w:rPr>
          <w:rFonts w:hint="eastAsia" w:ascii="仿宋" w:hAnsi="仿宋" w:eastAsia="仿宋" w:cs="仿宋"/>
          <w:b/>
          <w:sz w:val="24"/>
        </w:rPr>
        <w:t>2. 服务地点</w:t>
      </w:r>
      <w:bookmarkEnd w:id="40"/>
    </w:p>
    <w:p w14:paraId="3F51D3B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陕西省交通医院本部及所有分院区、采购人指定的其他服务场所。</w:t>
      </w:r>
    </w:p>
    <w:p w14:paraId="6D76DFEF">
      <w:pPr>
        <w:snapToGrid w:val="0"/>
        <w:spacing w:line="360" w:lineRule="auto"/>
        <w:jc w:val="left"/>
        <w:rPr>
          <w:rFonts w:ascii="仿宋" w:hAnsi="仿宋" w:eastAsia="仿宋" w:cs="仿宋"/>
          <w:sz w:val="24"/>
        </w:rPr>
      </w:pPr>
      <w:bookmarkStart w:id="42" w:name="heading_13"/>
      <w:r>
        <w:rPr>
          <w:rFonts w:hint="eastAsia" w:ascii="仿宋" w:hAnsi="仿宋" w:eastAsia="仿宋" w:cs="仿宋"/>
          <w:b/>
          <w:sz w:val="24"/>
        </w:rPr>
        <w:t>3. 服务期限</w:t>
      </w:r>
      <w:bookmarkEnd w:id="42"/>
    </w:p>
    <w:p w14:paraId="38303DD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本项目服务期限为1年，自合同签订之日起计算。服务期内，服务商服务质量持续不达标，采购人有权提前终止合同。</w:t>
      </w:r>
    </w:p>
    <w:p w14:paraId="689F3B8A">
      <w:pPr>
        <w:snapToGrid w:val="0"/>
        <w:spacing w:line="360" w:lineRule="auto"/>
        <w:jc w:val="left"/>
        <w:rPr>
          <w:rFonts w:ascii="仿宋" w:hAnsi="仿宋" w:eastAsia="仿宋" w:cs="仿宋"/>
          <w:sz w:val="24"/>
        </w:rPr>
      </w:pPr>
      <w:r>
        <w:rPr>
          <w:rFonts w:hint="eastAsia" w:ascii="仿宋" w:hAnsi="仿宋" w:eastAsia="仿宋" w:cs="仿宋"/>
          <w:b/>
          <w:sz w:val="24"/>
        </w:rPr>
        <w:t>4. 项目考核与验收</w:t>
      </w:r>
      <w:bookmarkEnd w:id="41"/>
    </w:p>
    <w:p w14:paraId="56B37520">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 本项目采用月度动态考核+年度总验收的方式，由采购人信息科牵头，联合药剂科、医务科、财务科、医保科等相关部门，或邀请外部专家开展考核评价与验收工作，成交供应商须无条件配合，并提供全部所需的运维记录、报告等资料。</w:t>
      </w:r>
    </w:p>
    <w:p w14:paraId="6EC73EFA">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1.2 考核标准：严格按照本文件附件《信息系统售后运维服务质量评价标准》执行，评分满分100分。90分（含）-100分为优秀，70分（含）-89分为合格，70分以下为不合格。</w:t>
      </w:r>
    </w:p>
    <w:p w14:paraId="0BEDAB18">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1.3验收依据：本采购文件、成交供应商响应文件、合同文本、国家及行业现行相关标准规范、月度考核记录、运维服务报告、服务满意度调查结果、项目考核汇总表等。</w:t>
      </w:r>
    </w:p>
    <w:p w14:paraId="5C9B2976">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1.4年度验收合格的前提：服务期内无重大数据安全事件、无重大服务质量投诉、无因服务商责任导致的医疗业务重大中断事故，年度考核评分≥70分。</w:t>
      </w:r>
    </w:p>
    <w:p w14:paraId="73CF1AB0">
      <w:pPr>
        <w:snapToGrid w:val="0"/>
        <w:spacing w:line="360" w:lineRule="auto"/>
        <w:jc w:val="left"/>
        <w:rPr>
          <w:rFonts w:ascii="仿宋" w:hAnsi="仿宋" w:eastAsia="仿宋" w:cs="仿宋"/>
          <w:sz w:val="24"/>
        </w:rPr>
      </w:pPr>
      <w:bookmarkStart w:id="43" w:name="heading_15"/>
      <w:r>
        <w:rPr>
          <w:rFonts w:hint="eastAsia" w:ascii="仿宋" w:hAnsi="仿宋" w:eastAsia="仿宋" w:cs="仿宋"/>
          <w:b/>
          <w:sz w:val="24"/>
        </w:rPr>
        <w:t>5. 结算与付款方式</w:t>
      </w:r>
      <w:bookmarkEnd w:id="43"/>
    </w:p>
    <w:p w14:paraId="50CB74FC">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2</w:t>
      </w:r>
    </w:p>
    <w:p w14:paraId="36A4F75D">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2.1结算主体为采购人，结算前，成交供应商须向采购人开具合法、等额、有效的发票，采购人收到发票后按以下约定付款，因供应商发票开具不合规导致的付款延误，由供应商自行承担全部责任。</w:t>
      </w:r>
    </w:p>
    <w:p w14:paraId="6283319D">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2.2付款方式：</w:t>
      </w:r>
    </w:p>
    <w:p w14:paraId="4926567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3D1EF93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38EAD0A6">
      <w:pPr>
        <w:tabs>
          <w:tab w:val="left" w:pos="567"/>
        </w:tabs>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70DF2A9F">
      <w:pPr>
        <w:tabs>
          <w:tab w:val="left" w:pos="567"/>
        </w:tabs>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4914F511">
      <w:pPr>
        <w:tabs>
          <w:tab w:val="left" w:pos="567"/>
        </w:tabs>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2E7A3FEB">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2.3月度考核连续2个月低于70分，或年度内累计3个月低于70分的，直接认定为年度考核不合格。</w:t>
      </w:r>
    </w:p>
    <w:p w14:paraId="379D20EA">
      <w:pPr>
        <w:snapToGrid w:val="0"/>
        <w:spacing w:line="360" w:lineRule="auto"/>
        <w:jc w:val="left"/>
        <w:rPr>
          <w:rFonts w:ascii="仿宋" w:hAnsi="仿宋" w:eastAsia="仿宋" w:cs="仿宋"/>
          <w:sz w:val="24"/>
        </w:rPr>
      </w:pPr>
      <w:bookmarkStart w:id="44" w:name="heading_16"/>
      <w:r>
        <w:rPr>
          <w:rFonts w:hint="eastAsia" w:ascii="仿宋" w:hAnsi="仿宋" w:eastAsia="仿宋" w:cs="仿宋"/>
          <w:b/>
          <w:sz w:val="24"/>
        </w:rPr>
        <w:t>6. 知识产权条款</w:t>
      </w:r>
      <w:bookmarkEnd w:id="44"/>
    </w:p>
    <w:p w14:paraId="6D3BB393">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3</w:t>
      </w:r>
    </w:p>
    <w:p w14:paraId="379D2BFF">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3.1供应商须保证，其提供的运维服务、软件更新、升级服务及相关技术成果，不会出现任何第三方提出侵犯其专利权、商标权、著作权或其他知识产权的主张或诉讼，如发生前述情形，由供应商承担全部法律责任，并赔偿采购人因此遭受的全部经济损失。</w:t>
      </w:r>
    </w:p>
    <w:p w14:paraId="223D9F0D">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3.2本项目涉及系统的软件著作权、知识产权归原权利人所有，供应商仅可基于本项目运维服务目的，在采购人授权范围内使用相关软件及技术资料，不得擅自复制、分发、转让、反编译、反向工程，不得用于任何其他用途。</w:t>
      </w:r>
    </w:p>
    <w:p w14:paraId="6411A2AF">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3.3服务期内，采购人基于系统使用产生的全部医疗数据、业务数据、患者个人信息等所有数据的所有权、使用权均归采购人所有，供应商不得主张任何权利，不得擅自使用。</w:t>
      </w:r>
    </w:p>
    <w:p w14:paraId="51527D7F">
      <w:pPr>
        <w:numPr>
          <w:ilvl w:val="1"/>
          <w:numId w:val="0"/>
        </w:numPr>
        <w:snapToGrid w:val="0"/>
        <w:spacing w:line="360" w:lineRule="auto"/>
        <w:ind w:firstLine="480" w:firstLineChars="200"/>
        <w:jc w:val="left"/>
        <w:rPr>
          <w:rFonts w:ascii="仿宋" w:hAnsi="仿宋" w:eastAsia="仿宋" w:cs="仿宋"/>
          <w:sz w:val="24"/>
          <w:highlight w:val="yellow"/>
        </w:rPr>
      </w:pPr>
      <w:r>
        <w:rPr>
          <w:rFonts w:hint="eastAsia" w:ascii="仿宋" w:hAnsi="仿宋" w:eastAsia="仿宋" w:cs="仿宋"/>
          <w:sz w:val="24"/>
          <w:highlight w:val="yellow"/>
        </w:rPr>
        <w:t>3.4</w:t>
      </w:r>
      <w:r>
        <w:rPr>
          <w:rFonts w:hint="eastAsia" w:ascii="仿宋" w:hAnsi="仿宋" w:eastAsia="仿宋" w:cs="仿宋"/>
          <w:sz w:val="24"/>
          <w:highlight w:val="yellow"/>
        </w:rPr>
        <w:t>若供应商在服务过程中为采购人提供定制化功能开发、专属政策适配升级、技术方案的，则相应知识产权归采购人所有。但供应商原有知识产权仍归供应商所有</w:t>
      </w:r>
      <w:r>
        <w:rPr>
          <w:rFonts w:hint="eastAsia" w:ascii="仿宋" w:hAnsi="仿宋" w:eastAsia="仿宋" w:cs="仿宋"/>
          <w:sz w:val="24"/>
          <w:highlight w:val="yellow"/>
        </w:rPr>
        <w:t>。</w:t>
      </w:r>
    </w:p>
    <w:p w14:paraId="701E53A6">
      <w:pPr>
        <w:snapToGrid w:val="0"/>
        <w:spacing w:line="360" w:lineRule="auto"/>
        <w:jc w:val="left"/>
        <w:rPr>
          <w:rFonts w:ascii="仿宋" w:hAnsi="仿宋" w:eastAsia="仿宋" w:cs="仿宋"/>
          <w:sz w:val="24"/>
        </w:rPr>
      </w:pPr>
      <w:bookmarkStart w:id="45" w:name="heading_17"/>
      <w:r>
        <w:rPr>
          <w:rFonts w:hint="eastAsia" w:ascii="仿宋" w:hAnsi="仿宋" w:eastAsia="仿宋" w:cs="仿宋"/>
          <w:b/>
          <w:sz w:val="24"/>
        </w:rPr>
        <w:t>7. 违约责任</w:t>
      </w:r>
      <w:bookmarkEnd w:id="45"/>
    </w:p>
    <w:p w14:paraId="22ED86C6">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4</w:t>
      </w:r>
    </w:p>
    <w:p w14:paraId="2EFCF85D">
      <w:pPr>
        <w:numPr>
          <w:ilvl w:val="1"/>
          <w:numId w:val="0"/>
        </w:numPr>
        <w:snapToGrid w:val="0"/>
        <w:spacing w:line="360" w:lineRule="auto"/>
        <w:ind w:left="987" w:hanging="567"/>
        <w:jc w:val="left"/>
        <w:rPr>
          <w:rFonts w:ascii="仿宋" w:hAnsi="仿宋" w:eastAsia="仿宋" w:cs="仿宋"/>
          <w:sz w:val="24"/>
        </w:rPr>
      </w:pPr>
      <w:r>
        <w:rPr>
          <w:rFonts w:hint="eastAsia" w:ascii="仿宋" w:hAnsi="仿宋" w:eastAsia="仿宋" w:cs="仿宋"/>
          <w:sz w:val="24"/>
        </w:rPr>
        <w:t>4.1本合同违约责任严格按照《中华人民共和国民法典》相关条款执行。</w:t>
      </w:r>
    </w:p>
    <w:p w14:paraId="22C80E16">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4.2供应商未按合同约定提供服务，或服务质量、响应时效、技术能力不满足合同要求，采购人有权按《服务质量评价标准》扣除对应款项，并要求供应商限期整改；整改后仍无法满足合同要求的，采购人有权扣除对应合同款项，直至单方面解除合同，供应商须承担采购人因此遭受的全部损失。</w:t>
      </w:r>
    </w:p>
    <w:p w14:paraId="2244ABB0">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4.3供应商未按故障SLA要求完成响应与故障处置的，每出现一次一级故障超时，扣除合同总价款的5%；每出现一次二级故障超时，扣除合同总价款的2%；三级、四级故障超时，按评价标准扣除对应分值，并累计扣除合同款项。因供应商故障处置不及时导致医院业务中断、产生医疗纠纷或监管处罚的，全部责任与经济损失由供应商承担。</w:t>
      </w:r>
    </w:p>
    <w:p w14:paraId="12ADB63B">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4.4供应商违反数据安全与保密约定，发生数据泄露、篡改、丢失等事件，或擅自使用、转让采购人数据的，采购人有权立即解除合同，不予支付剩余全部合同款项，供应商须支付合同总价款30%的违约金，同时承担全部法律责任，赔偿采购人因此遭受的全部经济损失（含监管处罚、民事赔偿、商誉损失等）。</w:t>
      </w:r>
    </w:p>
    <w:p w14:paraId="01C2AEA4">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4.5供应商未经采购人同意，擅自更换项目核心人员、转包/分包本项目服务的，采购人有权扣除合同总价款的10%作为违约金，情节严重的，有权解除合同。</w:t>
      </w:r>
    </w:p>
    <w:p w14:paraId="0CB48D6B">
      <w:pPr>
        <w:snapToGrid w:val="0"/>
        <w:spacing w:line="360" w:lineRule="auto"/>
        <w:jc w:val="left"/>
        <w:rPr>
          <w:rFonts w:ascii="仿宋" w:hAnsi="仿宋" w:eastAsia="仿宋" w:cs="仿宋"/>
          <w:sz w:val="24"/>
        </w:rPr>
      </w:pPr>
      <w:bookmarkStart w:id="46" w:name="heading_18"/>
      <w:r>
        <w:rPr>
          <w:rFonts w:hint="eastAsia" w:ascii="仿宋" w:hAnsi="仿宋" w:eastAsia="仿宋" w:cs="仿宋"/>
          <w:b/>
          <w:sz w:val="24"/>
        </w:rPr>
        <w:t>8. 其他约定</w:t>
      </w:r>
      <w:bookmarkEnd w:id="46"/>
    </w:p>
    <w:p w14:paraId="339BEB6D">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5</w:t>
      </w:r>
    </w:p>
    <w:p w14:paraId="4F8BC644">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5.1本项目技术要求与商务要求为合同核心条款，不允许任何负偏离，供应商响应文件须对所有条款作出完全响应承诺，负偏离响应将按无效响应处理。</w:t>
      </w:r>
    </w:p>
    <w:p w14:paraId="7E2493FF">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5.2服务期内，如遇国家政策法规、行业标准发生重大调整，采购人有权对服务内容与要求进行合规性调整，供应商须无条件配合，不得额外收取费用。</w:t>
      </w:r>
    </w:p>
    <w:p w14:paraId="14102794">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5.3本文件未尽事宜，由双方在合同中另行约定，约定内容不得违反本文件的核心要求与国家相关法律法规。</w:t>
      </w:r>
    </w:p>
    <w:p w14:paraId="719E82C0">
      <w:pPr>
        <w:spacing w:line="360" w:lineRule="auto"/>
        <w:rPr>
          <w:rFonts w:ascii="仿宋" w:hAnsi="仿宋" w:eastAsia="仿宋" w:cs="仿宋"/>
          <w:sz w:val="24"/>
        </w:rPr>
      </w:pPr>
    </w:p>
    <w:p w14:paraId="6AAA8E7C">
      <w:pPr>
        <w:spacing w:line="360" w:lineRule="auto"/>
        <w:rPr>
          <w:rFonts w:ascii="仿宋" w:hAnsi="仿宋" w:eastAsia="仿宋" w:cs="仿宋"/>
          <w:sz w:val="24"/>
        </w:rPr>
      </w:pPr>
    </w:p>
    <w:p w14:paraId="07C729C2">
      <w:pPr>
        <w:rPr>
          <w:rFonts w:ascii="仿宋" w:hAnsi="仿宋" w:eastAsia="仿宋" w:cs="仿宋"/>
          <w:sz w:val="24"/>
        </w:rPr>
      </w:pPr>
      <w:r>
        <w:rPr>
          <w:rFonts w:hint="eastAsia" w:ascii="仿宋" w:hAnsi="仿宋" w:eastAsia="仿宋" w:cs="仿宋"/>
          <w:sz w:val="24"/>
        </w:rPr>
        <w:br w:type="page"/>
      </w:r>
    </w:p>
    <w:p w14:paraId="02641BF9">
      <w:pPr>
        <w:pStyle w:val="3"/>
        <w:spacing w:line="360" w:lineRule="auto"/>
        <w:jc w:val="both"/>
        <w:rPr>
          <w:rFonts w:ascii="仿宋" w:hAnsi="仿宋" w:eastAsia="仿宋" w:cs="仿宋"/>
          <w:b/>
          <w:bCs/>
          <w:sz w:val="24"/>
          <w:szCs w:val="24"/>
          <w:lang w:eastAsia="zh-CN"/>
        </w:rPr>
      </w:pPr>
      <w:bookmarkStart w:id="47" w:name="_Toc21418"/>
      <w:r>
        <w:rPr>
          <w:rFonts w:hint="eastAsia" w:ascii="仿宋" w:hAnsi="仿宋" w:eastAsia="仿宋" w:cs="仿宋"/>
          <w:b/>
          <w:bCs/>
          <w:sz w:val="24"/>
          <w:szCs w:val="24"/>
          <w:lang w:eastAsia="zh-CN"/>
        </w:rPr>
        <w:t>合同包3-采购需求（电子票据管理系统售后服务）</w:t>
      </w:r>
    </w:p>
    <w:p w14:paraId="7ED916E9">
      <w:pPr>
        <w:snapToGrid w:val="0"/>
        <w:spacing w:line="360" w:lineRule="auto"/>
        <w:jc w:val="left"/>
        <w:rPr>
          <w:rFonts w:ascii="仿宋" w:hAnsi="仿宋" w:eastAsia="仿宋" w:cs="仿宋"/>
          <w:sz w:val="24"/>
        </w:rPr>
      </w:pPr>
      <w:r>
        <w:rPr>
          <w:rFonts w:hint="eastAsia" w:ascii="仿宋" w:hAnsi="仿宋" w:eastAsia="仿宋" w:cs="仿宋"/>
          <w:b/>
          <w:sz w:val="24"/>
        </w:rPr>
        <w:t>一、项目概述</w:t>
      </w:r>
    </w:p>
    <w:p w14:paraId="15C24D6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采购人自2021年6月验收并正式使用电子票据管理系统，该系统承担全院医疗收费电子票据的开具、流转、核销、归档、查询及对接财政、医保等相关部门的核心职能，为保障采购人信息系统正常运行，维护正常的医疗收费秩序，确保电子票据合规有效、数据准确可追溯，保障患者合法权益及医院财务规范管理，现委托具备对应系统原厂维护授权、专业信息系统运维服务能力的供应商，为采购人提供上述系统的全流程售后运维与技术支持服务，进一步加强医院信息系统维护管理与技术支持，完善医院信息系统运维管理体系，提升系统安全保障与服务支撑能力。</w:t>
      </w:r>
    </w:p>
    <w:p w14:paraId="200D21E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项目服务商须为系统原软件厂商，或取得原厂商针对本项目出具的唯一专项授权文件，具备系统源代码级维护、原厂补丁更新、合规性升级的完整技术能力，确保服务的合法性、连续性与技术匹配性，同时须具备对接财政部门电子票据相关系统的技术能力，保障票据流转全流程合规。</w:t>
      </w:r>
    </w:p>
    <w:p w14:paraId="6267E083">
      <w:pPr>
        <w:snapToGrid w:val="0"/>
        <w:spacing w:line="360" w:lineRule="auto"/>
        <w:jc w:val="left"/>
        <w:rPr>
          <w:rFonts w:ascii="仿宋" w:hAnsi="仿宋" w:eastAsia="仿宋" w:cs="仿宋"/>
          <w:sz w:val="24"/>
        </w:rPr>
      </w:pPr>
      <w:r>
        <w:rPr>
          <w:rFonts w:hint="eastAsia" w:ascii="仿宋" w:hAnsi="仿宋" w:eastAsia="仿宋" w:cs="仿宋"/>
          <w:b/>
          <w:sz w:val="24"/>
        </w:rPr>
        <w:t>二、技术要求</w:t>
      </w:r>
    </w:p>
    <w:p w14:paraId="2688551F">
      <w:pPr>
        <w:snapToGrid w:val="0"/>
        <w:spacing w:line="360" w:lineRule="auto"/>
        <w:jc w:val="left"/>
        <w:rPr>
          <w:rFonts w:ascii="仿宋" w:hAnsi="仿宋" w:eastAsia="仿宋" w:cs="仿宋"/>
          <w:sz w:val="24"/>
        </w:rPr>
      </w:pPr>
      <w:r>
        <w:rPr>
          <w:rFonts w:hint="eastAsia" w:ascii="仿宋" w:hAnsi="仿宋" w:eastAsia="仿宋" w:cs="仿宋"/>
          <w:b/>
          <w:sz w:val="24"/>
        </w:rPr>
        <w:t>1. 名词解释</w:t>
      </w:r>
    </w:p>
    <w:p w14:paraId="47BB859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本文件所涉及名词定义严格遵循国家信息技术服务标准（ITSS）、医疗信息化行业规范、律法规，具体如下：</w:t>
      </w:r>
    </w:p>
    <w:p w14:paraId="2238537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 维护：指服务供应商为采购人提供许可软件的全生命周期技术支撑，包括但不限于故障排查与修复、技术指导、运行优化、合规适配、安全加固等服务工作的总称。</w:t>
      </w:r>
    </w:p>
    <w:p w14:paraId="5A93C36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1.2 现场：指采购人许可系统部署、使用的全部场所，含医院本部院区、各分院区、社区服务点、收费窗口等所有系统终端部署点位。</w:t>
      </w:r>
    </w:p>
    <w:p w14:paraId="216D306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1.3 现场维护：指服务供应商针对采购人提出的技术服务请求，派遣具备对应资质的技术人员到采购人指定现场，完成问题处置、技术服务的全过程。</w:t>
      </w:r>
    </w:p>
    <w:p w14:paraId="43588A8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1.4 远程维护：指服务供应商针对采购人提出的技术服务请求，通过加密专线、安全远程接入方式，向采购人提供问题解答、技术指导、远程故障排查与修复的服务过程，远程操作须全程留痕、符合医院网络安全管理规定及财政部门数据安全要求。</w:t>
      </w:r>
    </w:p>
    <w:p w14:paraId="590EAF5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1.5 软件更新：指为保障系统合规性、安全性、功能性，对许可软件进行的安全补丁更新、故障优化、版本迭代、政策适配性升级（含财政政策调整适配）、功能完善的全过程，不限于仅故障场景。</w:t>
      </w:r>
    </w:p>
    <w:p w14:paraId="4B2D688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1.6 技术支持：指服务供应商为保障许可软件和系统持续稳定运行，在服务期内通过电话、互联网、现场服务等方式，向采购人提供的7×24小时技术援助、操作指导与问题处置服务。</w:t>
      </w:r>
    </w:p>
    <w:p w14:paraId="15E2137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1.7 热线支持：指服务供应商客户服务中心通过专属服务热线，7×24小时向采购人提供技术问题解答、服务请求受理、故障派单的服务过程。</w:t>
      </w:r>
    </w:p>
    <w:p w14:paraId="73CF077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1.8 在线技术支持：指服务供应商客户服务中心通过安全在线支持系统，接收、解答采购人问题，发布相关技术解决方案、操作指引的服务过程。</w:t>
      </w:r>
    </w:p>
    <w:p w14:paraId="7F66B5C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1.9 响应时间：指服务供应商接到采购人正式服务请求后，到与采购人完成沟通、明确故障情况、出具服务承诺与初步处置方案的时间。</w:t>
      </w:r>
    </w:p>
    <w:p w14:paraId="60EAF63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1.10 解决时间：指服务供应商从接到服务请求起，到系统故障完全修复、业务恢复正常运行、问题闭环处置的时间。</w:t>
      </w:r>
    </w:p>
    <w:p w14:paraId="6E619E3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1.11 数据安全事件：指系统运行过程中发生的，可能或已经导致医疗收费数据、电子票据数据、患者个人信息对接数据泄露、损毁、篡改、丢失，以及系统被非法入侵、攻击等影响数据安全的事件。</w:t>
      </w:r>
    </w:p>
    <w:p w14:paraId="5095495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1.12 等保合规：指系统运行与运维服务须符合国家网络安全等级保护2.0标准对应级别的全部要求，同时符合财政部门关于电子票据数据安全的相关规定。</w:t>
      </w:r>
    </w:p>
    <w:p w14:paraId="7099355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1.13 电子票据流转：指电子票据从开具、推送、核销、归档到查询、验证的全流程，涵盖医院内部流转及与财政、患者端的对接流转。</w:t>
      </w:r>
    </w:p>
    <w:p w14:paraId="10D35363">
      <w:pPr>
        <w:snapToGrid w:val="0"/>
        <w:spacing w:line="360" w:lineRule="auto"/>
        <w:jc w:val="left"/>
        <w:rPr>
          <w:rFonts w:ascii="仿宋" w:hAnsi="仿宋" w:eastAsia="仿宋" w:cs="仿宋"/>
          <w:sz w:val="24"/>
        </w:rPr>
      </w:pPr>
      <w:r>
        <w:rPr>
          <w:rFonts w:hint="eastAsia" w:ascii="仿宋" w:hAnsi="仿宋" w:eastAsia="仿宋" w:cs="仿宋"/>
          <w:b/>
          <w:sz w:val="24"/>
        </w:rPr>
        <w:t>2. 运维服务系统范围</w:t>
      </w:r>
    </w:p>
    <w:p w14:paraId="6198372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采购人委托供应商提供售后运维服务的信息系统，包含但不限于下表所列全部模块、子系统及配套硬件设备，同时覆盖系统与院内HIS、EMR、财务系统、医保结算系统、财政电子票据对接平台的接口运维服务，确保系统互联互通、票据流转全流程合规。</w:t>
      </w: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231"/>
        <w:gridCol w:w="5909"/>
      </w:tblGrid>
      <w:tr w14:paraId="50842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67" w:type="pct"/>
            <w:tcMar>
              <w:top w:w="60" w:type="dxa"/>
              <w:left w:w="120" w:type="dxa"/>
              <w:bottom w:w="30" w:type="dxa"/>
              <w:right w:w="120" w:type="dxa"/>
            </w:tcMar>
            <w:vAlign w:val="center"/>
          </w:tcPr>
          <w:p w14:paraId="4BD8DDF8">
            <w:pPr>
              <w:snapToGrid w:val="0"/>
              <w:spacing w:line="360" w:lineRule="auto"/>
              <w:jc w:val="center"/>
              <w:rPr>
                <w:rFonts w:ascii="仿宋" w:hAnsi="仿宋" w:eastAsia="仿宋" w:cs="仿宋"/>
                <w:b/>
                <w:sz w:val="24"/>
              </w:rPr>
            </w:pPr>
            <w:r>
              <w:rPr>
                <w:rFonts w:hint="eastAsia" w:ascii="仿宋" w:hAnsi="仿宋" w:eastAsia="仿宋" w:cs="仿宋"/>
                <w:b/>
                <w:sz w:val="24"/>
              </w:rPr>
              <w:t>信息系统名称</w:t>
            </w:r>
          </w:p>
        </w:tc>
        <w:tc>
          <w:tcPr>
            <w:tcW w:w="3232" w:type="pct"/>
            <w:tcMar>
              <w:top w:w="60" w:type="dxa"/>
              <w:left w:w="120" w:type="dxa"/>
              <w:bottom w:w="30" w:type="dxa"/>
              <w:right w:w="120" w:type="dxa"/>
            </w:tcMar>
            <w:vAlign w:val="center"/>
          </w:tcPr>
          <w:p w14:paraId="73AE45E5">
            <w:pPr>
              <w:snapToGrid w:val="0"/>
              <w:spacing w:line="360" w:lineRule="auto"/>
              <w:jc w:val="center"/>
              <w:rPr>
                <w:rFonts w:ascii="仿宋" w:hAnsi="仿宋" w:eastAsia="仿宋" w:cs="仿宋"/>
                <w:b/>
                <w:sz w:val="24"/>
              </w:rPr>
            </w:pPr>
            <w:r>
              <w:rPr>
                <w:rFonts w:hint="eastAsia" w:ascii="仿宋" w:hAnsi="仿宋" w:eastAsia="仿宋" w:cs="仿宋"/>
                <w:b/>
                <w:sz w:val="24"/>
              </w:rPr>
              <w:t>子系统名称/核心模块</w:t>
            </w:r>
          </w:p>
        </w:tc>
      </w:tr>
      <w:tr w14:paraId="238A4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767" w:type="pct"/>
            <w:vMerge w:val="restart"/>
            <w:tcMar>
              <w:top w:w="60" w:type="dxa"/>
              <w:left w:w="120" w:type="dxa"/>
              <w:bottom w:w="30" w:type="dxa"/>
              <w:right w:w="120" w:type="dxa"/>
            </w:tcMar>
            <w:vAlign w:val="center"/>
          </w:tcPr>
          <w:p w14:paraId="6EA79AC9">
            <w:pPr>
              <w:snapToGrid w:val="0"/>
              <w:spacing w:line="360" w:lineRule="auto"/>
              <w:jc w:val="center"/>
              <w:rPr>
                <w:rFonts w:ascii="仿宋" w:hAnsi="仿宋" w:eastAsia="仿宋" w:cs="仿宋"/>
                <w:sz w:val="24"/>
              </w:rPr>
            </w:pPr>
            <w:r>
              <w:rPr>
                <w:rFonts w:hint="eastAsia" w:ascii="仿宋" w:hAnsi="仿宋" w:eastAsia="仿宋" w:cs="仿宋"/>
                <w:sz w:val="24"/>
              </w:rPr>
              <w:t>电子票据管理系统</w:t>
            </w:r>
          </w:p>
        </w:tc>
        <w:tc>
          <w:tcPr>
            <w:tcW w:w="3232" w:type="pct"/>
            <w:tcMar>
              <w:top w:w="60" w:type="dxa"/>
              <w:left w:w="120" w:type="dxa"/>
              <w:bottom w:w="30" w:type="dxa"/>
              <w:right w:w="120" w:type="dxa"/>
            </w:tcMar>
            <w:vAlign w:val="center"/>
          </w:tcPr>
          <w:p w14:paraId="43CB579D">
            <w:pPr>
              <w:snapToGrid w:val="0"/>
              <w:spacing w:line="360" w:lineRule="auto"/>
              <w:rPr>
                <w:rFonts w:ascii="仿宋" w:hAnsi="仿宋" w:eastAsia="仿宋" w:cs="仿宋"/>
                <w:sz w:val="24"/>
              </w:rPr>
            </w:pPr>
            <w:r>
              <w:rPr>
                <w:rFonts w:hint="eastAsia" w:ascii="仿宋" w:hAnsi="仿宋" w:eastAsia="仿宋" w:cs="仿宋"/>
                <w:sz w:val="24"/>
              </w:rPr>
              <w:t>电子票据开具模块</w:t>
            </w:r>
          </w:p>
        </w:tc>
      </w:tr>
      <w:tr w14:paraId="58C2F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767" w:type="pct"/>
            <w:vMerge w:val="continue"/>
            <w:tcMar>
              <w:top w:w="60" w:type="dxa"/>
              <w:left w:w="120" w:type="dxa"/>
              <w:bottom w:w="30" w:type="dxa"/>
              <w:right w:w="120" w:type="dxa"/>
            </w:tcMar>
            <w:vAlign w:val="center"/>
          </w:tcPr>
          <w:p w14:paraId="2A7F108A">
            <w:pPr>
              <w:snapToGrid w:val="0"/>
              <w:spacing w:line="360" w:lineRule="auto"/>
              <w:jc w:val="center"/>
              <w:rPr>
                <w:rFonts w:ascii="仿宋" w:hAnsi="仿宋" w:eastAsia="仿宋" w:cs="仿宋"/>
                <w:sz w:val="24"/>
              </w:rPr>
            </w:pPr>
          </w:p>
        </w:tc>
        <w:tc>
          <w:tcPr>
            <w:tcW w:w="3232" w:type="pct"/>
            <w:tcMar>
              <w:top w:w="60" w:type="dxa"/>
              <w:left w:w="120" w:type="dxa"/>
              <w:bottom w:w="30" w:type="dxa"/>
              <w:right w:w="120" w:type="dxa"/>
            </w:tcMar>
            <w:vAlign w:val="center"/>
          </w:tcPr>
          <w:p w14:paraId="5F6AA2EF">
            <w:pPr>
              <w:snapToGrid w:val="0"/>
              <w:spacing w:line="360" w:lineRule="auto"/>
              <w:rPr>
                <w:rFonts w:ascii="仿宋" w:hAnsi="仿宋" w:eastAsia="仿宋" w:cs="仿宋"/>
                <w:sz w:val="24"/>
              </w:rPr>
            </w:pPr>
            <w:r>
              <w:rPr>
                <w:rFonts w:hint="eastAsia" w:ascii="仿宋" w:hAnsi="仿宋" w:eastAsia="仿宋" w:cs="仿宋"/>
                <w:sz w:val="24"/>
              </w:rPr>
              <w:t>电子票据推送模块</w:t>
            </w:r>
          </w:p>
        </w:tc>
      </w:tr>
      <w:tr w14:paraId="0B887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767" w:type="pct"/>
            <w:vMerge w:val="continue"/>
            <w:tcMar>
              <w:top w:w="60" w:type="dxa"/>
              <w:left w:w="120" w:type="dxa"/>
              <w:bottom w:w="30" w:type="dxa"/>
              <w:right w:w="120" w:type="dxa"/>
            </w:tcMar>
            <w:vAlign w:val="center"/>
          </w:tcPr>
          <w:p w14:paraId="7F16FF0E">
            <w:pPr>
              <w:snapToGrid w:val="0"/>
              <w:spacing w:line="360" w:lineRule="auto"/>
              <w:jc w:val="center"/>
              <w:rPr>
                <w:rFonts w:ascii="仿宋" w:hAnsi="仿宋" w:eastAsia="仿宋" w:cs="仿宋"/>
                <w:sz w:val="24"/>
              </w:rPr>
            </w:pPr>
          </w:p>
        </w:tc>
        <w:tc>
          <w:tcPr>
            <w:tcW w:w="3232" w:type="pct"/>
            <w:tcMar>
              <w:top w:w="60" w:type="dxa"/>
              <w:left w:w="120" w:type="dxa"/>
              <w:bottom w:w="30" w:type="dxa"/>
              <w:right w:w="120" w:type="dxa"/>
            </w:tcMar>
            <w:vAlign w:val="center"/>
          </w:tcPr>
          <w:p w14:paraId="675329F9">
            <w:pPr>
              <w:snapToGrid w:val="0"/>
              <w:spacing w:line="360" w:lineRule="auto"/>
              <w:rPr>
                <w:rFonts w:ascii="仿宋" w:hAnsi="仿宋" w:eastAsia="仿宋" w:cs="仿宋"/>
                <w:sz w:val="24"/>
              </w:rPr>
            </w:pPr>
            <w:r>
              <w:rPr>
                <w:rFonts w:hint="eastAsia" w:ascii="仿宋" w:hAnsi="仿宋" w:eastAsia="仿宋" w:cs="仿宋"/>
                <w:sz w:val="24"/>
              </w:rPr>
              <w:t>电子票据核销与作废模块</w:t>
            </w:r>
          </w:p>
        </w:tc>
      </w:tr>
      <w:tr w14:paraId="2AFC9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767" w:type="pct"/>
            <w:vMerge w:val="continue"/>
            <w:tcMar>
              <w:top w:w="60" w:type="dxa"/>
              <w:left w:w="120" w:type="dxa"/>
              <w:bottom w:w="30" w:type="dxa"/>
              <w:right w:w="120" w:type="dxa"/>
            </w:tcMar>
            <w:vAlign w:val="center"/>
          </w:tcPr>
          <w:p w14:paraId="30B9B63F">
            <w:pPr>
              <w:snapToGrid w:val="0"/>
              <w:spacing w:line="360" w:lineRule="auto"/>
              <w:jc w:val="center"/>
              <w:rPr>
                <w:rFonts w:ascii="仿宋" w:hAnsi="仿宋" w:eastAsia="仿宋" w:cs="仿宋"/>
                <w:sz w:val="24"/>
              </w:rPr>
            </w:pPr>
          </w:p>
        </w:tc>
        <w:tc>
          <w:tcPr>
            <w:tcW w:w="3232" w:type="pct"/>
            <w:tcMar>
              <w:top w:w="60" w:type="dxa"/>
              <w:left w:w="120" w:type="dxa"/>
              <w:bottom w:w="30" w:type="dxa"/>
              <w:right w:w="120" w:type="dxa"/>
            </w:tcMar>
            <w:vAlign w:val="center"/>
          </w:tcPr>
          <w:p w14:paraId="5038CB2F">
            <w:pPr>
              <w:snapToGrid w:val="0"/>
              <w:spacing w:line="360" w:lineRule="auto"/>
              <w:rPr>
                <w:rFonts w:ascii="仿宋" w:hAnsi="仿宋" w:eastAsia="仿宋" w:cs="仿宋"/>
                <w:sz w:val="24"/>
              </w:rPr>
            </w:pPr>
            <w:r>
              <w:rPr>
                <w:rFonts w:hint="eastAsia" w:ascii="仿宋" w:hAnsi="仿宋" w:eastAsia="仿宋" w:cs="仿宋"/>
                <w:sz w:val="24"/>
              </w:rPr>
              <w:t>电子票据归档与存储模块</w:t>
            </w:r>
          </w:p>
        </w:tc>
      </w:tr>
      <w:tr w14:paraId="71C69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767" w:type="pct"/>
            <w:vMerge w:val="continue"/>
            <w:tcMar>
              <w:top w:w="60" w:type="dxa"/>
              <w:left w:w="120" w:type="dxa"/>
              <w:bottom w:w="30" w:type="dxa"/>
              <w:right w:w="120" w:type="dxa"/>
            </w:tcMar>
            <w:vAlign w:val="center"/>
          </w:tcPr>
          <w:p w14:paraId="3E5BA769">
            <w:pPr>
              <w:snapToGrid w:val="0"/>
              <w:spacing w:line="360" w:lineRule="auto"/>
              <w:jc w:val="center"/>
              <w:rPr>
                <w:rFonts w:ascii="仿宋" w:hAnsi="仿宋" w:eastAsia="仿宋" w:cs="仿宋"/>
                <w:sz w:val="24"/>
              </w:rPr>
            </w:pPr>
          </w:p>
        </w:tc>
        <w:tc>
          <w:tcPr>
            <w:tcW w:w="3232" w:type="pct"/>
            <w:tcMar>
              <w:top w:w="60" w:type="dxa"/>
              <w:left w:w="120" w:type="dxa"/>
              <w:bottom w:w="30" w:type="dxa"/>
              <w:right w:w="120" w:type="dxa"/>
            </w:tcMar>
            <w:vAlign w:val="center"/>
          </w:tcPr>
          <w:p w14:paraId="155BB5A3">
            <w:pPr>
              <w:snapToGrid w:val="0"/>
              <w:spacing w:line="360" w:lineRule="auto"/>
              <w:rPr>
                <w:rFonts w:ascii="仿宋" w:hAnsi="仿宋" w:eastAsia="仿宋" w:cs="仿宋"/>
                <w:sz w:val="24"/>
              </w:rPr>
            </w:pPr>
            <w:r>
              <w:rPr>
                <w:rFonts w:hint="eastAsia" w:ascii="仿宋" w:hAnsi="仿宋" w:eastAsia="仿宋" w:cs="仿宋"/>
                <w:sz w:val="24"/>
              </w:rPr>
              <w:t>票据查询与验证模块</w:t>
            </w:r>
          </w:p>
        </w:tc>
      </w:tr>
      <w:tr w14:paraId="7EE18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767" w:type="pct"/>
            <w:vMerge w:val="continue"/>
            <w:tcMar>
              <w:top w:w="60" w:type="dxa"/>
              <w:left w:w="120" w:type="dxa"/>
              <w:bottom w:w="30" w:type="dxa"/>
              <w:right w:w="120" w:type="dxa"/>
            </w:tcMar>
            <w:vAlign w:val="center"/>
          </w:tcPr>
          <w:p w14:paraId="5D54A63D">
            <w:pPr>
              <w:snapToGrid w:val="0"/>
              <w:spacing w:line="360" w:lineRule="auto"/>
              <w:jc w:val="center"/>
              <w:rPr>
                <w:rFonts w:ascii="仿宋" w:hAnsi="仿宋" w:eastAsia="仿宋" w:cs="仿宋"/>
                <w:sz w:val="24"/>
              </w:rPr>
            </w:pPr>
          </w:p>
        </w:tc>
        <w:tc>
          <w:tcPr>
            <w:tcW w:w="3232" w:type="pct"/>
            <w:tcMar>
              <w:top w:w="60" w:type="dxa"/>
              <w:left w:w="120" w:type="dxa"/>
              <w:bottom w:w="30" w:type="dxa"/>
              <w:right w:w="120" w:type="dxa"/>
            </w:tcMar>
            <w:vAlign w:val="center"/>
          </w:tcPr>
          <w:p w14:paraId="3DB0A1A8">
            <w:pPr>
              <w:snapToGrid w:val="0"/>
              <w:spacing w:line="360" w:lineRule="auto"/>
              <w:rPr>
                <w:rFonts w:ascii="仿宋" w:hAnsi="仿宋" w:eastAsia="仿宋" w:cs="仿宋"/>
                <w:sz w:val="24"/>
              </w:rPr>
            </w:pPr>
            <w:r>
              <w:rPr>
                <w:rFonts w:hint="eastAsia" w:ascii="仿宋" w:hAnsi="仿宋" w:eastAsia="仿宋" w:cs="仿宋"/>
                <w:sz w:val="24"/>
              </w:rPr>
              <w:t>票据统计与报表模块</w:t>
            </w:r>
          </w:p>
        </w:tc>
      </w:tr>
      <w:tr w14:paraId="026B6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767" w:type="pct"/>
            <w:vMerge w:val="continue"/>
            <w:tcMar>
              <w:top w:w="60" w:type="dxa"/>
              <w:left w:w="120" w:type="dxa"/>
              <w:bottom w:w="30" w:type="dxa"/>
              <w:right w:w="120" w:type="dxa"/>
            </w:tcMar>
            <w:vAlign w:val="center"/>
          </w:tcPr>
          <w:p w14:paraId="0882D7F0">
            <w:pPr>
              <w:snapToGrid w:val="0"/>
              <w:spacing w:line="360" w:lineRule="auto"/>
              <w:jc w:val="center"/>
              <w:rPr>
                <w:rFonts w:ascii="仿宋" w:hAnsi="仿宋" w:eastAsia="仿宋" w:cs="仿宋"/>
                <w:sz w:val="24"/>
              </w:rPr>
            </w:pPr>
          </w:p>
        </w:tc>
        <w:tc>
          <w:tcPr>
            <w:tcW w:w="3232" w:type="pct"/>
            <w:tcMar>
              <w:top w:w="60" w:type="dxa"/>
              <w:left w:w="120" w:type="dxa"/>
              <w:bottom w:w="30" w:type="dxa"/>
              <w:right w:w="120" w:type="dxa"/>
            </w:tcMar>
            <w:vAlign w:val="center"/>
          </w:tcPr>
          <w:p w14:paraId="589AF190">
            <w:pPr>
              <w:snapToGrid w:val="0"/>
              <w:spacing w:line="360" w:lineRule="auto"/>
              <w:rPr>
                <w:rFonts w:ascii="仿宋" w:hAnsi="仿宋" w:eastAsia="仿宋" w:cs="仿宋"/>
                <w:sz w:val="24"/>
              </w:rPr>
            </w:pPr>
            <w:r>
              <w:rPr>
                <w:rFonts w:hint="eastAsia" w:ascii="仿宋" w:hAnsi="仿宋" w:eastAsia="仿宋" w:cs="仿宋"/>
                <w:sz w:val="24"/>
              </w:rPr>
              <w:t>系统管理模块</w:t>
            </w:r>
          </w:p>
        </w:tc>
      </w:tr>
      <w:tr w14:paraId="0DF41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767" w:type="pct"/>
            <w:vMerge w:val="continue"/>
            <w:tcMar>
              <w:top w:w="60" w:type="dxa"/>
              <w:left w:w="120" w:type="dxa"/>
              <w:bottom w:w="30" w:type="dxa"/>
              <w:right w:w="120" w:type="dxa"/>
            </w:tcMar>
            <w:vAlign w:val="center"/>
          </w:tcPr>
          <w:p w14:paraId="3936CE9A">
            <w:pPr>
              <w:snapToGrid w:val="0"/>
              <w:spacing w:line="360" w:lineRule="auto"/>
              <w:jc w:val="center"/>
              <w:rPr>
                <w:rFonts w:ascii="仿宋" w:hAnsi="仿宋" w:eastAsia="仿宋" w:cs="仿宋"/>
                <w:sz w:val="24"/>
              </w:rPr>
            </w:pPr>
          </w:p>
        </w:tc>
        <w:tc>
          <w:tcPr>
            <w:tcW w:w="3232" w:type="pct"/>
            <w:tcMar>
              <w:top w:w="60" w:type="dxa"/>
              <w:left w:w="120" w:type="dxa"/>
              <w:bottom w:w="30" w:type="dxa"/>
              <w:right w:w="120" w:type="dxa"/>
            </w:tcMar>
            <w:vAlign w:val="center"/>
          </w:tcPr>
          <w:p w14:paraId="60E1ABB1">
            <w:pPr>
              <w:snapToGrid w:val="0"/>
              <w:spacing w:line="360" w:lineRule="auto"/>
              <w:rPr>
                <w:rFonts w:ascii="仿宋" w:hAnsi="仿宋" w:eastAsia="仿宋" w:cs="仿宋"/>
                <w:sz w:val="24"/>
              </w:rPr>
            </w:pPr>
            <w:r>
              <w:rPr>
                <w:rFonts w:hint="eastAsia" w:ascii="仿宋" w:hAnsi="仿宋" w:eastAsia="仿宋" w:cs="仿宋"/>
                <w:sz w:val="24"/>
              </w:rPr>
              <w:t>异常票据处理模块</w:t>
            </w:r>
          </w:p>
        </w:tc>
      </w:tr>
      <w:tr w14:paraId="23063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767" w:type="pct"/>
            <w:tcMar>
              <w:top w:w="60" w:type="dxa"/>
              <w:left w:w="120" w:type="dxa"/>
              <w:bottom w:w="30" w:type="dxa"/>
              <w:right w:w="120" w:type="dxa"/>
            </w:tcMar>
            <w:vAlign w:val="center"/>
          </w:tcPr>
          <w:p w14:paraId="559031AD">
            <w:pPr>
              <w:snapToGrid w:val="0"/>
              <w:spacing w:line="360" w:lineRule="auto"/>
              <w:jc w:val="center"/>
              <w:rPr>
                <w:rFonts w:ascii="仿宋" w:hAnsi="仿宋" w:eastAsia="仿宋" w:cs="仿宋"/>
                <w:sz w:val="24"/>
              </w:rPr>
            </w:pPr>
            <w:r>
              <w:rPr>
                <w:rFonts w:hint="eastAsia" w:ascii="仿宋" w:hAnsi="仿宋" w:eastAsia="仿宋" w:cs="仿宋"/>
                <w:sz w:val="24"/>
              </w:rPr>
              <w:t>外部接口系统</w:t>
            </w:r>
          </w:p>
        </w:tc>
        <w:tc>
          <w:tcPr>
            <w:tcW w:w="3232" w:type="pct"/>
            <w:tcMar>
              <w:top w:w="60" w:type="dxa"/>
              <w:left w:w="120" w:type="dxa"/>
              <w:bottom w:w="30" w:type="dxa"/>
              <w:right w:w="120" w:type="dxa"/>
            </w:tcMar>
            <w:vAlign w:val="center"/>
          </w:tcPr>
          <w:p w14:paraId="52F4965A">
            <w:pPr>
              <w:snapToGrid w:val="0"/>
              <w:spacing w:line="360" w:lineRule="auto"/>
              <w:rPr>
                <w:rFonts w:ascii="仿宋" w:hAnsi="仿宋" w:eastAsia="仿宋" w:cs="仿宋"/>
                <w:sz w:val="24"/>
              </w:rPr>
            </w:pPr>
            <w:r>
              <w:rPr>
                <w:rFonts w:hint="eastAsia" w:ascii="仿宋" w:hAnsi="仿宋" w:eastAsia="仿宋" w:cs="仿宋"/>
                <w:sz w:val="24"/>
              </w:rPr>
              <w:t>HIS系统接口</w:t>
            </w:r>
          </w:p>
        </w:tc>
      </w:tr>
    </w:tbl>
    <w:p w14:paraId="03A265AD">
      <w:pPr>
        <w:snapToGrid w:val="0"/>
        <w:spacing w:line="360" w:lineRule="auto"/>
        <w:jc w:val="left"/>
        <w:rPr>
          <w:rFonts w:ascii="仿宋" w:hAnsi="仿宋" w:eastAsia="仿宋" w:cs="仿宋"/>
          <w:sz w:val="24"/>
        </w:rPr>
      </w:pPr>
      <w:r>
        <w:rPr>
          <w:rFonts w:hint="eastAsia" w:ascii="仿宋" w:hAnsi="仿宋" w:eastAsia="仿宋" w:cs="仿宋"/>
          <w:b/>
          <w:sz w:val="24"/>
        </w:rPr>
        <w:t>3. 故障分级标准及服务级别协议（SLA）要求</w:t>
      </w:r>
    </w:p>
    <w:p w14:paraId="24DA404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结合医疗行业业务连续性要求、《医疗卫生机构网络安全管理办法》事件分级标准、财政部门电子票据管理相关要求，制定四级故障分级与刚性SLA要求，服务商须提供7×24小时全时段服务，工作日、节假日、夜间执行统一响应与处置标准，具体如下：</w:t>
      </w: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579"/>
        <w:gridCol w:w="1306"/>
        <w:gridCol w:w="3773"/>
        <w:gridCol w:w="3482"/>
      </w:tblGrid>
      <w:tr w14:paraId="5E862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44B90469">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714" w:type="pct"/>
            <w:tcMar>
              <w:top w:w="60" w:type="dxa"/>
              <w:left w:w="120" w:type="dxa"/>
              <w:bottom w:w="30" w:type="dxa"/>
              <w:right w:w="120" w:type="dxa"/>
            </w:tcMar>
            <w:vAlign w:val="center"/>
          </w:tcPr>
          <w:p w14:paraId="1C0C2C56">
            <w:pPr>
              <w:snapToGrid w:val="0"/>
              <w:spacing w:line="360" w:lineRule="auto"/>
              <w:jc w:val="center"/>
              <w:rPr>
                <w:rFonts w:ascii="仿宋" w:hAnsi="仿宋" w:eastAsia="仿宋" w:cs="仿宋"/>
                <w:b/>
                <w:sz w:val="24"/>
              </w:rPr>
            </w:pPr>
            <w:r>
              <w:rPr>
                <w:rFonts w:hint="eastAsia" w:ascii="仿宋" w:hAnsi="仿宋" w:eastAsia="仿宋" w:cs="仿宋"/>
                <w:b/>
                <w:sz w:val="24"/>
              </w:rPr>
              <w:t>故障等级</w:t>
            </w:r>
          </w:p>
        </w:tc>
        <w:tc>
          <w:tcPr>
            <w:tcW w:w="2063" w:type="pct"/>
            <w:tcMar>
              <w:top w:w="60" w:type="dxa"/>
              <w:left w:w="120" w:type="dxa"/>
              <w:bottom w:w="30" w:type="dxa"/>
              <w:right w:w="120" w:type="dxa"/>
            </w:tcMar>
            <w:vAlign w:val="center"/>
          </w:tcPr>
          <w:p w14:paraId="0AF9DE75">
            <w:pPr>
              <w:snapToGrid w:val="0"/>
              <w:spacing w:line="360" w:lineRule="auto"/>
              <w:jc w:val="center"/>
              <w:rPr>
                <w:rFonts w:ascii="仿宋" w:hAnsi="仿宋" w:eastAsia="仿宋" w:cs="仿宋"/>
                <w:b/>
                <w:sz w:val="24"/>
              </w:rPr>
            </w:pPr>
            <w:r>
              <w:rPr>
                <w:rFonts w:hint="eastAsia" w:ascii="仿宋" w:hAnsi="仿宋" w:eastAsia="仿宋" w:cs="仿宋"/>
                <w:b/>
                <w:sz w:val="24"/>
              </w:rPr>
              <w:t>故障情况描述</w:t>
            </w:r>
          </w:p>
        </w:tc>
        <w:tc>
          <w:tcPr>
            <w:tcW w:w="1904" w:type="pct"/>
            <w:tcMar>
              <w:top w:w="60" w:type="dxa"/>
              <w:left w:w="120" w:type="dxa"/>
              <w:bottom w:w="30" w:type="dxa"/>
              <w:right w:w="120" w:type="dxa"/>
            </w:tcMar>
            <w:vAlign w:val="center"/>
          </w:tcPr>
          <w:p w14:paraId="691E9F58">
            <w:pPr>
              <w:snapToGrid w:val="0"/>
              <w:spacing w:line="360" w:lineRule="auto"/>
              <w:jc w:val="center"/>
              <w:rPr>
                <w:rFonts w:ascii="仿宋" w:hAnsi="仿宋" w:eastAsia="仿宋" w:cs="仿宋"/>
                <w:b/>
                <w:sz w:val="24"/>
              </w:rPr>
            </w:pPr>
            <w:r>
              <w:rPr>
                <w:rFonts w:hint="eastAsia" w:ascii="仿宋" w:hAnsi="仿宋" w:eastAsia="仿宋" w:cs="仿宋"/>
                <w:b/>
                <w:sz w:val="24"/>
              </w:rPr>
              <w:t>刚性SLA要求</w:t>
            </w:r>
          </w:p>
        </w:tc>
      </w:tr>
      <w:tr w14:paraId="0A9D4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0422E8AE">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714" w:type="pct"/>
            <w:tcMar>
              <w:top w:w="60" w:type="dxa"/>
              <w:left w:w="120" w:type="dxa"/>
              <w:bottom w:w="30" w:type="dxa"/>
              <w:right w:w="120" w:type="dxa"/>
            </w:tcMar>
            <w:vAlign w:val="center"/>
          </w:tcPr>
          <w:p w14:paraId="0B475B0D">
            <w:pPr>
              <w:snapToGrid w:val="0"/>
              <w:spacing w:line="360" w:lineRule="auto"/>
              <w:jc w:val="center"/>
              <w:rPr>
                <w:rFonts w:ascii="仿宋" w:hAnsi="仿宋" w:eastAsia="仿宋" w:cs="仿宋"/>
                <w:sz w:val="24"/>
              </w:rPr>
            </w:pPr>
            <w:r>
              <w:rPr>
                <w:rFonts w:hint="eastAsia" w:ascii="仿宋" w:hAnsi="仿宋" w:eastAsia="仿宋" w:cs="仿宋"/>
                <w:sz w:val="24"/>
              </w:rPr>
              <w:t>一级故障（重大）</w:t>
            </w:r>
          </w:p>
        </w:tc>
        <w:tc>
          <w:tcPr>
            <w:tcW w:w="2063" w:type="pct"/>
            <w:tcMar>
              <w:top w:w="60" w:type="dxa"/>
              <w:left w:w="120" w:type="dxa"/>
              <w:bottom w:w="30" w:type="dxa"/>
              <w:right w:w="120" w:type="dxa"/>
            </w:tcMar>
            <w:vAlign w:val="center"/>
          </w:tcPr>
          <w:p w14:paraId="56E5089D">
            <w:pPr>
              <w:snapToGrid w:val="0"/>
              <w:spacing w:line="360" w:lineRule="auto"/>
              <w:rPr>
                <w:rFonts w:ascii="仿宋" w:hAnsi="仿宋" w:eastAsia="仿宋" w:cs="仿宋"/>
                <w:sz w:val="24"/>
              </w:rPr>
            </w:pPr>
            <w:r>
              <w:rPr>
                <w:rFonts w:hint="eastAsia" w:ascii="仿宋" w:hAnsi="仿宋" w:eastAsia="仿宋" w:cs="仿宋"/>
                <w:sz w:val="24"/>
              </w:rPr>
              <w:t>1. 系统核心服务瘫痪，导致全院电子票据无法开具、推送、核销，收费窗口无法正常办理业务，严重影响医院正常医疗收费秩序；</w:t>
            </w:r>
          </w:p>
          <w:p w14:paraId="7E523E25">
            <w:pPr>
              <w:snapToGrid w:val="0"/>
              <w:spacing w:line="360" w:lineRule="auto"/>
              <w:rPr>
                <w:rFonts w:ascii="仿宋" w:hAnsi="仿宋" w:eastAsia="仿宋" w:cs="仿宋"/>
                <w:sz w:val="24"/>
              </w:rPr>
            </w:pPr>
            <w:r>
              <w:rPr>
                <w:rFonts w:hint="eastAsia" w:ascii="仿宋" w:hAnsi="仿宋" w:eastAsia="仿宋" w:cs="仿宋"/>
                <w:sz w:val="24"/>
              </w:rPr>
              <w:t>2. 发生患者个人信息、医疗收费数据、电子票据数据批量泄露、篡改、丢失等重大数据安全事件，可能引发财政监管风险；</w:t>
            </w:r>
          </w:p>
          <w:p w14:paraId="00B06D6F">
            <w:pPr>
              <w:snapToGrid w:val="0"/>
              <w:spacing w:line="360" w:lineRule="auto"/>
              <w:rPr>
                <w:rFonts w:ascii="仿宋" w:hAnsi="仿宋" w:eastAsia="仿宋" w:cs="仿宋"/>
                <w:sz w:val="24"/>
              </w:rPr>
            </w:pPr>
            <w:r>
              <w:rPr>
                <w:rFonts w:hint="eastAsia" w:ascii="仿宋" w:hAnsi="仿宋" w:eastAsia="仿宋" w:cs="仿宋"/>
                <w:sz w:val="24"/>
              </w:rPr>
              <w:t>3. 系统被非法入侵、攻击，出现高危安全漏洞，威胁医院整体网络安全及电子票据合规性；</w:t>
            </w:r>
          </w:p>
          <w:p w14:paraId="18D302A2">
            <w:pPr>
              <w:snapToGrid w:val="0"/>
              <w:spacing w:line="360" w:lineRule="auto"/>
              <w:rPr>
                <w:rFonts w:ascii="仿宋" w:hAnsi="仿宋" w:eastAsia="仿宋" w:cs="仿宋"/>
                <w:sz w:val="24"/>
              </w:rPr>
            </w:pPr>
            <w:r>
              <w:rPr>
                <w:rFonts w:hint="eastAsia" w:ascii="仿宋" w:hAnsi="仿宋" w:eastAsia="仿宋" w:cs="仿宋"/>
                <w:sz w:val="24"/>
              </w:rPr>
              <w:t>4. 与财政部门接口中断，导致电子票据无法同步上传、验证，面临监管处罚风险。</w:t>
            </w:r>
          </w:p>
        </w:tc>
        <w:tc>
          <w:tcPr>
            <w:tcW w:w="1904" w:type="pct"/>
            <w:tcMar>
              <w:top w:w="60" w:type="dxa"/>
              <w:left w:w="120" w:type="dxa"/>
              <w:bottom w:w="30" w:type="dxa"/>
              <w:right w:w="120" w:type="dxa"/>
            </w:tcMar>
            <w:vAlign w:val="center"/>
          </w:tcPr>
          <w:p w14:paraId="4012DCBA">
            <w:pPr>
              <w:snapToGrid w:val="0"/>
              <w:spacing w:line="360" w:lineRule="auto"/>
              <w:rPr>
                <w:rFonts w:ascii="仿宋" w:hAnsi="仿宋" w:eastAsia="仿宋" w:cs="仿宋"/>
                <w:sz w:val="24"/>
              </w:rPr>
            </w:pPr>
            <w:r>
              <w:rPr>
                <w:rFonts w:hint="eastAsia" w:ascii="仿宋" w:hAnsi="仿宋" w:eastAsia="仿宋" w:cs="仿宋"/>
                <w:sz w:val="24"/>
              </w:rPr>
              <w:t>1. 10分钟内必须响应，与采购人明确故障情况，出具应急处置方案；</w:t>
            </w:r>
          </w:p>
          <w:p w14:paraId="5F60BE6C">
            <w:pPr>
              <w:snapToGrid w:val="0"/>
              <w:spacing w:line="360" w:lineRule="auto"/>
              <w:rPr>
                <w:rFonts w:ascii="仿宋" w:hAnsi="仿宋" w:eastAsia="仿宋" w:cs="仿宋"/>
                <w:sz w:val="24"/>
              </w:rPr>
            </w:pPr>
            <w:r>
              <w:rPr>
                <w:rFonts w:hint="eastAsia" w:ascii="仿宋" w:hAnsi="仿宋" w:eastAsia="仿宋" w:cs="仿宋"/>
                <w:sz w:val="24"/>
              </w:rPr>
              <w:t>2. 4小时内派驻具备资质的技术人员到达现场；</w:t>
            </w:r>
          </w:p>
          <w:p w14:paraId="00ECA917">
            <w:pPr>
              <w:snapToGrid w:val="0"/>
              <w:spacing w:line="360" w:lineRule="auto"/>
              <w:rPr>
                <w:rFonts w:ascii="仿宋" w:hAnsi="仿宋" w:eastAsia="仿宋" w:cs="仿宋"/>
                <w:sz w:val="24"/>
              </w:rPr>
            </w:pPr>
            <w:r>
              <w:rPr>
                <w:rFonts w:hint="eastAsia" w:ascii="仿宋" w:hAnsi="仿宋" w:eastAsia="仿宋" w:cs="仿宋"/>
                <w:sz w:val="24"/>
              </w:rPr>
              <w:t>3. 6小时内完成故障修复，恢复系统核心业务正常运行；</w:t>
            </w:r>
          </w:p>
          <w:p w14:paraId="04CCF3AF">
            <w:pPr>
              <w:snapToGrid w:val="0"/>
              <w:spacing w:line="360" w:lineRule="auto"/>
              <w:rPr>
                <w:rFonts w:ascii="仿宋" w:hAnsi="仿宋" w:eastAsia="仿宋" w:cs="仿宋"/>
                <w:sz w:val="24"/>
              </w:rPr>
            </w:pPr>
            <w:r>
              <w:rPr>
                <w:rFonts w:hint="eastAsia" w:ascii="仿宋" w:hAnsi="仿宋" w:eastAsia="仿宋" w:cs="仿宋"/>
                <w:sz w:val="24"/>
              </w:rPr>
              <w:t>4. 无法在时限内完全修复的，须提供临时应急方案（如手工票据过渡、离线开具等）保障业务连续性，直至系统完全恢复；</w:t>
            </w:r>
          </w:p>
          <w:p w14:paraId="11E69D68">
            <w:pPr>
              <w:snapToGrid w:val="0"/>
              <w:spacing w:line="360" w:lineRule="auto"/>
              <w:rPr>
                <w:rFonts w:ascii="仿宋" w:hAnsi="仿宋" w:eastAsia="仿宋" w:cs="仿宋"/>
                <w:sz w:val="24"/>
              </w:rPr>
            </w:pPr>
            <w:r>
              <w:rPr>
                <w:rFonts w:hint="eastAsia" w:ascii="仿宋" w:hAnsi="仿宋" w:eastAsia="仿宋" w:cs="仿宋"/>
                <w:sz w:val="24"/>
              </w:rPr>
              <w:t>5. 故障处置完成后24小时内提交正式故障分析与复盘报告，同步对接财政部门说明情况。</w:t>
            </w:r>
          </w:p>
        </w:tc>
      </w:tr>
      <w:tr w14:paraId="093D8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42E3B380">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714" w:type="pct"/>
            <w:tcMar>
              <w:top w:w="60" w:type="dxa"/>
              <w:left w:w="120" w:type="dxa"/>
              <w:bottom w:w="30" w:type="dxa"/>
              <w:right w:w="120" w:type="dxa"/>
            </w:tcMar>
            <w:vAlign w:val="center"/>
          </w:tcPr>
          <w:p w14:paraId="13EAFA72">
            <w:pPr>
              <w:snapToGrid w:val="0"/>
              <w:spacing w:line="360" w:lineRule="auto"/>
              <w:jc w:val="center"/>
              <w:rPr>
                <w:rFonts w:ascii="仿宋" w:hAnsi="仿宋" w:eastAsia="仿宋" w:cs="仿宋"/>
                <w:sz w:val="24"/>
              </w:rPr>
            </w:pPr>
            <w:r>
              <w:rPr>
                <w:rFonts w:hint="eastAsia" w:ascii="仿宋" w:hAnsi="仿宋" w:eastAsia="仿宋" w:cs="仿宋"/>
                <w:sz w:val="24"/>
              </w:rPr>
              <w:t>二级故障（严重）</w:t>
            </w:r>
          </w:p>
        </w:tc>
        <w:tc>
          <w:tcPr>
            <w:tcW w:w="2063" w:type="pct"/>
            <w:tcMar>
              <w:top w:w="60" w:type="dxa"/>
              <w:left w:w="120" w:type="dxa"/>
              <w:bottom w:w="30" w:type="dxa"/>
              <w:right w:w="120" w:type="dxa"/>
            </w:tcMar>
            <w:vAlign w:val="center"/>
          </w:tcPr>
          <w:p w14:paraId="55C970EF">
            <w:pPr>
              <w:snapToGrid w:val="0"/>
              <w:spacing w:line="360" w:lineRule="auto"/>
              <w:rPr>
                <w:rFonts w:ascii="仿宋" w:hAnsi="仿宋" w:eastAsia="仿宋" w:cs="仿宋"/>
                <w:sz w:val="24"/>
              </w:rPr>
            </w:pPr>
            <w:r>
              <w:rPr>
                <w:rFonts w:hint="eastAsia" w:ascii="仿宋" w:hAnsi="仿宋" w:eastAsia="仿宋" w:cs="仿宋"/>
                <w:sz w:val="24"/>
              </w:rPr>
              <w:t>1. 系统操作性能严重降级，核心功能响应延迟超500%，严重影响收费人员操作与患者业务办理；</w:t>
            </w:r>
          </w:p>
          <w:p w14:paraId="57EC9049">
            <w:pPr>
              <w:snapToGrid w:val="0"/>
              <w:spacing w:line="360" w:lineRule="auto"/>
              <w:rPr>
                <w:rFonts w:ascii="仿宋" w:hAnsi="仿宋" w:eastAsia="仿宋" w:cs="仿宋"/>
                <w:sz w:val="24"/>
              </w:rPr>
            </w:pPr>
            <w:r>
              <w:rPr>
                <w:rFonts w:hint="eastAsia" w:ascii="仿宋" w:hAnsi="仿宋" w:eastAsia="仿宋" w:cs="仿宋"/>
                <w:sz w:val="24"/>
              </w:rPr>
              <w:t>2. 多个收费窗口电子票据开具、推送失败，或大量票据核销异常，影响大面积患者就医及医院财务对账；</w:t>
            </w:r>
          </w:p>
          <w:p w14:paraId="28CFF758">
            <w:pPr>
              <w:snapToGrid w:val="0"/>
              <w:spacing w:line="360" w:lineRule="auto"/>
              <w:rPr>
                <w:rFonts w:ascii="仿宋" w:hAnsi="仿宋" w:eastAsia="仿宋" w:cs="仿宋"/>
                <w:sz w:val="24"/>
              </w:rPr>
            </w:pPr>
            <w:r>
              <w:rPr>
                <w:rFonts w:hint="eastAsia" w:ascii="仿宋" w:hAnsi="仿宋" w:eastAsia="仿宋" w:cs="仿宋"/>
                <w:sz w:val="24"/>
              </w:rPr>
              <w:t>3. 电子票据查询、验证功能异常，患者无法获取、验证票据，引发患者投诉；</w:t>
            </w:r>
          </w:p>
          <w:p w14:paraId="26C64735">
            <w:pPr>
              <w:snapToGrid w:val="0"/>
              <w:spacing w:line="360" w:lineRule="auto"/>
              <w:rPr>
                <w:rFonts w:ascii="仿宋" w:hAnsi="仿宋" w:eastAsia="仿宋" w:cs="仿宋"/>
                <w:sz w:val="24"/>
              </w:rPr>
            </w:pPr>
            <w:r>
              <w:rPr>
                <w:rFonts w:hint="eastAsia" w:ascii="仿宋" w:hAnsi="仿宋" w:eastAsia="仿宋" w:cs="仿宋"/>
                <w:sz w:val="24"/>
              </w:rPr>
              <w:t>4. 系统与财政接口不稳定，出现数据同步延迟、丢失，存在合规风险。</w:t>
            </w:r>
          </w:p>
        </w:tc>
        <w:tc>
          <w:tcPr>
            <w:tcW w:w="1904" w:type="pct"/>
            <w:tcMar>
              <w:top w:w="60" w:type="dxa"/>
              <w:left w:w="120" w:type="dxa"/>
              <w:bottom w:w="30" w:type="dxa"/>
              <w:right w:w="120" w:type="dxa"/>
            </w:tcMar>
            <w:vAlign w:val="center"/>
          </w:tcPr>
          <w:p w14:paraId="53949503">
            <w:pPr>
              <w:snapToGrid w:val="0"/>
              <w:spacing w:line="360" w:lineRule="auto"/>
              <w:rPr>
                <w:rFonts w:ascii="仿宋" w:hAnsi="仿宋" w:eastAsia="仿宋" w:cs="仿宋"/>
                <w:sz w:val="24"/>
              </w:rPr>
            </w:pPr>
            <w:r>
              <w:rPr>
                <w:rFonts w:hint="eastAsia" w:ascii="仿宋" w:hAnsi="仿宋" w:eastAsia="仿宋" w:cs="仿宋"/>
                <w:sz w:val="24"/>
              </w:rPr>
              <w:t>1. 30分钟内必须响应，出具初步处置方案；</w:t>
            </w:r>
          </w:p>
          <w:p w14:paraId="6EDE24EB">
            <w:pPr>
              <w:snapToGrid w:val="0"/>
              <w:spacing w:line="360" w:lineRule="auto"/>
              <w:rPr>
                <w:rFonts w:ascii="仿宋" w:hAnsi="仿宋" w:eastAsia="仿宋" w:cs="仿宋"/>
                <w:sz w:val="24"/>
              </w:rPr>
            </w:pPr>
            <w:r>
              <w:rPr>
                <w:rFonts w:hint="eastAsia" w:ascii="仿宋" w:hAnsi="仿宋" w:eastAsia="仿宋" w:cs="仿宋"/>
                <w:sz w:val="24"/>
              </w:rPr>
              <w:t>2. 6小时内到达现场或通过安全远程方式完成故障处置；</w:t>
            </w:r>
          </w:p>
          <w:p w14:paraId="3D0D2D6E">
            <w:pPr>
              <w:snapToGrid w:val="0"/>
              <w:spacing w:line="360" w:lineRule="auto"/>
              <w:rPr>
                <w:rFonts w:ascii="仿宋" w:hAnsi="仿宋" w:eastAsia="仿宋" w:cs="仿宋"/>
                <w:sz w:val="24"/>
              </w:rPr>
            </w:pPr>
            <w:r>
              <w:rPr>
                <w:rFonts w:hint="eastAsia" w:ascii="仿宋" w:hAnsi="仿宋" w:eastAsia="仿宋" w:cs="仿宋"/>
                <w:sz w:val="24"/>
              </w:rPr>
              <w:t>3. 12小时内完成故障修复，系统恢复正常运行；</w:t>
            </w:r>
          </w:p>
          <w:p w14:paraId="5CA3347A">
            <w:pPr>
              <w:snapToGrid w:val="0"/>
              <w:spacing w:line="360" w:lineRule="auto"/>
              <w:rPr>
                <w:rFonts w:ascii="仿宋" w:hAnsi="仿宋" w:eastAsia="仿宋" w:cs="仿宋"/>
                <w:sz w:val="24"/>
              </w:rPr>
            </w:pPr>
            <w:r>
              <w:rPr>
                <w:rFonts w:hint="eastAsia" w:ascii="仿宋" w:hAnsi="仿宋" w:eastAsia="仿宋" w:cs="仿宋"/>
                <w:sz w:val="24"/>
              </w:rPr>
              <w:t>4. 故障处置完成后3个工作日内提交故障分析报告，涉及财政接口的同步反馈对接情况。</w:t>
            </w:r>
          </w:p>
        </w:tc>
      </w:tr>
      <w:tr w14:paraId="1D655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3A95E8D8">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714" w:type="pct"/>
            <w:tcMar>
              <w:top w:w="60" w:type="dxa"/>
              <w:left w:w="120" w:type="dxa"/>
              <w:bottom w:w="30" w:type="dxa"/>
              <w:right w:w="120" w:type="dxa"/>
            </w:tcMar>
            <w:vAlign w:val="center"/>
          </w:tcPr>
          <w:p w14:paraId="2EB8CA49">
            <w:pPr>
              <w:snapToGrid w:val="0"/>
              <w:spacing w:line="360" w:lineRule="auto"/>
              <w:jc w:val="center"/>
              <w:rPr>
                <w:rFonts w:ascii="仿宋" w:hAnsi="仿宋" w:eastAsia="仿宋" w:cs="仿宋"/>
                <w:sz w:val="24"/>
              </w:rPr>
            </w:pPr>
            <w:r>
              <w:rPr>
                <w:rFonts w:hint="eastAsia" w:ascii="仿宋" w:hAnsi="仿宋" w:eastAsia="仿宋" w:cs="仿宋"/>
                <w:sz w:val="24"/>
              </w:rPr>
              <w:t>三级故障（一般）</w:t>
            </w:r>
          </w:p>
        </w:tc>
        <w:tc>
          <w:tcPr>
            <w:tcW w:w="2063" w:type="pct"/>
            <w:tcMar>
              <w:top w:w="60" w:type="dxa"/>
              <w:left w:w="120" w:type="dxa"/>
              <w:bottom w:w="30" w:type="dxa"/>
              <w:right w:w="120" w:type="dxa"/>
            </w:tcMar>
            <w:vAlign w:val="center"/>
          </w:tcPr>
          <w:p w14:paraId="2EE087E9">
            <w:pPr>
              <w:snapToGrid w:val="0"/>
              <w:spacing w:line="360" w:lineRule="auto"/>
              <w:rPr>
                <w:rFonts w:ascii="仿宋" w:hAnsi="仿宋" w:eastAsia="仿宋" w:cs="仿宋"/>
                <w:sz w:val="24"/>
              </w:rPr>
            </w:pPr>
            <w:r>
              <w:rPr>
                <w:rFonts w:hint="eastAsia" w:ascii="仿宋" w:hAnsi="仿宋" w:eastAsia="仿宋" w:cs="仿宋"/>
                <w:sz w:val="24"/>
              </w:rPr>
              <w:t>1. 系统非核心功能受损，仅影响单个收费窗口/少量终端使用，医院核心收费业务可正常开展；</w:t>
            </w:r>
          </w:p>
          <w:p w14:paraId="6964DD7A">
            <w:pPr>
              <w:snapToGrid w:val="0"/>
              <w:spacing w:line="360" w:lineRule="auto"/>
              <w:rPr>
                <w:rFonts w:ascii="仿宋" w:hAnsi="仿宋" w:eastAsia="仿宋" w:cs="仿宋"/>
                <w:sz w:val="24"/>
              </w:rPr>
            </w:pPr>
            <w:r>
              <w:rPr>
                <w:rFonts w:hint="eastAsia" w:ascii="仿宋" w:hAnsi="仿宋" w:eastAsia="仿宋" w:cs="仿宋"/>
                <w:sz w:val="24"/>
              </w:rPr>
              <w:t>2. 系统出现局部数据显示异常、个别票据核销失败、报表统计偏差，不影响核心业务办理及财务对账；</w:t>
            </w:r>
          </w:p>
          <w:p w14:paraId="18735F9E">
            <w:pPr>
              <w:snapToGrid w:val="0"/>
              <w:spacing w:line="360" w:lineRule="auto"/>
              <w:rPr>
                <w:rFonts w:ascii="仿宋" w:hAnsi="仿宋" w:eastAsia="仿宋" w:cs="仿宋"/>
                <w:sz w:val="24"/>
              </w:rPr>
            </w:pPr>
            <w:r>
              <w:rPr>
                <w:rFonts w:hint="eastAsia" w:ascii="仿宋" w:hAnsi="仿宋" w:eastAsia="仿宋" w:cs="仿宋"/>
                <w:sz w:val="24"/>
              </w:rPr>
              <w:t>3. 单台收费终端、电子签章设备故障，不影响整体业务流程。</w:t>
            </w:r>
          </w:p>
        </w:tc>
        <w:tc>
          <w:tcPr>
            <w:tcW w:w="1904" w:type="pct"/>
            <w:tcMar>
              <w:top w:w="60" w:type="dxa"/>
              <w:left w:w="120" w:type="dxa"/>
              <w:bottom w:w="30" w:type="dxa"/>
              <w:right w:w="120" w:type="dxa"/>
            </w:tcMar>
            <w:vAlign w:val="center"/>
          </w:tcPr>
          <w:p w14:paraId="6CF51FF8">
            <w:pPr>
              <w:snapToGrid w:val="0"/>
              <w:spacing w:line="360" w:lineRule="auto"/>
              <w:rPr>
                <w:rFonts w:ascii="仿宋" w:hAnsi="仿宋" w:eastAsia="仿宋" w:cs="仿宋"/>
                <w:sz w:val="24"/>
              </w:rPr>
            </w:pPr>
            <w:r>
              <w:rPr>
                <w:rFonts w:hint="eastAsia" w:ascii="仿宋" w:hAnsi="仿宋" w:eastAsia="仿宋" w:cs="仿宋"/>
                <w:sz w:val="24"/>
              </w:rPr>
              <w:t>1. 30分钟内必须响应，出具处置方案；</w:t>
            </w:r>
          </w:p>
          <w:p w14:paraId="18EC80B5">
            <w:pPr>
              <w:snapToGrid w:val="0"/>
              <w:spacing w:line="360" w:lineRule="auto"/>
              <w:rPr>
                <w:rFonts w:ascii="仿宋" w:hAnsi="仿宋" w:eastAsia="仿宋" w:cs="仿宋"/>
                <w:sz w:val="24"/>
              </w:rPr>
            </w:pPr>
            <w:r>
              <w:rPr>
                <w:rFonts w:hint="eastAsia" w:ascii="仿宋" w:hAnsi="仿宋" w:eastAsia="仿宋" w:cs="仿宋"/>
                <w:sz w:val="24"/>
              </w:rPr>
              <w:t>2. 12小时内到达现场或通过远程方式完成故障处置；</w:t>
            </w:r>
          </w:p>
          <w:p w14:paraId="5DB54EF3">
            <w:pPr>
              <w:snapToGrid w:val="0"/>
              <w:spacing w:line="360" w:lineRule="auto"/>
              <w:rPr>
                <w:rFonts w:ascii="仿宋" w:hAnsi="仿宋" w:eastAsia="仿宋" w:cs="仿宋"/>
                <w:sz w:val="24"/>
              </w:rPr>
            </w:pPr>
            <w:r>
              <w:rPr>
                <w:rFonts w:hint="eastAsia" w:ascii="仿宋" w:hAnsi="仿宋" w:eastAsia="仿宋" w:cs="仿宋"/>
                <w:sz w:val="24"/>
              </w:rPr>
              <w:t>3. 24小时内完成故障修复，闭环处置问题。</w:t>
            </w:r>
          </w:p>
        </w:tc>
      </w:tr>
      <w:tr w14:paraId="3B0C1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259A832B">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714" w:type="pct"/>
            <w:tcMar>
              <w:top w:w="60" w:type="dxa"/>
              <w:left w:w="120" w:type="dxa"/>
              <w:bottom w:w="30" w:type="dxa"/>
              <w:right w:w="120" w:type="dxa"/>
            </w:tcMar>
            <w:vAlign w:val="center"/>
          </w:tcPr>
          <w:p w14:paraId="2B30685D">
            <w:pPr>
              <w:snapToGrid w:val="0"/>
              <w:spacing w:line="360" w:lineRule="auto"/>
              <w:jc w:val="center"/>
              <w:rPr>
                <w:rFonts w:ascii="仿宋" w:hAnsi="仿宋" w:eastAsia="仿宋" w:cs="仿宋"/>
                <w:sz w:val="24"/>
              </w:rPr>
            </w:pPr>
            <w:r>
              <w:rPr>
                <w:rFonts w:hint="eastAsia" w:ascii="仿宋" w:hAnsi="仿宋" w:eastAsia="仿宋" w:cs="仿宋"/>
                <w:sz w:val="24"/>
              </w:rPr>
              <w:t>四级故障（轻微）</w:t>
            </w:r>
          </w:p>
        </w:tc>
        <w:tc>
          <w:tcPr>
            <w:tcW w:w="2063" w:type="pct"/>
            <w:tcMar>
              <w:top w:w="60" w:type="dxa"/>
              <w:left w:w="120" w:type="dxa"/>
              <w:bottom w:w="30" w:type="dxa"/>
              <w:right w:w="120" w:type="dxa"/>
            </w:tcMar>
            <w:vAlign w:val="center"/>
          </w:tcPr>
          <w:p w14:paraId="22F5DBCA">
            <w:pPr>
              <w:snapToGrid w:val="0"/>
              <w:spacing w:line="360" w:lineRule="auto"/>
              <w:rPr>
                <w:rFonts w:ascii="仿宋" w:hAnsi="仿宋" w:eastAsia="仿宋" w:cs="仿宋"/>
                <w:sz w:val="24"/>
              </w:rPr>
            </w:pPr>
            <w:r>
              <w:rPr>
                <w:rFonts w:hint="eastAsia" w:ascii="仿宋" w:hAnsi="仿宋" w:eastAsia="仿宋" w:cs="仿宋"/>
                <w:sz w:val="24"/>
              </w:rPr>
              <w:t>1. 系统出现一般性操作问题、界面显示异常，对患者就医、系统运行几乎无影响；</w:t>
            </w:r>
          </w:p>
          <w:p w14:paraId="509AE7A3">
            <w:pPr>
              <w:snapToGrid w:val="0"/>
              <w:spacing w:line="360" w:lineRule="auto"/>
              <w:rPr>
                <w:rFonts w:ascii="仿宋" w:hAnsi="仿宋" w:eastAsia="仿宋" w:cs="仿宋"/>
                <w:sz w:val="24"/>
              </w:rPr>
            </w:pPr>
            <w:r>
              <w:rPr>
                <w:rFonts w:hint="eastAsia" w:ascii="仿宋" w:hAnsi="仿宋" w:eastAsia="仿宋" w:cs="仿宋"/>
                <w:sz w:val="24"/>
              </w:rPr>
              <w:t>2. 收费人员、财务人员提出的系统操作咨询、功能配置调整、票据补打、异常票据手动处理等非故障类服务请求；</w:t>
            </w:r>
          </w:p>
          <w:p w14:paraId="31F01B3D">
            <w:pPr>
              <w:snapToGrid w:val="0"/>
              <w:spacing w:line="360" w:lineRule="auto"/>
              <w:rPr>
                <w:rFonts w:ascii="仿宋" w:hAnsi="仿宋" w:eastAsia="仿宋" w:cs="仿宋"/>
                <w:sz w:val="24"/>
              </w:rPr>
            </w:pPr>
            <w:r>
              <w:rPr>
                <w:rFonts w:hint="eastAsia" w:ascii="仿宋" w:hAnsi="仿宋" w:eastAsia="仿宋" w:cs="仿宋"/>
                <w:sz w:val="24"/>
              </w:rPr>
              <w:t>3. 票据统计报表的小范围优化需求。</w:t>
            </w:r>
          </w:p>
        </w:tc>
        <w:tc>
          <w:tcPr>
            <w:tcW w:w="1904" w:type="pct"/>
            <w:tcMar>
              <w:top w:w="60" w:type="dxa"/>
              <w:left w:w="120" w:type="dxa"/>
              <w:bottom w:w="30" w:type="dxa"/>
              <w:right w:w="120" w:type="dxa"/>
            </w:tcMar>
            <w:vAlign w:val="center"/>
          </w:tcPr>
          <w:p w14:paraId="27C0B9FB">
            <w:pPr>
              <w:snapToGrid w:val="0"/>
              <w:spacing w:line="360" w:lineRule="auto"/>
              <w:rPr>
                <w:rFonts w:ascii="仿宋" w:hAnsi="仿宋" w:eastAsia="仿宋" w:cs="仿宋"/>
                <w:sz w:val="24"/>
              </w:rPr>
            </w:pPr>
            <w:r>
              <w:rPr>
                <w:rFonts w:hint="eastAsia" w:ascii="仿宋" w:hAnsi="仿宋" w:eastAsia="仿宋" w:cs="仿宋"/>
                <w:sz w:val="24"/>
              </w:rPr>
              <w:t>1. 30分钟内必须响应，提供技术指导与解决方案；</w:t>
            </w:r>
          </w:p>
          <w:p w14:paraId="0CC4E9B1">
            <w:pPr>
              <w:snapToGrid w:val="0"/>
              <w:spacing w:line="360" w:lineRule="auto"/>
              <w:rPr>
                <w:rFonts w:ascii="仿宋" w:hAnsi="仿宋" w:eastAsia="仿宋" w:cs="仿宋"/>
                <w:sz w:val="24"/>
              </w:rPr>
            </w:pPr>
            <w:r>
              <w:rPr>
                <w:rFonts w:hint="eastAsia" w:ascii="仿宋" w:hAnsi="仿宋" w:eastAsia="仿宋" w:cs="仿宋"/>
                <w:sz w:val="24"/>
              </w:rPr>
              <w:t>2. 24小时内通过远程或现场方式完成处置；</w:t>
            </w:r>
          </w:p>
          <w:p w14:paraId="1E52C0F8">
            <w:pPr>
              <w:snapToGrid w:val="0"/>
              <w:spacing w:line="360" w:lineRule="auto"/>
              <w:rPr>
                <w:rFonts w:ascii="仿宋" w:hAnsi="仿宋" w:eastAsia="仿宋" w:cs="仿宋"/>
                <w:sz w:val="24"/>
              </w:rPr>
            </w:pPr>
            <w:r>
              <w:rPr>
                <w:rFonts w:hint="eastAsia" w:ascii="仿宋" w:hAnsi="仿宋" w:eastAsia="仿宋" w:cs="仿宋"/>
                <w:sz w:val="24"/>
              </w:rPr>
              <w:t>3. 48小时内完成问题闭环。</w:t>
            </w:r>
          </w:p>
        </w:tc>
      </w:tr>
    </w:tbl>
    <w:p w14:paraId="7669235E">
      <w:pPr>
        <w:snapToGrid w:val="0"/>
        <w:spacing w:line="360" w:lineRule="auto"/>
        <w:jc w:val="left"/>
        <w:rPr>
          <w:rFonts w:ascii="仿宋" w:hAnsi="仿宋" w:eastAsia="仿宋" w:cs="仿宋"/>
          <w:sz w:val="24"/>
        </w:rPr>
      </w:pPr>
      <w:r>
        <w:rPr>
          <w:rFonts w:hint="eastAsia" w:ascii="仿宋" w:hAnsi="仿宋" w:eastAsia="仿宋" w:cs="仿宋"/>
          <w:b/>
          <w:sz w:val="24"/>
        </w:rPr>
        <w:t>4. 售后运维服务核心要求</w:t>
      </w:r>
    </w:p>
    <w:p w14:paraId="54FE256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服务商须严格按照以下要求提供全流程售后运维服务，可依据自身技术能力提供增值服务，但不得低于以下标准要求，所有服务须留存完整、可追溯的工作记录，接受采购人及财政部门的监督检查。</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580"/>
        <w:gridCol w:w="1159"/>
        <w:gridCol w:w="4934"/>
        <w:gridCol w:w="1159"/>
        <w:gridCol w:w="1306"/>
      </w:tblGrid>
      <w:tr w14:paraId="25143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3B23D21C">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634" w:type="pct"/>
            <w:tcMar>
              <w:top w:w="60" w:type="dxa"/>
              <w:left w:w="120" w:type="dxa"/>
              <w:bottom w:w="30" w:type="dxa"/>
              <w:right w:w="120" w:type="dxa"/>
            </w:tcMar>
            <w:vAlign w:val="center"/>
          </w:tcPr>
          <w:p w14:paraId="67460E93">
            <w:pPr>
              <w:snapToGrid w:val="0"/>
              <w:spacing w:line="360" w:lineRule="auto"/>
              <w:jc w:val="center"/>
              <w:rPr>
                <w:rFonts w:ascii="仿宋" w:hAnsi="仿宋" w:eastAsia="仿宋" w:cs="仿宋"/>
                <w:b/>
                <w:sz w:val="24"/>
              </w:rPr>
            </w:pPr>
            <w:r>
              <w:rPr>
                <w:rFonts w:hint="eastAsia" w:ascii="仿宋" w:hAnsi="仿宋" w:eastAsia="仿宋" w:cs="仿宋"/>
                <w:b/>
                <w:sz w:val="24"/>
              </w:rPr>
              <w:t>服务项目</w:t>
            </w:r>
          </w:p>
        </w:tc>
        <w:tc>
          <w:tcPr>
            <w:tcW w:w="2698" w:type="pct"/>
            <w:tcMar>
              <w:top w:w="60" w:type="dxa"/>
              <w:left w:w="120" w:type="dxa"/>
              <w:bottom w:w="30" w:type="dxa"/>
              <w:right w:w="120" w:type="dxa"/>
            </w:tcMar>
            <w:vAlign w:val="center"/>
          </w:tcPr>
          <w:p w14:paraId="3690AF3D">
            <w:pPr>
              <w:snapToGrid w:val="0"/>
              <w:spacing w:line="360" w:lineRule="auto"/>
              <w:jc w:val="center"/>
              <w:rPr>
                <w:rFonts w:ascii="仿宋" w:hAnsi="仿宋" w:eastAsia="仿宋" w:cs="仿宋"/>
                <w:b/>
                <w:sz w:val="24"/>
              </w:rPr>
            </w:pPr>
            <w:r>
              <w:rPr>
                <w:rFonts w:hint="eastAsia" w:ascii="仿宋" w:hAnsi="仿宋" w:eastAsia="仿宋" w:cs="仿宋"/>
                <w:b/>
                <w:sz w:val="24"/>
              </w:rPr>
              <w:t>服务内涵</w:t>
            </w:r>
          </w:p>
        </w:tc>
        <w:tc>
          <w:tcPr>
            <w:tcW w:w="634" w:type="pct"/>
            <w:tcMar>
              <w:top w:w="60" w:type="dxa"/>
              <w:left w:w="120" w:type="dxa"/>
              <w:bottom w:w="30" w:type="dxa"/>
              <w:right w:w="120" w:type="dxa"/>
            </w:tcMar>
            <w:vAlign w:val="center"/>
          </w:tcPr>
          <w:p w14:paraId="69F54D38">
            <w:pPr>
              <w:snapToGrid w:val="0"/>
              <w:spacing w:line="360" w:lineRule="auto"/>
              <w:jc w:val="center"/>
              <w:rPr>
                <w:rFonts w:ascii="仿宋" w:hAnsi="仿宋" w:eastAsia="仿宋" w:cs="仿宋"/>
                <w:b/>
                <w:sz w:val="24"/>
              </w:rPr>
            </w:pPr>
            <w:r>
              <w:rPr>
                <w:rFonts w:hint="eastAsia" w:ascii="仿宋" w:hAnsi="仿宋" w:eastAsia="仿宋" w:cs="仿宋"/>
                <w:b/>
                <w:sz w:val="24"/>
              </w:rPr>
              <w:t>服务方式</w:t>
            </w:r>
          </w:p>
        </w:tc>
        <w:tc>
          <w:tcPr>
            <w:tcW w:w="714" w:type="pct"/>
            <w:tcMar>
              <w:top w:w="60" w:type="dxa"/>
              <w:left w:w="120" w:type="dxa"/>
              <w:bottom w:w="30" w:type="dxa"/>
              <w:right w:w="120" w:type="dxa"/>
            </w:tcMar>
            <w:vAlign w:val="center"/>
          </w:tcPr>
          <w:p w14:paraId="2198E722">
            <w:pPr>
              <w:snapToGrid w:val="0"/>
              <w:spacing w:line="360" w:lineRule="auto"/>
              <w:jc w:val="center"/>
              <w:rPr>
                <w:rFonts w:ascii="仿宋" w:hAnsi="仿宋" w:eastAsia="仿宋" w:cs="仿宋"/>
                <w:b/>
                <w:sz w:val="24"/>
              </w:rPr>
            </w:pPr>
            <w:r>
              <w:rPr>
                <w:rFonts w:hint="eastAsia" w:ascii="仿宋" w:hAnsi="仿宋" w:eastAsia="仿宋" w:cs="仿宋"/>
                <w:b/>
                <w:sz w:val="24"/>
              </w:rPr>
              <w:t>服务频次/次数要求</w:t>
            </w:r>
          </w:p>
        </w:tc>
      </w:tr>
      <w:tr w14:paraId="21FE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755DA619">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634" w:type="pct"/>
            <w:tcMar>
              <w:top w:w="60" w:type="dxa"/>
              <w:left w:w="120" w:type="dxa"/>
              <w:bottom w:w="30" w:type="dxa"/>
              <w:right w:w="120" w:type="dxa"/>
            </w:tcMar>
            <w:vAlign w:val="center"/>
          </w:tcPr>
          <w:p w14:paraId="74A52324">
            <w:pPr>
              <w:snapToGrid w:val="0"/>
              <w:spacing w:line="360" w:lineRule="auto"/>
              <w:jc w:val="center"/>
              <w:rPr>
                <w:rFonts w:ascii="仿宋" w:hAnsi="仿宋" w:eastAsia="仿宋" w:cs="仿宋"/>
                <w:sz w:val="24"/>
              </w:rPr>
            </w:pPr>
            <w:r>
              <w:rPr>
                <w:rFonts w:hint="eastAsia" w:ascii="仿宋" w:hAnsi="仿宋" w:eastAsia="仿宋" w:cs="仿宋"/>
                <w:sz w:val="24"/>
              </w:rPr>
              <w:t>信息系统基础运维服务</w:t>
            </w:r>
          </w:p>
        </w:tc>
        <w:tc>
          <w:tcPr>
            <w:tcW w:w="2698" w:type="pct"/>
            <w:tcMar>
              <w:top w:w="60" w:type="dxa"/>
              <w:left w:w="120" w:type="dxa"/>
              <w:bottom w:w="30" w:type="dxa"/>
              <w:right w:w="120" w:type="dxa"/>
            </w:tcMar>
            <w:vAlign w:val="center"/>
          </w:tcPr>
          <w:p w14:paraId="5E10992F">
            <w:pPr>
              <w:snapToGrid w:val="0"/>
              <w:spacing w:line="360" w:lineRule="auto"/>
              <w:rPr>
                <w:rFonts w:ascii="仿宋" w:hAnsi="仿宋" w:eastAsia="仿宋" w:cs="仿宋"/>
                <w:sz w:val="24"/>
              </w:rPr>
            </w:pPr>
            <w:r>
              <w:rPr>
                <w:rFonts w:hint="eastAsia" w:ascii="仿宋" w:hAnsi="仿宋" w:eastAsia="仿宋" w:cs="仿宋"/>
                <w:sz w:val="24"/>
              </w:rPr>
              <w:t>1. 上表所列全部系统模块的软件操作指导、故障排查、bug修复、配置管理服务；</w:t>
            </w:r>
          </w:p>
          <w:p w14:paraId="097E57B8">
            <w:pPr>
              <w:snapToGrid w:val="0"/>
              <w:spacing w:line="360" w:lineRule="auto"/>
              <w:rPr>
                <w:rFonts w:ascii="仿宋" w:hAnsi="仿宋" w:eastAsia="仿宋" w:cs="仿宋"/>
                <w:sz w:val="24"/>
              </w:rPr>
            </w:pPr>
            <w:r>
              <w:rPr>
                <w:rFonts w:hint="eastAsia" w:ascii="仿宋" w:hAnsi="仿宋" w:eastAsia="仿宋" w:cs="仿宋"/>
                <w:sz w:val="24"/>
              </w:rPr>
              <w:t>2. 系统死机、数据错误、票据开具/推送/核销失败、电子签章异常等全场景故障处置；</w:t>
            </w:r>
          </w:p>
          <w:p w14:paraId="623CB902">
            <w:pPr>
              <w:snapToGrid w:val="0"/>
              <w:spacing w:line="360" w:lineRule="auto"/>
              <w:rPr>
                <w:rFonts w:ascii="仿宋" w:hAnsi="仿宋" w:eastAsia="仿宋" w:cs="仿宋"/>
                <w:sz w:val="24"/>
              </w:rPr>
            </w:pPr>
            <w:r>
              <w:rPr>
                <w:rFonts w:hint="eastAsia" w:ascii="仿宋" w:hAnsi="仿宋" w:eastAsia="仿宋" w:cs="仿宋"/>
                <w:sz w:val="24"/>
              </w:rPr>
              <w:t>3. 系统运行环境适配、显示异常、运行效率降低等问题的优化处置；</w:t>
            </w:r>
          </w:p>
          <w:p w14:paraId="23179C6E">
            <w:pPr>
              <w:snapToGrid w:val="0"/>
              <w:spacing w:line="360" w:lineRule="auto"/>
              <w:rPr>
                <w:rFonts w:ascii="仿宋" w:hAnsi="仿宋" w:eastAsia="仿宋" w:cs="仿宋"/>
                <w:sz w:val="24"/>
              </w:rPr>
            </w:pPr>
            <w:r>
              <w:rPr>
                <w:rFonts w:hint="eastAsia" w:ascii="仿宋" w:hAnsi="仿宋" w:eastAsia="仿宋" w:cs="仿宋"/>
                <w:sz w:val="24"/>
              </w:rPr>
              <w:t>4. 系统与院内其他信息系统、财政外部系统的接口运维、适配调整、故障修复，确保票据流转全流程畅通；</w:t>
            </w:r>
          </w:p>
          <w:p w14:paraId="42E2294D">
            <w:pPr>
              <w:snapToGrid w:val="0"/>
              <w:spacing w:line="360" w:lineRule="auto"/>
              <w:rPr>
                <w:rFonts w:ascii="仿宋" w:hAnsi="仿宋" w:eastAsia="仿宋" w:cs="仿宋"/>
                <w:sz w:val="24"/>
              </w:rPr>
            </w:pPr>
            <w:r>
              <w:rPr>
                <w:rFonts w:hint="eastAsia" w:ascii="仿宋" w:hAnsi="仿宋" w:eastAsia="仿宋" w:cs="仿宋"/>
                <w:sz w:val="24"/>
              </w:rPr>
              <w:t>5. 系统终端设备、服务器、电子签章设备运行状态的定期巡检与隐患排查。</w:t>
            </w:r>
          </w:p>
        </w:tc>
        <w:tc>
          <w:tcPr>
            <w:tcW w:w="634" w:type="pct"/>
            <w:tcMar>
              <w:top w:w="60" w:type="dxa"/>
              <w:left w:w="120" w:type="dxa"/>
              <w:bottom w:w="30" w:type="dxa"/>
              <w:right w:w="120" w:type="dxa"/>
            </w:tcMar>
            <w:vAlign w:val="center"/>
          </w:tcPr>
          <w:p w14:paraId="4A6F25FC">
            <w:pPr>
              <w:snapToGrid w:val="0"/>
              <w:spacing w:line="360" w:lineRule="auto"/>
              <w:jc w:val="center"/>
              <w:rPr>
                <w:rFonts w:ascii="仿宋" w:hAnsi="仿宋" w:eastAsia="仿宋" w:cs="仿宋"/>
                <w:sz w:val="24"/>
              </w:rPr>
            </w:pPr>
            <w:r>
              <w:rPr>
                <w:rFonts w:hint="eastAsia" w:ascii="仿宋" w:hAnsi="仿宋" w:eastAsia="仿宋" w:cs="仿宋"/>
                <w:sz w:val="24"/>
              </w:rPr>
              <w:t>7×24小时热线服务、安全远程运维服务、现场驻场/上门服务</w:t>
            </w:r>
          </w:p>
        </w:tc>
        <w:tc>
          <w:tcPr>
            <w:tcW w:w="714" w:type="pct"/>
            <w:tcMar>
              <w:top w:w="60" w:type="dxa"/>
              <w:left w:w="120" w:type="dxa"/>
              <w:bottom w:w="30" w:type="dxa"/>
              <w:right w:w="120" w:type="dxa"/>
            </w:tcMar>
            <w:vAlign w:val="center"/>
          </w:tcPr>
          <w:p w14:paraId="72B62F78">
            <w:pPr>
              <w:snapToGrid w:val="0"/>
              <w:spacing w:line="360" w:lineRule="auto"/>
              <w:jc w:val="center"/>
              <w:rPr>
                <w:rFonts w:ascii="仿宋" w:hAnsi="仿宋" w:eastAsia="仿宋" w:cs="仿宋"/>
                <w:sz w:val="24"/>
              </w:rPr>
            </w:pPr>
            <w:r>
              <w:rPr>
                <w:rFonts w:hint="eastAsia" w:ascii="仿宋" w:hAnsi="仿宋" w:eastAsia="仿宋" w:cs="仿宋"/>
                <w:sz w:val="24"/>
              </w:rPr>
              <w:t>不限次数，全时段响应</w:t>
            </w:r>
          </w:p>
        </w:tc>
      </w:tr>
      <w:tr w14:paraId="244C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1DC4524D">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634" w:type="pct"/>
            <w:tcMar>
              <w:top w:w="60" w:type="dxa"/>
              <w:left w:w="120" w:type="dxa"/>
              <w:bottom w:w="30" w:type="dxa"/>
              <w:right w:w="120" w:type="dxa"/>
            </w:tcMar>
            <w:vAlign w:val="center"/>
          </w:tcPr>
          <w:p w14:paraId="5227E85A">
            <w:pPr>
              <w:snapToGrid w:val="0"/>
              <w:spacing w:line="360" w:lineRule="auto"/>
              <w:jc w:val="center"/>
              <w:rPr>
                <w:rFonts w:ascii="仿宋" w:hAnsi="仿宋" w:eastAsia="仿宋" w:cs="仿宋"/>
                <w:sz w:val="24"/>
              </w:rPr>
            </w:pPr>
            <w:r>
              <w:rPr>
                <w:rFonts w:hint="eastAsia" w:ascii="仿宋" w:hAnsi="仿宋" w:eastAsia="仿宋" w:cs="仿宋"/>
                <w:sz w:val="24"/>
              </w:rPr>
              <w:t>数据库专项运维服务</w:t>
            </w:r>
          </w:p>
        </w:tc>
        <w:tc>
          <w:tcPr>
            <w:tcW w:w="2698" w:type="pct"/>
            <w:tcMar>
              <w:top w:w="60" w:type="dxa"/>
              <w:left w:w="120" w:type="dxa"/>
              <w:bottom w:w="30" w:type="dxa"/>
              <w:right w:w="120" w:type="dxa"/>
            </w:tcMar>
            <w:vAlign w:val="center"/>
          </w:tcPr>
          <w:p w14:paraId="2373E51D">
            <w:pPr>
              <w:snapToGrid w:val="0"/>
              <w:spacing w:line="360" w:lineRule="auto"/>
              <w:rPr>
                <w:rFonts w:ascii="仿宋" w:hAnsi="仿宋" w:eastAsia="仿宋" w:cs="仿宋"/>
                <w:sz w:val="24"/>
              </w:rPr>
            </w:pPr>
            <w:r>
              <w:rPr>
                <w:rFonts w:hint="eastAsia" w:ascii="仿宋" w:hAnsi="仿宋" w:eastAsia="仿宋" w:cs="仿宋"/>
                <w:sz w:val="24"/>
              </w:rPr>
              <w:t>1. 每月开展数据库全量巡检，检查内容包括服务器系统日志、磁盘空间、CPU/内存使用率、数据库表空间、数据文件大小、数据库运行日志、异常操作审计日志等，及时发现并处置潜在风险；</w:t>
            </w:r>
          </w:p>
          <w:p w14:paraId="45FBB3AF">
            <w:pPr>
              <w:snapToGrid w:val="0"/>
              <w:spacing w:line="360" w:lineRule="auto"/>
              <w:rPr>
                <w:rFonts w:ascii="仿宋" w:hAnsi="仿宋" w:eastAsia="仿宋" w:cs="仿宋"/>
                <w:sz w:val="24"/>
              </w:rPr>
            </w:pPr>
            <w:r>
              <w:rPr>
                <w:rFonts w:hint="eastAsia" w:ascii="仿宋" w:hAnsi="仿宋" w:eastAsia="仿宋" w:cs="仿宋"/>
                <w:sz w:val="24"/>
              </w:rPr>
              <w:t>2. 每季度完成数据库安全加固、高危漏洞修复，确保数据库符合等保合规要求及财政数据安全规定；</w:t>
            </w:r>
          </w:p>
          <w:p w14:paraId="06D678B9">
            <w:pPr>
              <w:snapToGrid w:val="0"/>
              <w:spacing w:line="360" w:lineRule="auto"/>
              <w:rPr>
                <w:rFonts w:ascii="仿宋" w:hAnsi="仿宋" w:eastAsia="仿宋" w:cs="仿宋"/>
                <w:sz w:val="24"/>
              </w:rPr>
            </w:pPr>
            <w:r>
              <w:rPr>
                <w:rFonts w:hint="eastAsia" w:ascii="仿宋" w:hAnsi="仿宋" w:eastAsia="仿宋" w:cs="仿宋"/>
                <w:sz w:val="24"/>
              </w:rPr>
              <w:t>3. 提供同版本数据库迁移、数据备份与恢复服务，配合采购人完成数据备份有效性验证，重点保障电子票据数据、收费数据的安全性；</w:t>
            </w:r>
          </w:p>
          <w:p w14:paraId="5BF63F2B">
            <w:pPr>
              <w:snapToGrid w:val="0"/>
              <w:spacing w:line="360" w:lineRule="auto"/>
              <w:rPr>
                <w:rFonts w:ascii="仿宋" w:hAnsi="仿宋" w:eastAsia="仿宋" w:cs="仿宋"/>
                <w:sz w:val="24"/>
              </w:rPr>
            </w:pPr>
            <w:r>
              <w:rPr>
                <w:rFonts w:hint="eastAsia" w:ascii="仿宋" w:hAnsi="仿宋" w:eastAsia="仿宋" w:cs="仿宋"/>
                <w:sz w:val="24"/>
              </w:rPr>
              <w:t>4. 针对巡检发现的问题，完成数据库性能优化、参数调整，保障数据库持续处于最佳运行状态；</w:t>
            </w:r>
          </w:p>
          <w:p w14:paraId="0A84E681">
            <w:pPr>
              <w:snapToGrid w:val="0"/>
              <w:spacing w:line="360" w:lineRule="auto"/>
              <w:rPr>
                <w:rFonts w:ascii="仿宋" w:hAnsi="仿宋" w:eastAsia="仿宋" w:cs="仿宋"/>
                <w:sz w:val="24"/>
              </w:rPr>
            </w:pPr>
            <w:r>
              <w:rPr>
                <w:rFonts w:hint="eastAsia" w:ascii="仿宋" w:hAnsi="仿宋" w:eastAsia="仿宋" w:cs="仿宋"/>
                <w:sz w:val="24"/>
              </w:rPr>
              <w:t>5. 数据库故障的应急处置，保障电子票据数据、患者信息、收费数据不丢失、不泄露、不篡改。</w:t>
            </w:r>
          </w:p>
        </w:tc>
        <w:tc>
          <w:tcPr>
            <w:tcW w:w="634" w:type="pct"/>
            <w:tcMar>
              <w:top w:w="60" w:type="dxa"/>
              <w:left w:w="120" w:type="dxa"/>
              <w:bottom w:w="30" w:type="dxa"/>
              <w:right w:w="120" w:type="dxa"/>
            </w:tcMar>
            <w:vAlign w:val="center"/>
          </w:tcPr>
          <w:p w14:paraId="076F5FF2">
            <w:pPr>
              <w:snapToGrid w:val="0"/>
              <w:spacing w:line="360" w:lineRule="auto"/>
              <w:jc w:val="center"/>
              <w:rPr>
                <w:rFonts w:ascii="仿宋" w:hAnsi="仿宋" w:eastAsia="仿宋" w:cs="仿宋"/>
                <w:sz w:val="24"/>
              </w:rPr>
            </w:pPr>
            <w:r>
              <w:rPr>
                <w:rFonts w:hint="eastAsia" w:ascii="仿宋" w:hAnsi="仿宋" w:eastAsia="仿宋" w:cs="仿宋"/>
                <w:sz w:val="24"/>
              </w:rPr>
              <w:t>热线服务、安全远程服务、现场服务</w:t>
            </w:r>
          </w:p>
        </w:tc>
        <w:tc>
          <w:tcPr>
            <w:tcW w:w="714" w:type="pct"/>
            <w:tcMar>
              <w:top w:w="60" w:type="dxa"/>
              <w:left w:w="120" w:type="dxa"/>
              <w:bottom w:w="30" w:type="dxa"/>
              <w:right w:w="120" w:type="dxa"/>
            </w:tcMar>
            <w:vAlign w:val="center"/>
          </w:tcPr>
          <w:p w14:paraId="057824BC">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不限次数，每月至少1次全量巡检，每季度至少1次性能优化，每年至少2次备份恢复演练</w:t>
            </w:r>
          </w:p>
        </w:tc>
      </w:tr>
      <w:tr w14:paraId="305EC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0A173794">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634" w:type="pct"/>
            <w:tcMar>
              <w:top w:w="60" w:type="dxa"/>
              <w:left w:w="120" w:type="dxa"/>
              <w:bottom w:w="30" w:type="dxa"/>
              <w:right w:w="120" w:type="dxa"/>
            </w:tcMar>
            <w:vAlign w:val="center"/>
          </w:tcPr>
          <w:p w14:paraId="55C16EA0">
            <w:pPr>
              <w:snapToGrid w:val="0"/>
              <w:spacing w:line="360" w:lineRule="auto"/>
              <w:jc w:val="center"/>
              <w:rPr>
                <w:rFonts w:ascii="仿宋" w:hAnsi="仿宋" w:eastAsia="仿宋" w:cs="仿宋"/>
                <w:sz w:val="24"/>
              </w:rPr>
            </w:pPr>
            <w:r>
              <w:rPr>
                <w:rFonts w:hint="eastAsia" w:ascii="仿宋" w:hAnsi="仿宋" w:eastAsia="仿宋" w:cs="仿宋"/>
                <w:sz w:val="24"/>
              </w:rPr>
              <w:t>信息系统升级与合规更新服务</w:t>
            </w:r>
          </w:p>
        </w:tc>
        <w:tc>
          <w:tcPr>
            <w:tcW w:w="2698" w:type="pct"/>
            <w:tcMar>
              <w:top w:w="60" w:type="dxa"/>
              <w:left w:w="120" w:type="dxa"/>
              <w:bottom w:w="30" w:type="dxa"/>
              <w:right w:w="120" w:type="dxa"/>
            </w:tcMar>
            <w:vAlign w:val="center"/>
          </w:tcPr>
          <w:p w14:paraId="624C3389">
            <w:pPr>
              <w:snapToGrid w:val="0"/>
              <w:spacing w:line="360" w:lineRule="auto"/>
              <w:rPr>
                <w:rFonts w:ascii="仿宋" w:hAnsi="仿宋" w:eastAsia="仿宋" w:cs="仿宋"/>
                <w:sz w:val="24"/>
              </w:rPr>
            </w:pPr>
            <w:r>
              <w:rPr>
                <w:rFonts w:hint="eastAsia" w:ascii="仿宋" w:hAnsi="仿宋" w:eastAsia="仿宋" w:cs="仿宋"/>
                <w:sz w:val="24"/>
              </w:rPr>
              <w:t>1. 依据国家、省、市卫健、财政、医保、网信等部门新增或变更的政策法规、标准规范（如电子票据样式调整、数据上报要求变更等），免费、及时完成系统的合规性适配与更新服务，确保系统符合最新监管要求；</w:t>
            </w:r>
          </w:p>
          <w:p w14:paraId="2D716FC0">
            <w:pPr>
              <w:snapToGrid w:val="0"/>
              <w:spacing w:line="360" w:lineRule="auto"/>
              <w:rPr>
                <w:rFonts w:ascii="仿宋" w:hAnsi="仿宋" w:eastAsia="仿宋" w:cs="仿宋"/>
                <w:sz w:val="24"/>
              </w:rPr>
            </w:pPr>
            <w:r>
              <w:rPr>
                <w:rFonts w:hint="eastAsia" w:ascii="仿宋" w:hAnsi="仿宋" w:eastAsia="仿宋" w:cs="仿宋"/>
                <w:sz w:val="24"/>
              </w:rPr>
              <w:t>2. 提供系统同版本内的免费升级、功能优化服务，组织专业技术人员完成升级方案制定、测试、上线全流程工作，确保升级过程不影响医院正常收费业务及票据流转；</w:t>
            </w:r>
          </w:p>
          <w:p w14:paraId="6A59048F">
            <w:pPr>
              <w:snapToGrid w:val="0"/>
              <w:spacing w:line="360" w:lineRule="auto"/>
              <w:rPr>
                <w:rFonts w:ascii="仿宋" w:hAnsi="仿宋" w:eastAsia="仿宋" w:cs="仿宋"/>
                <w:sz w:val="24"/>
              </w:rPr>
            </w:pPr>
            <w:r>
              <w:rPr>
                <w:rFonts w:hint="eastAsia" w:ascii="仿宋" w:hAnsi="仿宋" w:eastAsia="仿宋" w:cs="仿宋"/>
                <w:sz w:val="24"/>
              </w:rPr>
              <w:t>3. 定期完成系统安全补丁、漏洞修复包的安装与调试，每月完成高危漏洞排查与修复；</w:t>
            </w:r>
          </w:p>
          <w:p w14:paraId="503A79AE">
            <w:pPr>
              <w:snapToGrid w:val="0"/>
              <w:spacing w:line="360" w:lineRule="auto"/>
              <w:rPr>
                <w:rFonts w:ascii="仿宋" w:hAnsi="仿宋" w:eastAsia="仿宋" w:cs="仿宋"/>
                <w:sz w:val="24"/>
              </w:rPr>
            </w:pPr>
            <w:r>
              <w:rPr>
                <w:rFonts w:hint="eastAsia" w:ascii="仿宋" w:hAnsi="仿宋" w:eastAsia="仿宋" w:cs="仿宋"/>
                <w:sz w:val="24"/>
              </w:rPr>
              <w:t>4. 配合采购人完成网络安全等级保护测评、数据安全检查等相关工作，完成对应整改与系统适配。</w:t>
            </w:r>
          </w:p>
        </w:tc>
        <w:tc>
          <w:tcPr>
            <w:tcW w:w="634" w:type="pct"/>
            <w:tcMar>
              <w:top w:w="60" w:type="dxa"/>
              <w:left w:w="120" w:type="dxa"/>
              <w:bottom w:w="30" w:type="dxa"/>
              <w:right w:w="120" w:type="dxa"/>
            </w:tcMar>
            <w:vAlign w:val="center"/>
          </w:tcPr>
          <w:p w14:paraId="411DF926">
            <w:pPr>
              <w:snapToGrid w:val="0"/>
              <w:spacing w:line="360" w:lineRule="auto"/>
              <w:jc w:val="center"/>
              <w:rPr>
                <w:rFonts w:ascii="仿宋" w:hAnsi="仿宋" w:eastAsia="仿宋" w:cs="仿宋"/>
                <w:sz w:val="24"/>
              </w:rPr>
            </w:pPr>
            <w:r>
              <w:rPr>
                <w:rFonts w:hint="eastAsia" w:ascii="仿宋" w:hAnsi="仿宋" w:eastAsia="仿宋" w:cs="仿宋"/>
                <w:sz w:val="24"/>
              </w:rPr>
              <w:t>现场服务为主、远程辅助</w:t>
            </w:r>
          </w:p>
        </w:tc>
        <w:tc>
          <w:tcPr>
            <w:tcW w:w="714" w:type="pct"/>
            <w:tcMar>
              <w:top w:w="60" w:type="dxa"/>
              <w:left w:w="120" w:type="dxa"/>
              <w:bottom w:w="30" w:type="dxa"/>
              <w:right w:w="120" w:type="dxa"/>
            </w:tcMar>
            <w:vAlign w:val="center"/>
          </w:tcPr>
          <w:p w14:paraId="1936A7A9">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不限次数，每月至少1次安全补丁更新，政策/标准变更后10个工作日内完成合规适配</w:t>
            </w:r>
          </w:p>
        </w:tc>
      </w:tr>
      <w:tr w14:paraId="5136D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4BF414B6">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634" w:type="pct"/>
            <w:tcMar>
              <w:top w:w="60" w:type="dxa"/>
              <w:left w:w="120" w:type="dxa"/>
              <w:bottom w:w="30" w:type="dxa"/>
              <w:right w:w="120" w:type="dxa"/>
            </w:tcMar>
            <w:vAlign w:val="center"/>
          </w:tcPr>
          <w:p w14:paraId="1332517D">
            <w:pPr>
              <w:snapToGrid w:val="0"/>
              <w:spacing w:line="360" w:lineRule="auto"/>
              <w:jc w:val="center"/>
              <w:rPr>
                <w:rFonts w:ascii="仿宋" w:hAnsi="仿宋" w:eastAsia="仿宋" w:cs="仿宋"/>
                <w:sz w:val="24"/>
              </w:rPr>
            </w:pPr>
            <w:r>
              <w:rPr>
                <w:rFonts w:hint="eastAsia" w:ascii="仿宋" w:hAnsi="仿宋" w:eastAsia="仿宋" w:cs="仿宋"/>
                <w:sz w:val="24"/>
              </w:rPr>
              <w:t>票据相关专项服务</w:t>
            </w:r>
          </w:p>
        </w:tc>
        <w:tc>
          <w:tcPr>
            <w:tcW w:w="2698" w:type="pct"/>
            <w:tcMar>
              <w:top w:w="60" w:type="dxa"/>
              <w:left w:w="120" w:type="dxa"/>
              <w:bottom w:w="30" w:type="dxa"/>
              <w:right w:w="120" w:type="dxa"/>
            </w:tcMar>
            <w:vAlign w:val="center"/>
          </w:tcPr>
          <w:p w14:paraId="32475B64">
            <w:pPr>
              <w:snapToGrid w:val="0"/>
              <w:spacing w:line="360" w:lineRule="auto"/>
              <w:rPr>
                <w:rFonts w:ascii="仿宋" w:hAnsi="仿宋" w:eastAsia="仿宋" w:cs="仿宋"/>
                <w:sz w:val="24"/>
              </w:rPr>
            </w:pPr>
            <w:r>
              <w:rPr>
                <w:rFonts w:hint="eastAsia" w:ascii="仿宋" w:hAnsi="仿宋" w:eastAsia="仿宋" w:cs="仿宋"/>
                <w:sz w:val="24"/>
              </w:rPr>
              <w:t>1. 异常票据处置：针对开具错误、作废失败、推送异常等各类异常票据，提供技术支持，协助完成手动处置、核销、补开等操作；</w:t>
            </w:r>
          </w:p>
          <w:p w14:paraId="394057BE">
            <w:pPr>
              <w:snapToGrid w:val="0"/>
              <w:spacing w:line="360" w:lineRule="auto"/>
              <w:rPr>
                <w:rFonts w:ascii="仿宋" w:hAnsi="仿宋" w:eastAsia="仿宋" w:cs="仿宋"/>
                <w:sz w:val="24"/>
              </w:rPr>
            </w:pPr>
            <w:r>
              <w:rPr>
                <w:rFonts w:hint="eastAsia" w:ascii="仿宋" w:hAnsi="仿宋" w:eastAsia="仿宋" w:cs="仿宋"/>
                <w:sz w:val="24"/>
              </w:rPr>
              <w:t>2. 票据对账支持：配合医院财务部门完成电子票据与收费数据的对账工作，提供技术支撑，协助排查对账差异；</w:t>
            </w:r>
          </w:p>
          <w:p w14:paraId="46806582">
            <w:pPr>
              <w:snapToGrid w:val="0"/>
              <w:spacing w:line="360" w:lineRule="auto"/>
              <w:rPr>
                <w:rFonts w:ascii="仿宋" w:hAnsi="仿宋" w:eastAsia="仿宋" w:cs="仿宋"/>
                <w:sz w:val="24"/>
              </w:rPr>
            </w:pPr>
            <w:r>
              <w:rPr>
                <w:rFonts w:hint="eastAsia" w:ascii="仿宋" w:hAnsi="仿宋" w:eastAsia="仿宋" w:cs="仿宋"/>
                <w:sz w:val="24"/>
              </w:rPr>
              <w:t>3. 票据归档管理：保障电子票据归档的及时性、完整性，协助采购人完成票据归档核查、调阅等工作；</w:t>
            </w:r>
          </w:p>
          <w:p w14:paraId="7AAFDCA9">
            <w:pPr>
              <w:snapToGrid w:val="0"/>
              <w:spacing w:line="360" w:lineRule="auto"/>
              <w:rPr>
                <w:rFonts w:ascii="仿宋" w:hAnsi="仿宋" w:eastAsia="仿宋" w:cs="仿宋"/>
                <w:sz w:val="24"/>
              </w:rPr>
            </w:pPr>
            <w:r>
              <w:rPr>
                <w:rFonts w:hint="eastAsia" w:ascii="仿宋" w:hAnsi="仿宋" w:eastAsia="仿宋" w:cs="仿宋"/>
                <w:sz w:val="24"/>
              </w:rPr>
              <w:t>4. 财政对接支撑：配合采购人完成与财政部门的电子票据相关对接工作，及时响应接口调整、数据同步等需求。</w:t>
            </w:r>
          </w:p>
        </w:tc>
        <w:tc>
          <w:tcPr>
            <w:tcW w:w="634" w:type="pct"/>
            <w:tcMar>
              <w:top w:w="60" w:type="dxa"/>
              <w:left w:w="120" w:type="dxa"/>
              <w:bottom w:w="30" w:type="dxa"/>
              <w:right w:w="120" w:type="dxa"/>
            </w:tcMar>
            <w:vAlign w:val="center"/>
          </w:tcPr>
          <w:p w14:paraId="69BC42E0">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w:t>
            </w:r>
          </w:p>
        </w:tc>
        <w:tc>
          <w:tcPr>
            <w:tcW w:w="714" w:type="pct"/>
            <w:tcMar>
              <w:top w:w="60" w:type="dxa"/>
              <w:left w:w="120" w:type="dxa"/>
              <w:bottom w:w="30" w:type="dxa"/>
              <w:right w:w="120" w:type="dxa"/>
            </w:tcMar>
            <w:vAlign w:val="center"/>
          </w:tcPr>
          <w:p w14:paraId="1EEAF56E">
            <w:pPr>
              <w:snapToGrid w:val="0"/>
              <w:spacing w:line="360" w:lineRule="auto"/>
              <w:jc w:val="center"/>
              <w:rPr>
                <w:rFonts w:ascii="仿宋" w:hAnsi="仿宋" w:eastAsia="仿宋" w:cs="仿宋"/>
                <w:sz w:val="24"/>
              </w:rPr>
            </w:pPr>
            <w:r>
              <w:rPr>
                <w:rFonts w:hint="eastAsia" w:ascii="仿宋" w:hAnsi="仿宋" w:eastAsia="仿宋" w:cs="仿宋"/>
                <w:sz w:val="24"/>
              </w:rPr>
              <w:t>不限次数，对账期、财政检查期按需提供专项支撑</w:t>
            </w:r>
          </w:p>
        </w:tc>
      </w:tr>
      <w:tr w14:paraId="7074B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2CB6C2C0">
            <w:pPr>
              <w:snapToGrid w:val="0"/>
              <w:spacing w:line="360" w:lineRule="auto"/>
              <w:jc w:val="center"/>
              <w:rPr>
                <w:rFonts w:ascii="仿宋" w:hAnsi="仿宋" w:eastAsia="仿宋" w:cs="仿宋"/>
                <w:sz w:val="24"/>
              </w:rPr>
            </w:pPr>
            <w:r>
              <w:rPr>
                <w:rFonts w:hint="eastAsia" w:ascii="仿宋" w:hAnsi="仿宋" w:eastAsia="仿宋" w:cs="仿宋"/>
                <w:sz w:val="24"/>
              </w:rPr>
              <w:t>5</w:t>
            </w:r>
          </w:p>
        </w:tc>
        <w:tc>
          <w:tcPr>
            <w:tcW w:w="634" w:type="pct"/>
            <w:tcMar>
              <w:top w:w="60" w:type="dxa"/>
              <w:left w:w="120" w:type="dxa"/>
              <w:bottom w:w="30" w:type="dxa"/>
              <w:right w:w="120" w:type="dxa"/>
            </w:tcMar>
            <w:vAlign w:val="center"/>
          </w:tcPr>
          <w:p w14:paraId="07EF3286">
            <w:pPr>
              <w:snapToGrid w:val="0"/>
              <w:spacing w:line="360" w:lineRule="auto"/>
              <w:jc w:val="center"/>
              <w:rPr>
                <w:rFonts w:ascii="仿宋" w:hAnsi="仿宋" w:eastAsia="仿宋" w:cs="仿宋"/>
                <w:sz w:val="24"/>
              </w:rPr>
            </w:pPr>
            <w:r>
              <w:rPr>
                <w:rFonts w:hint="eastAsia" w:ascii="仿宋" w:hAnsi="仿宋" w:eastAsia="仿宋" w:cs="仿宋"/>
                <w:sz w:val="24"/>
              </w:rPr>
              <w:t>网络安全与数据安全服务</w:t>
            </w:r>
          </w:p>
        </w:tc>
        <w:tc>
          <w:tcPr>
            <w:tcW w:w="2698" w:type="pct"/>
            <w:tcMar>
              <w:top w:w="60" w:type="dxa"/>
              <w:left w:w="120" w:type="dxa"/>
              <w:bottom w:w="30" w:type="dxa"/>
              <w:right w:w="120" w:type="dxa"/>
            </w:tcMar>
            <w:vAlign w:val="center"/>
          </w:tcPr>
          <w:p w14:paraId="529B1B48">
            <w:pPr>
              <w:snapToGrid w:val="0"/>
              <w:spacing w:line="360" w:lineRule="auto"/>
              <w:rPr>
                <w:rFonts w:ascii="仿宋" w:hAnsi="仿宋" w:eastAsia="仿宋" w:cs="仿宋"/>
                <w:sz w:val="24"/>
              </w:rPr>
            </w:pPr>
            <w:r>
              <w:rPr>
                <w:rFonts w:hint="eastAsia" w:ascii="仿宋" w:hAnsi="仿宋" w:eastAsia="仿宋" w:cs="仿宋"/>
                <w:sz w:val="24"/>
              </w:rPr>
              <w:t>1. 严格根据《网络安全法》《数据安全法》《个人信息保护法》《发票管理办法》及相关法律法规，为医院提供全流程网络安全与数据安全服务；</w:t>
            </w:r>
          </w:p>
          <w:p w14:paraId="58CC5F1B">
            <w:pPr>
              <w:snapToGrid w:val="0"/>
              <w:spacing w:line="360" w:lineRule="auto"/>
              <w:rPr>
                <w:rFonts w:ascii="仿宋" w:hAnsi="仿宋" w:eastAsia="仿宋" w:cs="仿宋"/>
                <w:sz w:val="24"/>
              </w:rPr>
            </w:pPr>
            <w:r>
              <w:rPr>
                <w:rFonts w:hint="eastAsia" w:ascii="仿宋" w:hAnsi="仿宋" w:eastAsia="仿宋" w:cs="仿宋"/>
                <w:sz w:val="24"/>
              </w:rPr>
              <w:t>2. 网络安全服务包含且不限于：漏洞修复、安全问题整改、安全风险排查、入侵检测与防御等服务；</w:t>
            </w:r>
          </w:p>
          <w:p w14:paraId="7047E2DD">
            <w:pPr>
              <w:snapToGrid w:val="0"/>
              <w:spacing w:line="360" w:lineRule="auto"/>
              <w:rPr>
                <w:rFonts w:ascii="仿宋" w:hAnsi="仿宋" w:eastAsia="仿宋" w:cs="仿宋"/>
                <w:sz w:val="24"/>
              </w:rPr>
            </w:pPr>
            <w:r>
              <w:rPr>
                <w:rFonts w:hint="eastAsia" w:ascii="仿宋" w:hAnsi="仿宋" w:eastAsia="仿宋" w:cs="仿宋"/>
                <w:sz w:val="24"/>
              </w:rPr>
              <w:t>3. 数据安全服务包含且不限于：数据加密、数据备份与恢复、数据库安全审计、电子票据数据全生命周期保护、患者个人信息保护等服务，确保数据符合财政数据安全要求；</w:t>
            </w:r>
          </w:p>
          <w:p w14:paraId="6D5CA04F">
            <w:pPr>
              <w:snapToGrid w:val="0"/>
              <w:spacing w:line="360" w:lineRule="auto"/>
              <w:rPr>
                <w:rFonts w:ascii="仿宋" w:hAnsi="仿宋" w:eastAsia="仿宋" w:cs="仿宋"/>
                <w:sz w:val="24"/>
              </w:rPr>
            </w:pPr>
            <w:r>
              <w:rPr>
                <w:rFonts w:hint="eastAsia" w:ascii="仿宋" w:hAnsi="仿宋" w:eastAsia="仿宋" w:cs="仿宋"/>
                <w:sz w:val="24"/>
              </w:rPr>
              <w:t>4. 配合采购人完成数据安全检查、网络安全审计、等保测评、财政数据核查等相关工作。</w:t>
            </w:r>
          </w:p>
        </w:tc>
        <w:tc>
          <w:tcPr>
            <w:tcW w:w="634" w:type="pct"/>
            <w:tcMar>
              <w:top w:w="60" w:type="dxa"/>
              <w:left w:w="120" w:type="dxa"/>
              <w:bottom w:w="30" w:type="dxa"/>
              <w:right w:w="120" w:type="dxa"/>
            </w:tcMar>
            <w:vAlign w:val="center"/>
          </w:tcPr>
          <w:p w14:paraId="1C63D51B">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w:t>
            </w:r>
          </w:p>
        </w:tc>
        <w:tc>
          <w:tcPr>
            <w:tcW w:w="714" w:type="pct"/>
            <w:tcMar>
              <w:top w:w="60" w:type="dxa"/>
              <w:left w:w="120" w:type="dxa"/>
              <w:bottom w:w="30" w:type="dxa"/>
              <w:right w:w="120" w:type="dxa"/>
            </w:tcMar>
            <w:vAlign w:val="center"/>
          </w:tcPr>
          <w:p w14:paraId="34E75EBA">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不限次数，每月至少1次安全风险排查</w:t>
            </w:r>
          </w:p>
        </w:tc>
      </w:tr>
      <w:tr w14:paraId="02158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500AD828">
            <w:pPr>
              <w:snapToGrid w:val="0"/>
              <w:spacing w:line="360" w:lineRule="auto"/>
              <w:jc w:val="center"/>
              <w:rPr>
                <w:rFonts w:ascii="仿宋" w:hAnsi="仿宋" w:eastAsia="仿宋" w:cs="仿宋"/>
                <w:sz w:val="24"/>
              </w:rPr>
            </w:pPr>
            <w:r>
              <w:rPr>
                <w:rFonts w:hint="eastAsia" w:ascii="仿宋" w:hAnsi="仿宋" w:eastAsia="仿宋" w:cs="仿宋"/>
                <w:sz w:val="24"/>
              </w:rPr>
              <w:t>6</w:t>
            </w:r>
          </w:p>
        </w:tc>
        <w:tc>
          <w:tcPr>
            <w:tcW w:w="634" w:type="pct"/>
            <w:tcMar>
              <w:top w:w="60" w:type="dxa"/>
              <w:left w:w="120" w:type="dxa"/>
              <w:bottom w:w="30" w:type="dxa"/>
              <w:right w:w="120" w:type="dxa"/>
            </w:tcMar>
            <w:vAlign w:val="center"/>
          </w:tcPr>
          <w:p w14:paraId="61F08511">
            <w:pPr>
              <w:snapToGrid w:val="0"/>
              <w:spacing w:line="360" w:lineRule="auto"/>
              <w:jc w:val="center"/>
              <w:rPr>
                <w:rFonts w:ascii="仿宋" w:hAnsi="仿宋" w:eastAsia="仿宋" w:cs="仿宋"/>
                <w:sz w:val="24"/>
              </w:rPr>
            </w:pPr>
            <w:r>
              <w:rPr>
                <w:rFonts w:hint="eastAsia" w:ascii="仿宋" w:hAnsi="仿宋" w:eastAsia="仿宋" w:cs="仿宋"/>
                <w:sz w:val="24"/>
              </w:rPr>
              <w:t>人员培训服务</w:t>
            </w:r>
          </w:p>
        </w:tc>
        <w:tc>
          <w:tcPr>
            <w:tcW w:w="2698" w:type="pct"/>
            <w:tcMar>
              <w:top w:w="60" w:type="dxa"/>
              <w:left w:w="120" w:type="dxa"/>
              <w:bottom w:w="30" w:type="dxa"/>
              <w:right w:w="120" w:type="dxa"/>
            </w:tcMar>
            <w:vAlign w:val="center"/>
          </w:tcPr>
          <w:p w14:paraId="0FC857F2">
            <w:pPr>
              <w:snapToGrid w:val="0"/>
              <w:spacing w:line="360" w:lineRule="auto"/>
              <w:rPr>
                <w:rFonts w:ascii="仿宋" w:hAnsi="仿宋" w:eastAsia="仿宋" w:cs="仿宋"/>
                <w:sz w:val="24"/>
              </w:rPr>
            </w:pPr>
            <w:r>
              <w:rPr>
                <w:rFonts w:hint="eastAsia" w:ascii="仿宋" w:hAnsi="仿宋" w:eastAsia="仿宋" w:cs="仿宋"/>
                <w:sz w:val="24"/>
              </w:rPr>
              <w:t>1. 针对医院管理岗、收费岗、财务岗、信息科技术岗，分别制定差异化培训计划，编制标准化培训教材与操作手册；</w:t>
            </w:r>
          </w:p>
          <w:p w14:paraId="29B39B23">
            <w:pPr>
              <w:snapToGrid w:val="0"/>
              <w:spacing w:line="360" w:lineRule="auto"/>
              <w:rPr>
                <w:rFonts w:ascii="仿宋" w:hAnsi="仿宋" w:eastAsia="仿宋" w:cs="仿宋"/>
                <w:sz w:val="24"/>
              </w:rPr>
            </w:pPr>
            <w:r>
              <w:rPr>
                <w:rFonts w:hint="eastAsia" w:ascii="仿宋" w:hAnsi="仿宋" w:eastAsia="仿宋" w:cs="仿宋"/>
                <w:sz w:val="24"/>
              </w:rPr>
              <w:t>2. 培训内容包括系统操作规范、常见故障处置、电子票据合规要求、数据安全与个人信息保护、财政对接注意事项、应急处置流程等；</w:t>
            </w:r>
          </w:p>
          <w:p w14:paraId="000B7776">
            <w:pPr>
              <w:snapToGrid w:val="0"/>
              <w:spacing w:line="360" w:lineRule="auto"/>
              <w:rPr>
                <w:rFonts w:ascii="仿宋" w:hAnsi="仿宋" w:eastAsia="仿宋" w:cs="仿宋"/>
                <w:sz w:val="24"/>
              </w:rPr>
            </w:pPr>
            <w:r>
              <w:rPr>
                <w:rFonts w:hint="eastAsia" w:ascii="仿宋" w:hAnsi="仿宋" w:eastAsia="仿宋" w:cs="仿宋"/>
                <w:sz w:val="24"/>
              </w:rPr>
              <w:t>3. 培训完成后组织考核，确保参训人员掌握对应技能；</w:t>
            </w:r>
          </w:p>
          <w:p w14:paraId="1323C803">
            <w:pPr>
              <w:snapToGrid w:val="0"/>
              <w:spacing w:line="360" w:lineRule="auto"/>
              <w:rPr>
                <w:rFonts w:ascii="仿宋" w:hAnsi="仿宋" w:eastAsia="仿宋" w:cs="仿宋"/>
                <w:sz w:val="24"/>
              </w:rPr>
            </w:pPr>
            <w:r>
              <w:rPr>
                <w:rFonts w:hint="eastAsia" w:ascii="仿宋" w:hAnsi="仿宋" w:eastAsia="仿宋" w:cs="仿宋"/>
                <w:sz w:val="24"/>
              </w:rPr>
              <w:t>4. 针对系统升级、新功能上线、新员工入职、政策调整等场景，提供即时专项培训服务。</w:t>
            </w:r>
          </w:p>
        </w:tc>
        <w:tc>
          <w:tcPr>
            <w:tcW w:w="634" w:type="pct"/>
            <w:tcMar>
              <w:top w:w="60" w:type="dxa"/>
              <w:left w:w="120" w:type="dxa"/>
              <w:bottom w:w="30" w:type="dxa"/>
              <w:right w:w="120" w:type="dxa"/>
            </w:tcMar>
            <w:vAlign w:val="center"/>
          </w:tcPr>
          <w:p w14:paraId="2D3DBBCB">
            <w:pPr>
              <w:snapToGrid w:val="0"/>
              <w:spacing w:line="360" w:lineRule="auto"/>
              <w:jc w:val="center"/>
              <w:rPr>
                <w:rFonts w:ascii="仿宋" w:hAnsi="仿宋" w:eastAsia="仿宋" w:cs="仿宋"/>
                <w:sz w:val="24"/>
              </w:rPr>
            </w:pPr>
            <w:r>
              <w:rPr>
                <w:rFonts w:hint="eastAsia" w:ascii="仿宋" w:hAnsi="仿宋" w:eastAsia="仿宋" w:cs="仿宋"/>
                <w:sz w:val="24"/>
              </w:rPr>
              <w:t>现场培训、远程线上培训</w:t>
            </w:r>
          </w:p>
        </w:tc>
        <w:tc>
          <w:tcPr>
            <w:tcW w:w="714" w:type="pct"/>
            <w:tcMar>
              <w:top w:w="60" w:type="dxa"/>
              <w:left w:w="120" w:type="dxa"/>
              <w:bottom w:w="30" w:type="dxa"/>
              <w:right w:w="120" w:type="dxa"/>
            </w:tcMar>
            <w:vAlign w:val="center"/>
          </w:tcPr>
          <w:p w14:paraId="3526031E">
            <w:pPr>
              <w:snapToGrid w:val="0"/>
              <w:spacing w:line="360" w:lineRule="auto"/>
              <w:jc w:val="center"/>
              <w:rPr>
                <w:rFonts w:ascii="仿宋" w:hAnsi="仿宋" w:eastAsia="仿宋" w:cs="仿宋"/>
                <w:sz w:val="24"/>
              </w:rPr>
            </w:pPr>
            <w:r>
              <w:rPr>
                <w:rFonts w:hint="eastAsia" w:ascii="仿宋" w:hAnsi="仿宋" w:eastAsia="仿宋" w:cs="仿宋"/>
                <w:sz w:val="24"/>
              </w:rPr>
              <w:t>全年累计培训不少于20学时，集中培训不少于2次，专项培训不限次数</w:t>
            </w:r>
          </w:p>
        </w:tc>
      </w:tr>
      <w:tr w14:paraId="4B9EE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7EFEB442">
            <w:pPr>
              <w:snapToGrid w:val="0"/>
              <w:spacing w:line="360" w:lineRule="auto"/>
              <w:jc w:val="center"/>
              <w:rPr>
                <w:rFonts w:ascii="仿宋" w:hAnsi="仿宋" w:eastAsia="仿宋" w:cs="仿宋"/>
                <w:sz w:val="24"/>
              </w:rPr>
            </w:pPr>
            <w:r>
              <w:rPr>
                <w:rFonts w:hint="eastAsia" w:ascii="仿宋" w:hAnsi="仿宋" w:eastAsia="仿宋" w:cs="仿宋"/>
                <w:sz w:val="24"/>
              </w:rPr>
              <w:t>7</w:t>
            </w:r>
          </w:p>
        </w:tc>
        <w:tc>
          <w:tcPr>
            <w:tcW w:w="634" w:type="pct"/>
            <w:tcMar>
              <w:top w:w="60" w:type="dxa"/>
              <w:left w:w="120" w:type="dxa"/>
              <w:bottom w:w="30" w:type="dxa"/>
              <w:right w:w="120" w:type="dxa"/>
            </w:tcMar>
            <w:vAlign w:val="center"/>
          </w:tcPr>
          <w:p w14:paraId="231404DC">
            <w:pPr>
              <w:snapToGrid w:val="0"/>
              <w:spacing w:line="360" w:lineRule="auto"/>
              <w:jc w:val="center"/>
              <w:rPr>
                <w:rFonts w:ascii="仿宋" w:hAnsi="仿宋" w:eastAsia="仿宋" w:cs="仿宋"/>
                <w:sz w:val="24"/>
              </w:rPr>
            </w:pPr>
            <w:r>
              <w:rPr>
                <w:rFonts w:hint="eastAsia" w:ascii="仿宋" w:hAnsi="仿宋" w:eastAsia="仿宋" w:cs="仿宋"/>
                <w:sz w:val="24"/>
              </w:rPr>
              <w:t>应急保障服务</w:t>
            </w:r>
          </w:p>
        </w:tc>
        <w:tc>
          <w:tcPr>
            <w:tcW w:w="2698" w:type="pct"/>
            <w:tcMar>
              <w:top w:w="60" w:type="dxa"/>
              <w:left w:w="120" w:type="dxa"/>
              <w:bottom w:w="30" w:type="dxa"/>
              <w:right w:w="120" w:type="dxa"/>
            </w:tcMar>
            <w:vAlign w:val="center"/>
          </w:tcPr>
          <w:p w14:paraId="2D9BC3E1">
            <w:pPr>
              <w:snapToGrid w:val="0"/>
              <w:spacing w:line="360" w:lineRule="auto"/>
              <w:rPr>
                <w:rFonts w:ascii="仿宋" w:hAnsi="仿宋" w:eastAsia="仿宋" w:cs="仿宋"/>
                <w:sz w:val="24"/>
              </w:rPr>
            </w:pPr>
            <w:r>
              <w:rPr>
                <w:rFonts w:hint="eastAsia" w:ascii="仿宋" w:hAnsi="仿宋" w:eastAsia="仿宋" w:cs="仿宋"/>
                <w:sz w:val="24"/>
              </w:rPr>
              <w:t>1. 针对系统瘫痪、重大数据安全事件、网络攻击、财政接口中断、收费高峰票据开具异常等突发场景，制定专项应急预案，明确应急处置流程、责任人员、处置方案；</w:t>
            </w:r>
          </w:p>
          <w:p w14:paraId="438BB18A">
            <w:pPr>
              <w:snapToGrid w:val="0"/>
              <w:spacing w:line="360" w:lineRule="auto"/>
              <w:rPr>
                <w:rFonts w:ascii="仿宋" w:hAnsi="仿宋" w:eastAsia="仿宋" w:cs="仿宋"/>
                <w:sz w:val="24"/>
              </w:rPr>
            </w:pPr>
            <w:r>
              <w:rPr>
                <w:rFonts w:hint="eastAsia" w:ascii="仿宋" w:hAnsi="仿宋" w:eastAsia="仿宋" w:cs="仿宋"/>
                <w:sz w:val="24"/>
              </w:rPr>
              <w:t>2. 每年联合采购人组织不少于2次应急演练，优化应急预案，重点演练票据开具中断、数据泄露等场景的处置；</w:t>
            </w:r>
          </w:p>
          <w:p w14:paraId="16CBA9B0">
            <w:pPr>
              <w:snapToGrid w:val="0"/>
              <w:spacing w:line="360" w:lineRule="auto"/>
              <w:rPr>
                <w:rFonts w:ascii="仿宋" w:hAnsi="仿宋" w:eastAsia="仿宋" w:cs="仿宋"/>
                <w:sz w:val="24"/>
              </w:rPr>
            </w:pPr>
            <w:r>
              <w:rPr>
                <w:rFonts w:hint="eastAsia" w:ascii="仿宋" w:hAnsi="仿宋" w:eastAsia="仿宋" w:cs="仿宋"/>
                <w:sz w:val="24"/>
              </w:rPr>
              <w:t>3. 医院就诊高峰、节假日、财政检查期等特殊时段，提供专属驻场保障服务，提前完成系统巡检，全程值守保障系统稳定运行。</w:t>
            </w:r>
          </w:p>
        </w:tc>
        <w:tc>
          <w:tcPr>
            <w:tcW w:w="634" w:type="pct"/>
            <w:tcMar>
              <w:top w:w="60" w:type="dxa"/>
              <w:left w:w="120" w:type="dxa"/>
              <w:bottom w:w="30" w:type="dxa"/>
              <w:right w:w="120" w:type="dxa"/>
            </w:tcMar>
            <w:vAlign w:val="center"/>
          </w:tcPr>
          <w:p w14:paraId="65A38724">
            <w:pPr>
              <w:snapToGrid w:val="0"/>
              <w:spacing w:line="360" w:lineRule="auto"/>
              <w:jc w:val="center"/>
              <w:rPr>
                <w:rFonts w:ascii="仿宋" w:hAnsi="仿宋" w:eastAsia="仿宋" w:cs="仿宋"/>
                <w:sz w:val="24"/>
              </w:rPr>
            </w:pPr>
            <w:r>
              <w:rPr>
                <w:rFonts w:hint="eastAsia" w:ascii="仿宋" w:hAnsi="仿宋" w:eastAsia="仿宋" w:cs="仿宋"/>
                <w:sz w:val="24"/>
              </w:rPr>
              <w:t>现场驻场服务、7×24小时应急响应</w:t>
            </w:r>
          </w:p>
        </w:tc>
        <w:tc>
          <w:tcPr>
            <w:tcW w:w="714" w:type="pct"/>
            <w:tcMar>
              <w:top w:w="60" w:type="dxa"/>
              <w:left w:w="120" w:type="dxa"/>
              <w:bottom w:w="30" w:type="dxa"/>
              <w:right w:w="120" w:type="dxa"/>
            </w:tcMar>
            <w:vAlign w:val="center"/>
          </w:tcPr>
          <w:p w14:paraId="7199E392">
            <w:pPr>
              <w:snapToGrid w:val="0"/>
              <w:spacing w:line="360" w:lineRule="auto"/>
              <w:jc w:val="center"/>
              <w:rPr>
                <w:rFonts w:ascii="仿宋" w:hAnsi="仿宋" w:eastAsia="仿宋" w:cs="仿宋"/>
                <w:sz w:val="24"/>
              </w:rPr>
            </w:pPr>
            <w:r>
              <w:rPr>
                <w:rFonts w:hint="eastAsia" w:ascii="仿宋" w:hAnsi="仿宋" w:eastAsia="仿宋" w:cs="仿宋"/>
                <w:sz w:val="24"/>
              </w:rPr>
              <w:t>每年不少于2次应急演练，特殊时段按需提供驻场保障</w:t>
            </w:r>
          </w:p>
        </w:tc>
      </w:tr>
      <w:tr w14:paraId="0CD25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2E2B02A7">
            <w:pPr>
              <w:snapToGrid w:val="0"/>
              <w:spacing w:line="360" w:lineRule="auto"/>
              <w:jc w:val="center"/>
              <w:rPr>
                <w:rFonts w:ascii="仿宋" w:hAnsi="仿宋" w:eastAsia="仿宋" w:cs="仿宋"/>
                <w:sz w:val="24"/>
              </w:rPr>
            </w:pPr>
            <w:r>
              <w:rPr>
                <w:rFonts w:hint="eastAsia" w:ascii="仿宋" w:hAnsi="仿宋" w:eastAsia="仿宋" w:cs="仿宋"/>
                <w:sz w:val="24"/>
              </w:rPr>
              <w:t>8</w:t>
            </w:r>
          </w:p>
        </w:tc>
        <w:tc>
          <w:tcPr>
            <w:tcW w:w="634" w:type="pct"/>
            <w:tcMar>
              <w:top w:w="60" w:type="dxa"/>
              <w:left w:w="120" w:type="dxa"/>
              <w:bottom w:w="30" w:type="dxa"/>
              <w:right w:w="120" w:type="dxa"/>
            </w:tcMar>
            <w:vAlign w:val="center"/>
          </w:tcPr>
          <w:p w14:paraId="0F078CC4">
            <w:pPr>
              <w:snapToGrid w:val="0"/>
              <w:spacing w:line="360" w:lineRule="auto"/>
              <w:jc w:val="center"/>
              <w:rPr>
                <w:rFonts w:ascii="仿宋" w:hAnsi="仿宋" w:eastAsia="仿宋" w:cs="仿宋"/>
                <w:sz w:val="24"/>
              </w:rPr>
            </w:pPr>
            <w:r>
              <w:rPr>
                <w:rFonts w:hint="eastAsia" w:ascii="仿宋" w:hAnsi="仿宋" w:eastAsia="仿宋" w:cs="仿宋"/>
                <w:sz w:val="24"/>
              </w:rPr>
              <w:t>服务器端国产化替代专项技术服务</w:t>
            </w:r>
          </w:p>
        </w:tc>
        <w:tc>
          <w:tcPr>
            <w:tcW w:w="2698" w:type="pct"/>
            <w:tcMar>
              <w:top w:w="60" w:type="dxa"/>
              <w:left w:w="120" w:type="dxa"/>
              <w:bottom w:w="30" w:type="dxa"/>
              <w:right w:w="120" w:type="dxa"/>
            </w:tcMar>
            <w:vAlign w:val="center"/>
          </w:tcPr>
          <w:p w14:paraId="2C5DDA0E">
            <w:pPr>
              <w:snapToGrid w:val="0"/>
              <w:spacing w:line="360" w:lineRule="auto"/>
              <w:rPr>
                <w:rFonts w:ascii="仿宋" w:hAnsi="仿宋" w:eastAsia="仿宋" w:cs="仿宋"/>
                <w:sz w:val="24"/>
              </w:rPr>
            </w:pPr>
            <w:r>
              <w:rPr>
                <w:rFonts w:hint="eastAsia" w:ascii="仿宋" w:hAnsi="仿宋" w:eastAsia="仿宋" w:cs="仿宋"/>
                <w:sz w:val="24"/>
              </w:rPr>
              <w:t>1. 国产化适配前置评估：针对采购人服务器端国产化替代建设需求，完成现有电子票据管理系统全模块、全功能的国产化环境兼容性评估，覆盖国产服务器硬件、服务器操作系统、数据库、中间件的全栈适配性分析，出具完整的《系统国产化适配评估报告》、《国产化迁移实施方案》、《业务割接与风险应急预案》；</w:t>
            </w:r>
          </w:p>
          <w:p w14:paraId="630FBCEA">
            <w:pPr>
              <w:snapToGrid w:val="0"/>
              <w:spacing w:line="360" w:lineRule="auto"/>
              <w:rPr>
                <w:rFonts w:ascii="仿宋" w:hAnsi="仿宋" w:eastAsia="仿宋" w:cs="仿宋"/>
                <w:sz w:val="24"/>
              </w:rPr>
            </w:pPr>
            <w:r>
              <w:rPr>
                <w:rFonts w:hint="eastAsia" w:ascii="仿宋" w:hAnsi="仿宋" w:eastAsia="仿宋" w:cs="仿宋"/>
                <w:sz w:val="24"/>
              </w:rPr>
              <w:t>2. 原厂级适配改造开发：针对评估发现的兼容性问题，提供系统源代码级的适配改造、功能优化、接口重构服务，确保系统在国产化服务器环境下全功能正常运行、业务流程无断点、数据交互无异常，同时保障系统与院内现有及新增信创/非信创系统、财政外部系统的互联互通，适配改造后系统性能不低于原有非国产化环境水平；</w:t>
            </w:r>
          </w:p>
          <w:p w14:paraId="497DD45A">
            <w:pPr>
              <w:snapToGrid w:val="0"/>
              <w:spacing w:line="360" w:lineRule="auto"/>
              <w:rPr>
                <w:rFonts w:ascii="仿宋" w:hAnsi="仿宋" w:eastAsia="仿宋" w:cs="仿宋"/>
                <w:sz w:val="24"/>
              </w:rPr>
            </w:pPr>
            <w:r>
              <w:rPr>
                <w:rFonts w:hint="eastAsia" w:ascii="仿宋" w:hAnsi="仿宋" w:eastAsia="仿宋" w:cs="仿宋"/>
                <w:sz w:val="24"/>
              </w:rPr>
              <w:t>3. 国产化迁移与割接实施：配合采购人完成国产化测试环境搭建、全量功能测试、压力测试、兼容性测试、安全测试，制定分阶段、零风险的业务割接方案，割接操作安排在非业务高峰时段（夜间、节假日），全程派驻技术人员现场值守，保障迁移过程数据零丢失、零泄露、零篡改，业务中断时长符合医院医疗收费安全管理要求，如出现异常立即启动回滚预案，保障业务连续性；</w:t>
            </w:r>
          </w:p>
          <w:p w14:paraId="5A57A092">
            <w:pPr>
              <w:snapToGrid w:val="0"/>
              <w:spacing w:line="360" w:lineRule="auto"/>
              <w:rPr>
                <w:rFonts w:ascii="仿宋" w:hAnsi="仿宋" w:eastAsia="仿宋" w:cs="仿宋"/>
                <w:sz w:val="24"/>
              </w:rPr>
            </w:pPr>
            <w:r>
              <w:rPr>
                <w:rFonts w:hint="eastAsia" w:ascii="仿宋" w:hAnsi="仿宋" w:eastAsia="仿宋" w:cs="仿宋"/>
                <w:sz w:val="24"/>
              </w:rPr>
              <w:t>4. 国产化环境专项运维保障：系统迁移至国产化服务器环境后，提供专属专项运维服务，包括国产化环境下系统日常巡检、性能优化、故障排查处置、安全补丁适配、漏洞修复、合规性升级，建立国产化环境专属运维台账，针对国产化平台特性优化运维流程，保障系统在国产化服务器环境下持续稳定运行；</w:t>
            </w:r>
          </w:p>
          <w:p w14:paraId="06EDB7EF">
            <w:pPr>
              <w:snapToGrid w:val="0"/>
              <w:spacing w:line="360" w:lineRule="auto"/>
              <w:rPr>
                <w:rFonts w:ascii="仿宋" w:hAnsi="仿宋" w:eastAsia="仿宋" w:cs="仿宋"/>
                <w:sz w:val="24"/>
              </w:rPr>
            </w:pPr>
            <w:r>
              <w:rPr>
                <w:rFonts w:hint="eastAsia" w:ascii="仿宋" w:hAnsi="仿宋" w:eastAsia="仿宋" w:cs="仿宋"/>
                <w:sz w:val="24"/>
              </w:rPr>
              <w:t>5. 合规适配与测评支撑：配合采购人完成信创建设合规验收、网络安全等级保护测评、财政数据安全检查等相关工作，提供系统国产化适配证明、测试报告、技术支撑及整改服务，确保系统符合国家及地方相关政策要求；</w:t>
            </w:r>
          </w:p>
          <w:p w14:paraId="29E91C99">
            <w:pPr>
              <w:snapToGrid w:val="0"/>
              <w:spacing w:line="360" w:lineRule="auto"/>
              <w:rPr>
                <w:rFonts w:ascii="仿宋" w:hAnsi="仿宋" w:eastAsia="仿宋" w:cs="仿宋"/>
                <w:sz w:val="24"/>
              </w:rPr>
            </w:pPr>
            <w:r>
              <w:rPr>
                <w:rFonts w:hint="eastAsia" w:ascii="仿宋" w:hAnsi="仿宋" w:eastAsia="仿宋" w:cs="仿宋"/>
                <w:sz w:val="24"/>
              </w:rPr>
              <w:t>6. 国产化专项培训：针对国产化服务器环境下的系统运维、操作使用、故障应急处置，为采购人信息科技术人员、收费岗、财务岗人员提供专项定制化培训，编制专属培训教材，确保参训人员掌握对应技能。</w:t>
            </w:r>
          </w:p>
        </w:tc>
        <w:tc>
          <w:tcPr>
            <w:tcW w:w="634" w:type="pct"/>
            <w:tcMar>
              <w:top w:w="60" w:type="dxa"/>
              <w:left w:w="120" w:type="dxa"/>
              <w:bottom w:w="30" w:type="dxa"/>
              <w:right w:w="120" w:type="dxa"/>
            </w:tcMar>
            <w:vAlign w:val="center"/>
          </w:tcPr>
          <w:p w14:paraId="08967215">
            <w:pPr>
              <w:snapToGrid w:val="0"/>
              <w:spacing w:line="360" w:lineRule="auto"/>
              <w:jc w:val="center"/>
              <w:rPr>
                <w:rFonts w:ascii="仿宋" w:hAnsi="仿宋" w:eastAsia="仿宋" w:cs="仿宋"/>
                <w:sz w:val="24"/>
              </w:rPr>
            </w:pPr>
            <w:r>
              <w:rPr>
                <w:rFonts w:hint="eastAsia" w:ascii="仿宋" w:hAnsi="仿宋" w:eastAsia="仿宋" w:cs="仿宋"/>
                <w:sz w:val="24"/>
              </w:rPr>
              <w:t>现场服务为主、远程辅助服务、专项驻场服务</w:t>
            </w:r>
          </w:p>
        </w:tc>
        <w:tc>
          <w:tcPr>
            <w:tcW w:w="714" w:type="pct"/>
            <w:tcMar>
              <w:top w:w="60" w:type="dxa"/>
              <w:left w:w="120" w:type="dxa"/>
              <w:bottom w:w="30" w:type="dxa"/>
              <w:right w:w="120" w:type="dxa"/>
            </w:tcMar>
            <w:vAlign w:val="center"/>
          </w:tcPr>
          <w:p w14:paraId="699D7247">
            <w:pPr>
              <w:snapToGrid w:val="0"/>
              <w:spacing w:line="360" w:lineRule="auto"/>
              <w:jc w:val="center"/>
              <w:rPr>
                <w:rFonts w:ascii="仿宋" w:hAnsi="仿宋" w:eastAsia="仿宋" w:cs="仿宋"/>
                <w:sz w:val="24"/>
              </w:rPr>
            </w:pPr>
            <w:r>
              <w:rPr>
                <w:rFonts w:hint="eastAsia" w:ascii="仿宋" w:hAnsi="仿宋" w:eastAsia="仿宋" w:cs="仿宋"/>
                <w:sz w:val="24"/>
              </w:rPr>
              <w:t>按需提供全流程服务，服务期内不限响应次数；适配评估与方案编制须在采购人提出需求后15个工作日内完成；迁移实施全流程须配合采购人信创建设时限要求完成；迁移完成后每月至少1次国产化环境专项巡检，每季度至少1次性能优化</w:t>
            </w:r>
          </w:p>
        </w:tc>
      </w:tr>
      <w:tr w14:paraId="517BD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2AF591D7">
            <w:pPr>
              <w:snapToGrid w:val="0"/>
              <w:spacing w:line="360" w:lineRule="auto"/>
              <w:jc w:val="center"/>
              <w:rPr>
                <w:rFonts w:ascii="仿宋" w:hAnsi="仿宋" w:eastAsia="仿宋" w:cs="仿宋"/>
                <w:sz w:val="24"/>
              </w:rPr>
            </w:pPr>
            <w:r>
              <w:rPr>
                <w:rFonts w:hint="eastAsia" w:ascii="仿宋" w:hAnsi="仿宋" w:eastAsia="仿宋" w:cs="仿宋"/>
                <w:sz w:val="24"/>
              </w:rPr>
              <w:t>9</w:t>
            </w:r>
          </w:p>
        </w:tc>
        <w:tc>
          <w:tcPr>
            <w:tcW w:w="634" w:type="pct"/>
            <w:tcMar>
              <w:top w:w="60" w:type="dxa"/>
              <w:left w:w="120" w:type="dxa"/>
              <w:bottom w:w="30" w:type="dxa"/>
              <w:right w:w="120" w:type="dxa"/>
            </w:tcMar>
            <w:vAlign w:val="center"/>
          </w:tcPr>
          <w:p w14:paraId="6AED1D11">
            <w:pPr>
              <w:snapToGrid w:val="0"/>
              <w:spacing w:line="360" w:lineRule="auto"/>
              <w:jc w:val="center"/>
              <w:rPr>
                <w:rFonts w:ascii="仿宋" w:hAnsi="仿宋" w:eastAsia="仿宋" w:cs="仿宋"/>
                <w:sz w:val="24"/>
              </w:rPr>
            </w:pPr>
            <w:r>
              <w:rPr>
                <w:rFonts w:hint="eastAsia" w:ascii="仿宋" w:hAnsi="仿宋" w:eastAsia="仿宋" w:cs="仿宋"/>
                <w:sz w:val="24"/>
              </w:rPr>
              <w:t>运维报告服务</w:t>
            </w:r>
          </w:p>
        </w:tc>
        <w:tc>
          <w:tcPr>
            <w:tcW w:w="2698" w:type="pct"/>
            <w:tcMar>
              <w:top w:w="60" w:type="dxa"/>
              <w:left w:w="120" w:type="dxa"/>
              <w:bottom w:w="30" w:type="dxa"/>
              <w:right w:w="120" w:type="dxa"/>
            </w:tcMar>
            <w:vAlign w:val="center"/>
          </w:tcPr>
          <w:p w14:paraId="52DEF2C7">
            <w:pPr>
              <w:snapToGrid w:val="0"/>
              <w:spacing w:line="360" w:lineRule="auto"/>
              <w:rPr>
                <w:rFonts w:ascii="仿宋" w:hAnsi="仿宋" w:eastAsia="仿宋" w:cs="仿宋"/>
                <w:sz w:val="24"/>
              </w:rPr>
            </w:pPr>
            <w:r>
              <w:rPr>
                <w:rFonts w:hint="eastAsia" w:ascii="仿宋" w:hAnsi="仿宋" w:eastAsia="仿宋" w:cs="仿宋"/>
                <w:sz w:val="24"/>
              </w:rPr>
              <w:t>1. 每季度、每年提交阶段性运维报告，年度报告须包含全年服务总结、系统运行评估、安全合规情况、系统对接情况、下一年度运维优化方案等；</w:t>
            </w:r>
          </w:p>
          <w:p w14:paraId="45F6B939">
            <w:pPr>
              <w:snapToGrid w:val="0"/>
              <w:spacing w:line="360" w:lineRule="auto"/>
              <w:rPr>
                <w:rFonts w:ascii="仿宋" w:hAnsi="仿宋" w:eastAsia="仿宋" w:cs="仿宋"/>
                <w:sz w:val="24"/>
              </w:rPr>
            </w:pPr>
            <w:r>
              <w:rPr>
                <w:rFonts w:hint="eastAsia" w:ascii="仿宋" w:hAnsi="仿宋" w:eastAsia="仿宋" w:cs="仿宋"/>
                <w:sz w:val="24"/>
              </w:rPr>
              <w:t>2. 重大故障、专项工作（如等保测评）单独提交专项报告。</w:t>
            </w:r>
          </w:p>
        </w:tc>
        <w:tc>
          <w:tcPr>
            <w:tcW w:w="634" w:type="pct"/>
            <w:tcMar>
              <w:top w:w="60" w:type="dxa"/>
              <w:left w:w="120" w:type="dxa"/>
              <w:bottom w:w="30" w:type="dxa"/>
              <w:right w:w="120" w:type="dxa"/>
            </w:tcMar>
            <w:vAlign w:val="center"/>
          </w:tcPr>
          <w:p w14:paraId="797663A6">
            <w:pPr>
              <w:snapToGrid w:val="0"/>
              <w:spacing w:line="360" w:lineRule="auto"/>
              <w:jc w:val="center"/>
              <w:rPr>
                <w:rFonts w:ascii="仿宋" w:hAnsi="仿宋" w:eastAsia="仿宋" w:cs="仿宋"/>
                <w:sz w:val="24"/>
              </w:rPr>
            </w:pPr>
            <w:r>
              <w:rPr>
                <w:rFonts w:hint="eastAsia" w:ascii="仿宋" w:hAnsi="仿宋" w:eastAsia="仿宋" w:cs="仿宋"/>
                <w:sz w:val="24"/>
              </w:rPr>
              <w:t>书面盖章报告、电子文档</w:t>
            </w:r>
          </w:p>
        </w:tc>
        <w:tc>
          <w:tcPr>
            <w:tcW w:w="714" w:type="pct"/>
            <w:tcMar>
              <w:top w:w="60" w:type="dxa"/>
              <w:left w:w="120" w:type="dxa"/>
              <w:bottom w:w="30" w:type="dxa"/>
              <w:right w:w="120" w:type="dxa"/>
            </w:tcMar>
            <w:vAlign w:val="center"/>
          </w:tcPr>
          <w:p w14:paraId="223BCB2B">
            <w:pPr>
              <w:snapToGrid w:val="0"/>
              <w:spacing w:line="360" w:lineRule="auto"/>
              <w:jc w:val="center"/>
              <w:rPr>
                <w:rFonts w:ascii="仿宋" w:hAnsi="仿宋" w:eastAsia="仿宋" w:cs="仿宋"/>
                <w:sz w:val="24"/>
              </w:rPr>
            </w:pPr>
            <w:r>
              <w:rPr>
                <w:rFonts w:hint="eastAsia" w:ascii="仿宋" w:hAnsi="仿宋" w:eastAsia="仿宋" w:cs="仿宋"/>
                <w:sz w:val="24"/>
              </w:rPr>
              <w:t>每季度1次季报，每年1次年报，专项报告按需提交</w:t>
            </w:r>
          </w:p>
        </w:tc>
      </w:tr>
    </w:tbl>
    <w:p w14:paraId="4A58E5A7">
      <w:pPr>
        <w:snapToGrid w:val="0"/>
        <w:spacing w:line="360" w:lineRule="auto"/>
        <w:jc w:val="left"/>
        <w:rPr>
          <w:rFonts w:ascii="仿宋" w:hAnsi="仿宋" w:eastAsia="仿宋" w:cs="仿宋"/>
          <w:sz w:val="24"/>
        </w:rPr>
      </w:pPr>
      <w:r>
        <w:rPr>
          <w:rFonts w:hint="eastAsia" w:ascii="仿宋" w:hAnsi="仿宋" w:eastAsia="仿宋" w:cs="仿宋"/>
          <w:b/>
          <w:sz w:val="24"/>
        </w:rPr>
        <w:t>5. 售后服务方案与技术能力要求</w:t>
      </w:r>
    </w:p>
    <w:p w14:paraId="724A03AD">
      <w:pPr>
        <w:snapToGrid w:val="0"/>
        <w:spacing w:line="360" w:lineRule="auto"/>
        <w:jc w:val="left"/>
        <w:rPr>
          <w:rFonts w:ascii="仿宋" w:hAnsi="仿宋" w:eastAsia="仿宋" w:cs="仿宋"/>
          <w:sz w:val="24"/>
        </w:rPr>
      </w:pPr>
      <w:r>
        <w:rPr>
          <w:rFonts w:hint="eastAsia" w:ascii="仿宋" w:hAnsi="仿宋" w:eastAsia="仿宋" w:cs="仿宋"/>
          <w:b/>
          <w:sz w:val="24"/>
        </w:rPr>
        <w:t>5.1 售后服务方案要求</w:t>
      </w:r>
    </w:p>
    <w:p w14:paraId="531EAA1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服务商须根据采购人信息化建设现状、系统使用情况、电子票据业务运行特点，制定详尽、可落地的售后服务方案，方案须至少包含以下内容：</w:t>
      </w:r>
    </w:p>
    <w:p w14:paraId="651C96B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5.1.1 售后运维服务的整体承诺、服务级别保障承诺，明确财政接口对接的专项服务承诺；</w:t>
      </w:r>
    </w:p>
    <w:p w14:paraId="4070496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5.1.2 售后运维服务的详细内容、实施流程、操作规范，重点明确票据故障、接口故障的处置流程；</w:t>
      </w:r>
    </w:p>
    <w:p w14:paraId="2A6F519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5.1.3 各故障等级的应急处置措施、业务连续性保障方案，重点完善电子票据开具中断、数据泄露的应急处置流程；</w:t>
      </w:r>
    </w:p>
    <w:p w14:paraId="4C64697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5.1.4 售后运维服务全流程管理制度、质量管控体系；</w:t>
      </w:r>
    </w:p>
    <w:p w14:paraId="053E592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5.1.5 数据安全事件、系统瘫痪、财政接口中断等突发场景的专项应急预案；</w:t>
      </w:r>
    </w:p>
    <w:p w14:paraId="266F75D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5.1.6 运维服务人员的岗位职责、考核方案、奖惩机制；</w:t>
      </w:r>
    </w:p>
    <w:p w14:paraId="664115B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5.1.7 合规性保障方案、等保合规配合方案、个人信息保护专项方案，以及财政数据安全合规专项方案；</w:t>
      </w:r>
    </w:p>
    <w:p w14:paraId="2A81CFD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5.1.8 服务器端国产化替代专项服务方案与专项应急预案。</w:t>
      </w:r>
    </w:p>
    <w:p w14:paraId="394A6919">
      <w:pPr>
        <w:snapToGrid w:val="0"/>
        <w:spacing w:line="360" w:lineRule="auto"/>
        <w:jc w:val="left"/>
        <w:rPr>
          <w:rFonts w:ascii="仿宋" w:hAnsi="仿宋" w:eastAsia="仿宋" w:cs="仿宋"/>
          <w:sz w:val="24"/>
        </w:rPr>
      </w:pPr>
      <w:r>
        <w:rPr>
          <w:rFonts w:hint="eastAsia" w:ascii="仿宋" w:hAnsi="仿宋" w:eastAsia="仿宋" w:cs="仿宋"/>
          <w:b/>
          <w:sz w:val="24"/>
        </w:rPr>
        <w:t>5.2 技术能力与人员要求</w:t>
      </w:r>
    </w:p>
    <w:p w14:paraId="4AAAA56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5.2.1 服务商须提供本项目售后服务专属团队组织架构，明确项目负责人、技术负责人、现场运维人员、安全专项人员、应急保障人员、财政对接专员的岗位职责与联系方式，确保7×24小时可联系。</w:t>
      </w:r>
    </w:p>
    <w:p w14:paraId="3E09241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5.2.2 本项目专属技术团队人员不少于10名，团队人员须满足以下资质要求：</w:t>
      </w:r>
    </w:p>
    <w:p w14:paraId="1BCB6CFF">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项目负责人须具备3年以上医疗信息化系统运维项目管理经验，具备电子票据管理系统相关项目服务经验，熟悉财政电子票据相关政策；</w:t>
      </w:r>
    </w:p>
    <w:p w14:paraId="1A63CEB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技术团队须包含至少1名数据库工程师、1名网络安全工程师、1名财政接口对接专员，所有运维人员须具备对应系统的原厂运维认证资质；</w:t>
      </w:r>
    </w:p>
    <w:p w14:paraId="1B0A1E4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提供团队所有人员近3个月的社保缴纳证明材料，确保人员稳定，未经采购人书面同意，不得擅自更换项目核心人员（项目负责人、技术负责人、财政对接专员）。</w:t>
      </w:r>
    </w:p>
    <w:p w14:paraId="5AB0112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5.2.3 服务商须具备完善的技术支撑体系，具备原厂级研发与维护能力，可提供系统源代码级的故障修复、功能适配服务，具备本地化服务能力，确保应急处置时效，同时具备对接财政部门电子票据系统的技术能力。</w:t>
      </w:r>
    </w:p>
    <w:p w14:paraId="3999F757">
      <w:pPr>
        <w:snapToGrid w:val="0"/>
        <w:spacing w:line="360" w:lineRule="auto"/>
        <w:jc w:val="left"/>
        <w:rPr>
          <w:rFonts w:ascii="仿宋" w:hAnsi="仿宋" w:eastAsia="仿宋" w:cs="仿宋"/>
          <w:sz w:val="24"/>
        </w:rPr>
      </w:pPr>
      <w:r>
        <w:rPr>
          <w:rFonts w:hint="eastAsia" w:ascii="仿宋" w:hAnsi="仿宋" w:eastAsia="仿宋" w:cs="仿宋"/>
          <w:b/>
          <w:sz w:val="24"/>
        </w:rPr>
        <w:t>6. 数据安全与信息保密要求</w:t>
      </w:r>
    </w:p>
    <w:p w14:paraId="7F93909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本条款严格遵循《数据安全法》《个人信息保护法》《医疗卫生机构网络安全管理办法》《医疗卫生数据安全指南》《发票管理办法》及财政相关数据安全规定制定，为项目刚性要求，具体如下：</w:t>
      </w:r>
    </w:p>
    <w:p w14:paraId="307F534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6.1 服务商须建立完善的数据安全管理制度、全生命周期数据保护体系、个人信息保护管理制度，符合国家医疗数据分类分级保护与数据安全相关要求，明确数据安全责任部门与专职技术人员，提供专职人员近3年的社保缴纳证明材料。</w:t>
      </w:r>
    </w:p>
    <w:p w14:paraId="015CBA4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6.2 服务商须与采购人签订专项数据安全与保密协议，同时与所有参与本项目的服务人员签订保密协议，明确保密义务、保密范围（含电子票据数据、收费数据、患者个人信息、财政对接数据等）、保密期限（含在职期间及离职后终身保密）与违约责任，相关协议文本须提交采购人备案。</w:t>
      </w:r>
    </w:p>
    <w:p w14:paraId="129D334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6.3 服务商须严格遵守国家法律法规及财政相关规定，对服务过程中接触、获取的所有医疗数据、患者个人信息、电子票据数据、收费数据、医院业务数据、涉密信息等，仅可用于本项目运维服务工作，不得擅自复制、存储、泄露、转让、篡改、销毁，不得用于任何商业用途或其他未经授权的用途，不得向第三方泄露财政对接相关数据。</w:t>
      </w:r>
    </w:p>
    <w:p w14:paraId="5552A79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6.4 服务商的远程运维操作须经过采购人书面审批，采用加密安全接入方式，全程留痕，审计日志留存不少于6个月；严禁未经授权的远程操作，严禁将系统接入公共互联网进行运维操作，严禁擅自接入财政系统进行未经授权的操作。</w:t>
      </w:r>
    </w:p>
    <w:p w14:paraId="0BC4554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6.5 服务商须建立数据安全事件应急处置机制，发生数据泄露、篡改、丢失等安全事件时，须10分钟内响应，第一时间通知采购人，同步启动应急预案，采取处置措施防止事件扩大，配合采购人完成监管上报、事件调查等工作，并承担全部法律责任与经济损失（含财政部门的处罚）。</w:t>
      </w:r>
    </w:p>
    <w:p w14:paraId="5D575DD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6.6 国产化迁移实施过程中，须严格遵循采购人数据安全管理规定，制定专项数据迁移安全方案，全程加密传输数据，做好全量数据备份与一致性校验，确保迁移过程数据全生命周期安全，重点保障电子票据数据、收费数据的安全性。</w:t>
      </w:r>
    </w:p>
    <w:p w14:paraId="39977C5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6.7 服务期结束后，服务商须将所有运维相关数据、文档、材料完整移交采购人，彻底删除所持有的采购人全部数据（含电子票据数据、患者信息、收费数据等），不得留存任何副本，并向采购人出具数据删除承诺书，同时配合采购人完成财政部门的数据安全核查。</w:t>
      </w:r>
    </w:p>
    <w:p w14:paraId="28ABFB3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6.8 服务商须配合采购人完成数据安全检查、网络安全审计、等保测评、财政数据核查等相关工作，提供对应的技术支撑与整改服务。</w:t>
      </w:r>
    </w:p>
    <w:p w14:paraId="02FDD238">
      <w:pPr>
        <w:snapToGrid w:val="0"/>
        <w:spacing w:line="360" w:lineRule="auto"/>
        <w:jc w:val="left"/>
        <w:rPr>
          <w:rFonts w:ascii="仿宋" w:hAnsi="仿宋" w:eastAsia="仿宋" w:cs="仿宋"/>
          <w:sz w:val="24"/>
        </w:rPr>
      </w:pPr>
      <w:r>
        <w:rPr>
          <w:rFonts w:hint="eastAsia" w:ascii="仿宋" w:hAnsi="仿宋" w:eastAsia="仿宋" w:cs="仿宋"/>
          <w:b/>
          <w:sz w:val="24"/>
        </w:rPr>
        <w:t>三、商务要求</w:t>
      </w:r>
    </w:p>
    <w:p w14:paraId="6FB075B4">
      <w:pPr>
        <w:snapToGrid w:val="0"/>
        <w:spacing w:line="360" w:lineRule="auto"/>
        <w:jc w:val="left"/>
        <w:rPr>
          <w:rFonts w:ascii="仿宋" w:hAnsi="仿宋" w:eastAsia="仿宋" w:cs="仿宋"/>
          <w:sz w:val="24"/>
        </w:rPr>
      </w:pPr>
      <w:r>
        <w:rPr>
          <w:rFonts w:hint="eastAsia" w:ascii="仿宋" w:hAnsi="仿宋" w:eastAsia="仿宋" w:cs="仿宋"/>
          <w:b/>
          <w:sz w:val="24"/>
        </w:rPr>
        <w:t>1. 合同核心内容</w:t>
      </w:r>
    </w:p>
    <w:p w14:paraId="438CDC6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合同标的为成交供应商提供的本文件约定的全部运维服务、服务器端国产化替代专项技术服务，合同内容包含采购文件、成交供应商的响应文件、采购协商记录、服务承诺、成交通知书、合同文本等全部文件，成交总金额为合同固定总价，包含服务期内完成全部服务所需的人工、材料、设备、开发、测试、税费、培训、应急保障、电子签章服务费等所有费用，采购人无需额外支付任何费用。</w:t>
      </w:r>
    </w:p>
    <w:p w14:paraId="4B2E3F49">
      <w:pPr>
        <w:snapToGrid w:val="0"/>
        <w:spacing w:line="360" w:lineRule="auto"/>
        <w:jc w:val="left"/>
        <w:rPr>
          <w:rFonts w:ascii="仿宋" w:hAnsi="仿宋" w:eastAsia="仿宋" w:cs="仿宋"/>
          <w:sz w:val="24"/>
        </w:rPr>
      </w:pPr>
      <w:r>
        <w:rPr>
          <w:rFonts w:hint="eastAsia" w:ascii="仿宋" w:hAnsi="仿宋" w:eastAsia="仿宋" w:cs="仿宋"/>
          <w:b/>
          <w:sz w:val="24"/>
        </w:rPr>
        <w:t>2. 服务地点</w:t>
      </w:r>
    </w:p>
    <w:p w14:paraId="5211DA1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陕西省交通医院本部及所有分院区、采购人指定的其他服务场所（含各收费窗口、财务部门、信息科机房等）。</w:t>
      </w:r>
    </w:p>
    <w:p w14:paraId="0DBAC156">
      <w:pPr>
        <w:snapToGrid w:val="0"/>
        <w:spacing w:line="360" w:lineRule="auto"/>
        <w:jc w:val="left"/>
        <w:rPr>
          <w:rFonts w:ascii="仿宋" w:hAnsi="仿宋" w:eastAsia="仿宋" w:cs="仿宋"/>
          <w:sz w:val="24"/>
        </w:rPr>
      </w:pPr>
      <w:r>
        <w:rPr>
          <w:rFonts w:hint="eastAsia" w:ascii="仿宋" w:hAnsi="仿宋" w:eastAsia="仿宋" w:cs="仿宋"/>
          <w:b/>
          <w:sz w:val="24"/>
        </w:rPr>
        <w:t>3. 服务期限</w:t>
      </w:r>
    </w:p>
    <w:p w14:paraId="4A3058C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本项目服务期限为1年，自合同签订之日起计算。服务期内，服务商服务质量持续不达标，或出现重大数据安全事件、财政合规问题，采购人有权提前终止合同。</w:t>
      </w:r>
    </w:p>
    <w:p w14:paraId="40718B5B">
      <w:pPr>
        <w:snapToGrid w:val="0"/>
        <w:spacing w:line="360" w:lineRule="auto"/>
        <w:jc w:val="left"/>
        <w:rPr>
          <w:rFonts w:ascii="仿宋" w:hAnsi="仿宋" w:eastAsia="仿宋" w:cs="仿宋"/>
          <w:sz w:val="24"/>
        </w:rPr>
      </w:pPr>
      <w:r>
        <w:rPr>
          <w:rFonts w:hint="eastAsia" w:ascii="仿宋" w:hAnsi="仿宋" w:eastAsia="仿宋" w:cs="仿宋"/>
          <w:b/>
          <w:sz w:val="24"/>
        </w:rPr>
        <w:t>4. 项目考核与验收</w:t>
      </w:r>
    </w:p>
    <w:p w14:paraId="642DC1B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4.1 本项目采用月度动态考核+年度总验收的方式，由采购人信息科牵头，联合财务科等相关部门，或邀请外部专家开展考核评价与验收工作，成交供应商须无条件配合，并提供全部所需的运维记录、报告、票据流转记录等资料，同时配合财政部门的检查。</w:t>
      </w:r>
    </w:p>
    <w:p w14:paraId="49150B1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4.2 考核标准：严格按照本文件附件《信息系统售后运维服务质量评价标准》执行，评分满分100分。90分（含）-100分为优秀，70分（含）-89分为合格，70分以下为不合格。</w:t>
      </w:r>
    </w:p>
    <w:p w14:paraId="20BFA65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4.3 验收依据：本采购文件、成交供应商响应文件、合同文本、国家及行业现行相关标准规范、财政相关规定、月度考核记录、运维服务报告、服务满意度调查结果、项目考核汇总表等。</w:t>
      </w:r>
    </w:p>
    <w:p w14:paraId="3625063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4.4 年度验收合格的前提：服务期内无重大数据安全事件、无重大服务质量投诉、无因服务商责任导致的医疗收费业务重大中断事故、无财政合规处罚及相关投诉，年度考核评分≥70分。</w:t>
      </w:r>
    </w:p>
    <w:p w14:paraId="43375FE4">
      <w:pPr>
        <w:snapToGrid w:val="0"/>
        <w:spacing w:line="360" w:lineRule="auto"/>
        <w:jc w:val="left"/>
        <w:rPr>
          <w:rFonts w:ascii="仿宋" w:hAnsi="仿宋" w:eastAsia="仿宋" w:cs="仿宋"/>
          <w:sz w:val="24"/>
        </w:rPr>
      </w:pPr>
      <w:r>
        <w:rPr>
          <w:rFonts w:hint="eastAsia" w:ascii="仿宋" w:hAnsi="仿宋" w:eastAsia="仿宋" w:cs="仿宋"/>
          <w:b/>
          <w:sz w:val="24"/>
        </w:rPr>
        <w:t>5. 结算与付款方式</w:t>
      </w:r>
    </w:p>
    <w:p w14:paraId="06312A2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 结算主体为采购人，结算前，成交供应商须向采购人开具合法、等额、有效的发票，采购人收到发票后按以下约定付款，因供应商发票开具不合规导致的付款延误，由供应商自行承担全部责任。</w:t>
      </w:r>
    </w:p>
    <w:p w14:paraId="531E3A4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 付款方式：</w:t>
      </w:r>
    </w:p>
    <w:p w14:paraId="5D81E5C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第一笔款项：双方签订合同后5日内付合同价款的50%；</w:t>
      </w:r>
    </w:p>
    <w:p w14:paraId="083CE1C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2CC7C662">
      <w:pPr>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4645982D">
      <w:pPr>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7838CA68">
      <w:pPr>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48D6615F">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5.3 月度考核连续2个月低于70分，或年度内累计3个月低于70分的，直接认定为年度考核不合格。</w:t>
      </w:r>
    </w:p>
    <w:p w14:paraId="16D26BF3">
      <w:pPr>
        <w:snapToGrid w:val="0"/>
        <w:spacing w:line="360" w:lineRule="auto"/>
        <w:jc w:val="left"/>
        <w:rPr>
          <w:rFonts w:ascii="仿宋" w:hAnsi="仿宋" w:eastAsia="仿宋" w:cs="仿宋"/>
          <w:sz w:val="24"/>
        </w:rPr>
      </w:pPr>
      <w:r>
        <w:rPr>
          <w:rFonts w:hint="eastAsia" w:ascii="仿宋" w:hAnsi="仿宋" w:eastAsia="仿宋" w:cs="仿宋"/>
          <w:b/>
          <w:sz w:val="24"/>
        </w:rPr>
        <w:t>6. 知识产权条款</w:t>
      </w:r>
    </w:p>
    <w:p w14:paraId="52D3B91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6.1 供应商须保证，其提供的运维服务、软件更新、升级服务及相关技术成果，不会出现任何第三方提出侵犯其专利权、商标权、著作权或其他知识产权的主张或诉讼，如发生前述情形，由供应商承担全部法律责任，并赔偿采购人因此遭受的全部经济损失。</w:t>
      </w:r>
    </w:p>
    <w:p w14:paraId="27D46BD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6.2 本项目涉及系统的软件著作权、知识产权归原权利人所有，供应商仅可基于本项目运维服务目的，在采购人授权范围内使用相关软件及技术资料，不得擅自复制、分发、转让、反编译、反向工程，不得用于任何其他用途。</w:t>
      </w:r>
    </w:p>
    <w:p w14:paraId="2A0A21A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6.3 服务期内，采购人基于系统使用产生的全部医疗数据、业务数据、患者个人信息、电子票据数据、收费数据等所有数据的所有权、使用权均归采购人所有，供应商不得主张任何权利，不得擅自使用，不得向第三方泄露。</w:t>
      </w:r>
    </w:p>
    <w:p w14:paraId="3A35513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6.4 供应商为采购人提供的定制化功能开发、政策适配升级、技术方案等成果，知识产权归采购人所有，供应商仅可保留非商业用途的技术使用权。</w:t>
      </w:r>
    </w:p>
    <w:p w14:paraId="6E017132">
      <w:pPr>
        <w:snapToGrid w:val="0"/>
        <w:spacing w:line="360" w:lineRule="auto"/>
        <w:jc w:val="left"/>
        <w:rPr>
          <w:rFonts w:ascii="仿宋" w:hAnsi="仿宋" w:eastAsia="仿宋" w:cs="仿宋"/>
          <w:sz w:val="24"/>
        </w:rPr>
      </w:pPr>
      <w:r>
        <w:rPr>
          <w:rFonts w:hint="eastAsia" w:ascii="仿宋" w:hAnsi="仿宋" w:eastAsia="仿宋" w:cs="仿宋"/>
          <w:b/>
          <w:sz w:val="24"/>
        </w:rPr>
        <w:t>7. 违约责任</w:t>
      </w:r>
    </w:p>
    <w:p w14:paraId="3E32E5C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7.1 本合同违约责任严格按照《中华人民共和国民法典》相关条款执行。</w:t>
      </w:r>
    </w:p>
    <w:p w14:paraId="2190D5D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7.2 供应商未按合同约定提供服务，或服务质量、响应时效、技术能力不满足合同要求，采购人有权按《服务质量评价标准》扣除对应款项，并要求供应商限期整改；整改后仍无法满足合同要求的，采购人有权扣除对应合同款项，直至单方面解除合同，供应商须承担采购人因此遭受的全部损失。</w:t>
      </w:r>
    </w:p>
    <w:p w14:paraId="42CF2B9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7.3 供应商未按故障SLA要求完成响应与故障处置的，每出现一次一级故障超时，扣除合同总价款的5%；每出现一次二级故障超时，扣除合同总价款的2%；三级、四级故障超时，按评价标准扣除对应分值，并累计扣除合同款项。因供应商故障处置不及时导致医院收费业务中断、产生医疗纠纷、财政处罚或投诉的，全部责任与经济损失由供应商承担。</w:t>
      </w:r>
    </w:p>
    <w:p w14:paraId="46F0B54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7.4 供应商违反数据安全与保密约定，发生数据泄露、篡改、丢失等事件，或擅自使用、转让采购人数据、向第三方泄露财政相关数据的，采购人有权立即解除合同，不予支付剩余全部合同款项，供应商须支付合同总价款30%的违约金，同时承担全部法律责任，赔偿采购人因此遭受的全部经济损失（含监管处罚、民事赔偿、商誉损失、财政处罚等）。</w:t>
      </w:r>
    </w:p>
    <w:p w14:paraId="18F4597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7.5 供应商未经采购人同意，擅自更换项目核心人员、转包/分包本项目服务的，采购人有权扣除合同总价款的10%作为违约金，情节严重的，有权解除合同。</w:t>
      </w:r>
    </w:p>
    <w:p w14:paraId="7C78BBB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7.6 供应商未按要求完成财政政策适配，导致系统不符合监管要求，引发处罚或投诉的，全部责任与经济损失由供应商承担，采购人有权扣除对应合同款项。</w:t>
      </w:r>
    </w:p>
    <w:p w14:paraId="62098FCD">
      <w:pPr>
        <w:snapToGrid w:val="0"/>
        <w:spacing w:line="360" w:lineRule="auto"/>
        <w:jc w:val="left"/>
        <w:rPr>
          <w:rFonts w:ascii="仿宋" w:hAnsi="仿宋" w:eastAsia="仿宋" w:cs="仿宋"/>
          <w:sz w:val="24"/>
        </w:rPr>
      </w:pPr>
      <w:r>
        <w:rPr>
          <w:rFonts w:hint="eastAsia" w:ascii="仿宋" w:hAnsi="仿宋" w:eastAsia="仿宋" w:cs="仿宋"/>
          <w:b/>
          <w:sz w:val="24"/>
        </w:rPr>
        <w:t>8. 其他约定</w:t>
      </w:r>
    </w:p>
    <w:p w14:paraId="14BC568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8.1 本项目技术要求与商务要求为合同核心条款，不允许任何负偏离，供应商响应文件须对所有条款作出完全响应承诺，负偏离响应将按无效响应处理。</w:t>
      </w:r>
    </w:p>
    <w:p w14:paraId="56A34C9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8.2 服务期内，如遇国家政策法规、财政标准、行业规范发生重大调整，采购人有权对服务内容与要求进行合规性调整，供应商须无条件配合，不得额外收取费用。</w:t>
      </w:r>
    </w:p>
    <w:p w14:paraId="7E1E9A31">
      <w:pPr>
        <w:snapToGrid w:val="0"/>
        <w:spacing w:line="360" w:lineRule="auto"/>
        <w:rPr>
          <w:rFonts w:ascii="仿宋" w:hAnsi="仿宋" w:eastAsia="仿宋" w:cs="仿宋"/>
          <w:b/>
          <w:bCs/>
          <w:sz w:val="24"/>
        </w:rPr>
      </w:pPr>
      <w:r>
        <w:rPr>
          <w:rFonts w:hint="eastAsia" w:ascii="仿宋" w:hAnsi="仿宋" w:eastAsia="仿宋" w:cs="仿宋"/>
          <w:sz w:val="24"/>
        </w:rPr>
        <w:t>8.3 本文件未尽事宜，由双方在合同中另行约定，约定内容不得违反本文件的核心要求与国家相关法律法规、财政相关规定。</w:t>
      </w:r>
    </w:p>
    <w:p w14:paraId="049EDE7E">
      <w:pPr>
        <w:rPr>
          <w:rFonts w:ascii="仿宋" w:hAnsi="仿宋" w:eastAsia="仿宋" w:cs="仿宋"/>
          <w:b/>
          <w:bCs/>
          <w:sz w:val="24"/>
        </w:rPr>
      </w:pPr>
      <w:r>
        <w:rPr>
          <w:rFonts w:hint="eastAsia" w:ascii="仿宋" w:hAnsi="仿宋" w:eastAsia="仿宋" w:cs="仿宋"/>
          <w:b/>
          <w:bCs/>
          <w:sz w:val="24"/>
        </w:rPr>
        <w:br w:type="page"/>
      </w:r>
    </w:p>
    <w:p w14:paraId="3DA04563">
      <w:pPr>
        <w:pStyle w:val="3"/>
        <w:spacing w:line="360" w:lineRule="auto"/>
        <w:jc w:val="both"/>
        <w:rPr>
          <w:rFonts w:ascii="仿宋" w:hAnsi="仿宋" w:eastAsia="仿宋" w:cs="仿宋"/>
          <w:b/>
          <w:bCs/>
          <w:sz w:val="24"/>
          <w:szCs w:val="24"/>
          <w:lang w:eastAsia="zh-CN"/>
        </w:rPr>
      </w:pPr>
      <w:r>
        <w:rPr>
          <w:rFonts w:hint="eastAsia" w:ascii="仿宋" w:hAnsi="仿宋" w:eastAsia="仿宋" w:cs="仿宋"/>
          <w:b/>
          <w:bCs/>
          <w:sz w:val="24"/>
          <w:szCs w:val="24"/>
          <w:lang w:eastAsia="zh-CN"/>
        </w:rPr>
        <w:t>合同包4-采购需求（手术麻醉系统售后服务）</w:t>
      </w:r>
    </w:p>
    <w:p w14:paraId="215A4843">
      <w:pPr>
        <w:snapToGrid w:val="0"/>
        <w:spacing w:line="360" w:lineRule="auto"/>
        <w:jc w:val="left"/>
        <w:rPr>
          <w:rFonts w:ascii="仿宋" w:hAnsi="仿宋" w:eastAsia="仿宋" w:cs="仿宋"/>
          <w:sz w:val="24"/>
        </w:rPr>
      </w:pPr>
      <w:r>
        <w:rPr>
          <w:rFonts w:hint="eastAsia" w:ascii="仿宋" w:hAnsi="仿宋" w:eastAsia="仿宋" w:cs="仿宋"/>
          <w:b/>
          <w:sz w:val="24"/>
        </w:rPr>
        <w:t>一、项目概述</w:t>
      </w:r>
    </w:p>
    <w:p w14:paraId="73894DC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采购人自自2021年4月启用手术麻醉信息系统V1.0以来，该系统已成为医院手术麻醉全流程管理、患者生命体征监测、麻醉质量控制、医疗安全保障的核心支撑平台。为保障手术麻醉系统安全稳定、精准高效运行，确保手术麻醉全流程可追溯、生命体征监测无遗漏、麻醉药品管控合规、手术安全核查闭环，契合《医疗机构麻醉科建设与管理指南》《手术安全核查制度》《麻醉专业医疗质量控制指标》等行业规范及医院手术麻醉管理实际需求，现委托具备手术麻醉系统手术麻醉信息系统V1.0运维服务能力，且熟悉手术麻醉临床业务流程的供应商，为采购人提供该系统全流程售后运维与技术支持服务，保障手术麻醉工作有序开展，降低医疗安全风险。</w:t>
      </w:r>
    </w:p>
    <w:p w14:paraId="0C4F27CE">
      <w:pPr>
        <w:snapToGrid w:val="0"/>
        <w:spacing w:line="360" w:lineRule="auto"/>
        <w:jc w:val="left"/>
        <w:rPr>
          <w:rFonts w:ascii="仿宋" w:hAnsi="仿宋" w:eastAsia="仿宋" w:cs="仿宋"/>
          <w:sz w:val="24"/>
        </w:rPr>
      </w:pPr>
      <w:r>
        <w:rPr>
          <w:rFonts w:hint="eastAsia" w:ascii="仿宋" w:hAnsi="仿宋" w:eastAsia="仿宋" w:cs="仿宋"/>
          <w:b/>
          <w:sz w:val="24"/>
        </w:rPr>
        <w:t>二、技术要求</w:t>
      </w:r>
    </w:p>
    <w:p w14:paraId="76AA2651">
      <w:pPr>
        <w:snapToGrid w:val="0"/>
        <w:spacing w:line="360" w:lineRule="auto"/>
        <w:jc w:val="left"/>
        <w:rPr>
          <w:rFonts w:ascii="仿宋" w:hAnsi="仿宋" w:eastAsia="仿宋" w:cs="仿宋"/>
          <w:sz w:val="24"/>
        </w:rPr>
      </w:pPr>
      <w:r>
        <w:rPr>
          <w:rFonts w:hint="eastAsia" w:ascii="仿宋" w:hAnsi="仿宋" w:eastAsia="仿宋" w:cs="仿宋"/>
          <w:b/>
          <w:sz w:val="24"/>
        </w:rPr>
        <w:t>1. 名词解释</w:t>
      </w:r>
    </w:p>
    <w:p w14:paraId="75C548D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本文件所涉及名词定义严格遵循国家信息技术服务标准（ITSS）、医疗信息化行业规范及相关法律法规，具体如下：</w:t>
      </w:r>
    </w:p>
    <w:p w14:paraId="282F2E5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1.1 </w:t>
      </w:r>
      <w:r>
        <w:rPr>
          <w:rFonts w:hint="eastAsia" w:ascii="仿宋" w:hAnsi="仿宋" w:eastAsia="仿宋" w:cs="仿宋"/>
          <w:b/>
          <w:sz w:val="24"/>
        </w:rPr>
        <w:t>维护</w:t>
      </w:r>
      <w:r>
        <w:rPr>
          <w:rFonts w:hint="eastAsia" w:ascii="仿宋" w:hAnsi="仿宋" w:eastAsia="仿宋" w:cs="仿宋"/>
          <w:sz w:val="24"/>
        </w:rPr>
        <w:t>：指服务供应商为采购人提供许可软件的全生命周期技术支撑，包括但不限于故障排查与修复、技术指导、运行优化、合规适配、安全加固等服务工作的总称。</w:t>
      </w:r>
    </w:p>
    <w:p w14:paraId="1A234C6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1.2 </w:t>
      </w:r>
      <w:r>
        <w:rPr>
          <w:rFonts w:hint="eastAsia" w:ascii="仿宋" w:hAnsi="仿宋" w:eastAsia="仿宋" w:cs="仿宋"/>
          <w:b/>
          <w:sz w:val="24"/>
        </w:rPr>
        <w:t>现场</w:t>
      </w:r>
      <w:r>
        <w:rPr>
          <w:rFonts w:hint="eastAsia" w:ascii="仿宋" w:hAnsi="仿宋" w:eastAsia="仿宋" w:cs="仿宋"/>
          <w:sz w:val="24"/>
        </w:rPr>
        <w:t>：指采购人许可系统部署、使用的全部场所，含医院本部院区、各分院区、社区服务点等所有系统终端部署点位。</w:t>
      </w:r>
    </w:p>
    <w:p w14:paraId="6BD459E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1.3 </w:t>
      </w:r>
      <w:r>
        <w:rPr>
          <w:rFonts w:hint="eastAsia" w:ascii="仿宋" w:hAnsi="仿宋" w:eastAsia="仿宋" w:cs="仿宋"/>
          <w:b/>
          <w:sz w:val="24"/>
        </w:rPr>
        <w:t>现场维护</w:t>
      </w:r>
      <w:r>
        <w:rPr>
          <w:rFonts w:hint="eastAsia" w:ascii="仿宋" w:hAnsi="仿宋" w:eastAsia="仿宋" w:cs="仿宋"/>
          <w:sz w:val="24"/>
        </w:rPr>
        <w:t>：指服务供应商针对采购人提出的技术服务请求，派遣具备对应资质的技术人员到采购人指定现场，完成问题处置、技术服务的全过程。</w:t>
      </w:r>
    </w:p>
    <w:p w14:paraId="4B3A8C6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1.4 </w:t>
      </w:r>
      <w:r>
        <w:rPr>
          <w:rFonts w:hint="eastAsia" w:ascii="仿宋" w:hAnsi="仿宋" w:eastAsia="仿宋" w:cs="仿宋"/>
          <w:b/>
          <w:sz w:val="24"/>
        </w:rPr>
        <w:t>远程维护</w:t>
      </w:r>
      <w:r>
        <w:rPr>
          <w:rFonts w:hint="eastAsia" w:ascii="仿宋" w:hAnsi="仿宋" w:eastAsia="仿宋" w:cs="仿宋"/>
          <w:sz w:val="24"/>
        </w:rPr>
        <w:t>：指服务供应商针对采购人提出的技术服务请求，通过加密专线、安全远程接入方式，向采购人提供问题解答、技术指导、远程故障排查与修复的服务过程，远程操作须全程留痕、符合医院网络安全管理规定。</w:t>
      </w:r>
    </w:p>
    <w:p w14:paraId="6F455DB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1.5 </w:t>
      </w:r>
      <w:r>
        <w:rPr>
          <w:rFonts w:hint="eastAsia" w:ascii="仿宋" w:hAnsi="仿宋" w:eastAsia="仿宋" w:cs="仿宋"/>
          <w:b/>
          <w:sz w:val="24"/>
        </w:rPr>
        <w:t>软件更新</w:t>
      </w:r>
      <w:r>
        <w:rPr>
          <w:rFonts w:hint="eastAsia" w:ascii="仿宋" w:hAnsi="仿宋" w:eastAsia="仿宋" w:cs="仿宋"/>
          <w:sz w:val="24"/>
        </w:rPr>
        <w:t>：指为保障系统合规性、安全性、功能性，对许可软件进行的安全补丁更新、故障优化、版本迭代、政策适配性升级、功能完善的全过程，不限于仅故障场景。</w:t>
      </w:r>
    </w:p>
    <w:p w14:paraId="50CA7FCF">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1.6 </w:t>
      </w:r>
      <w:r>
        <w:rPr>
          <w:rFonts w:hint="eastAsia" w:ascii="仿宋" w:hAnsi="仿宋" w:eastAsia="仿宋" w:cs="仿宋"/>
          <w:b/>
          <w:sz w:val="24"/>
        </w:rPr>
        <w:t>技术支持</w:t>
      </w:r>
      <w:r>
        <w:rPr>
          <w:rFonts w:hint="eastAsia" w:ascii="仿宋" w:hAnsi="仿宋" w:eastAsia="仿宋" w:cs="仿宋"/>
          <w:sz w:val="24"/>
        </w:rPr>
        <w:t>：指服务供应商为保障许可软件和系统持续稳定运行，在服务期内通过电话、互联网、现场服务等方式，向采购人提供的7×24小时技术援助、操作指导与问题处置服务。</w:t>
      </w:r>
    </w:p>
    <w:p w14:paraId="0A092CB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1.7 </w:t>
      </w:r>
      <w:r>
        <w:rPr>
          <w:rFonts w:hint="eastAsia" w:ascii="仿宋" w:hAnsi="仿宋" w:eastAsia="仿宋" w:cs="仿宋"/>
          <w:b/>
          <w:sz w:val="24"/>
        </w:rPr>
        <w:t>热线支持</w:t>
      </w:r>
      <w:r>
        <w:rPr>
          <w:rFonts w:hint="eastAsia" w:ascii="仿宋" w:hAnsi="仿宋" w:eastAsia="仿宋" w:cs="仿宋"/>
          <w:sz w:val="24"/>
        </w:rPr>
        <w:t>：指服务供应商客户服务中心通过专属服务热线，7×24小时向采购人提供技术问题解答、服务请求受理、故障派单的服务过程。</w:t>
      </w:r>
    </w:p>
    <w:p w14:paraId="4A377A4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1.8 </w:t>
      </w:r>
      <w:r>
        <w:rPr>
          <w:rFonts w:hint="eastAsia" w:ascii="仿宋" w:hAnsi="仿宋" w:eastAsia="仿宋" w:cs="仿宋"/>
          <w:b/>
          <w:sz w:val="24"/>
        </w:rPr>
        <w:t>在线技术支持</w:t>
      </w:r>
      <w:r>
        <w:rPr>
          <w:rFonts w:hint="eastAsia" w:ascii="仿宋" w:hAnsi="仿宋" w:eastAsia="仿宋" w:cs="仿宋"/>
          <w:sz w:val="24"/>
        </w:rPr>
        <w:t>：指服务供应商客户服务中心通过安全在线支持系统，接收、解答采购人问题，发布相关技术解决方案、操作指引的服务过程。</w:t>
      </w:r>
    </w:p>
    <w:p w14:paraId="79A8341E">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1.9 </w:t>
      </w:r>
      <w:r>
        <w:rPr>
          <w:rFonts w:hint="eastAsia" w:ascii="仿宋" w:hAnsi="仿宋" w:eastAsia="仿宋" w:cs="仿宋"/>
          <w:b/>
          <w:sz w:val="24"/>
        </w:rPr>
        <w:t>响应时间</w:t>
      </w:r>
      <w:r>
        <w:rPr>
          <w:rFonts w:hint="eastAsia" w:ascii="仿宋" w:hAnsi="仿宋" w:eastAsia="仿宋" w:cs="仿宋"/>
          <w:sz w:val="24"/>
        </w:rPr>
        <w:t>：指服务供应商接到采购人正式服务请求后，到与采购人完成沟通、明确故障情况、出具服务承诺与初步处置方案的时间。</w:t>
      </w:r>
    </w:p>
    <w:p w14:paraId="12F76F4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1.10 </w:t>
      </w:r>
      <w:r>
        <w:rPr>
          <w:rFonts w:hint="eastAsia" w:ascii="仿宋" w:hAnsi="仿宋" w:eastAsia="仿宋" w:cs="仿宋"/>
          <w:b/>
          <w:sz w:val="24"/>
        </w:rPr>
        <w:t>解决时间</w:t>
      </w:r>
      <w:r>
        <w:rPr>
          <w:rFonts w:hint="eastAsia" w:ascii="仿宋" w:hAnsi="仿宋" w:eastAsia="仿宋" w:cs="仿宋"/>
          <w:sz w:val="24"/>
        </w:rPr>
        <w:t>：指服务供应商从接到服务请求起，到系统故障完全修复、业务恢复正常运行、问题闭环处置的时间。</w:t>
      </w:r>
    </w:p>
    <w:p w14:paraId="04C9D04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1.11 </w:t>
      </w:r>
      <w:r>
        <w:rPr>
          <w:rFonts w:hint="eastAsia" w:ascii="仿宋" w:hAnsi="仿宋" w:eastAsia="仿宋" w:cs="仿宋"/>
          <w:b/>
          <w:sz w:val="24"/>
        </w:rPr>
        <w:t>数据安全事件</w:t>
      </w:r>
      <w:r>
        <w:rPr>
          <w:rFonts w:hint="eastAsia" w:ascii="仿宋" w:hAnsi="仿宋" w:eastAsia="仿宋" w:cs="仿宋"/>
          <w:sz w:val="24"/>
        </w:rPr>
        <w:t>：指系统运行过程中发生的，可能或已经导致医疗数据、患者个人信息泄露、损毁、篡改、丢失，以及系统被非法入侵、攻击等影响数据安全的事件。</w:t>
      </w:r>
    </w:p>
    <w:p w14:paraId="25BAFE8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1.12 </w:t>
      </w:r>
      <w:r>
        <w:rPr>
          <w:rFonts w:hint="eastAsia" w:ascii="仿宋" w:hAnsi="仿宋" w:eastAsia="仿宋" w:cs="仿宋"/>
          <w:b/>
          <w:sz w:val="24"/>
        </w:rPr>
        <w:t>等保合规</w:t>
      </w:r>
      <w:r>
        <w:rPr>
          <w:rFonts w:hint="eastAsia" w:ascii="仿宋" w:hAnsi="仿宋" w:eastAsia="仿宋" w:cs="仿宋"/>
          <w:sz w:val="24"/>
        </w:rPr>
        <w:t>：指系统运行与运维服务须符合国家网络安全等级保护2.0标准对应级别的全部要求。</w:t>
      </w:r>
    </w:p>
    <w:p w14:paraId="3F1781E0">
      <w:pPr>
        <w:snapToGrid w:val="0"/>
        <w:spacing w:line="360" w:lineRule="auto"/>
        <w:jc w:val="left"/>
        <w:rPr>
          <w:rFonts w:ascii="仿宋" w:hAnsi="仿宋" w:eastAsia="仿宋" w:cs="仿宋"/>
          <w:sz w:val="24"/>
        </w:rPr>
      </w:pPr>
      <w:r>
        <w:rPr>
          <w:rFonts w:hint="eastAsia" w:ascii="仿宋" w:hAnsi="仿宋" w:eastAsia="仿宋" w:cs="仿宋"/>
          <w:b/>
          <w:sz w:val="24"/>
        </w:rPr>
        <w:t>2. 运维服务系统范围</w:t>
      </w:r>
    </w:p>
    <w:p w14:paraId="397E3C7E">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采购人委托供应商提供售后运维服务的手术麻醉系统，包含但不限于下表所列全部模块、子系统及配套硬件设备，同时覆盖系统与院内HIS、LIS、PACS、EMR、医保结算系统、互联网医院平台等现有及未来新增信息系统的接口运维服务，确保系统互联互通。</w:t>
      </w: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622"/>
        <w:gridCol w:w="5518"/>
      </w:tblGrid>
      <w:tr w14:paraId="55C9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981" w:type="pct"/>
            <w:tcMar>
              <w:top w:w="60" w:type="dxa"/>
              <w:left w:w="120" w:type="dxa"/>
              <w:bottom w:w="30" w:type="dxa"/>
              <w:right w:w="120" w:type="dxa"/>
            </w:tcMar>
            <w:vAlign w:val="center"/>
          </w:tcPr>
          <w:p w14:paraId="25AE2772">
            <w:pPr>
              <w:snapToGrid w:val="0"/>
              <w:spacing w:line="360" w:lineRule="auto"/>
              <w:jc w:val="center"/>
              <w:rPr>
                <w:rFonts w:ascii="仿宋" w:hAnsi="仿宋" w:eastAsia="仿宋" w:cs="仿宋"/>
                <w:b/>
                <w:sz w:val="24"/>
              </w:rPr>
            </w:pPr>
            <w:r>
              <w:rPr>
                <w:rFonts w:hint="eastAsia" w:ascii="仿宋" w:hAnsi="仿宋" w:eastAsia="仿宋" w:cs="仿宋"/>
                <w:b/>
                <w:sz w:val="24"/>
              </w:rPr>
              <w:t>信息系统名称</w:t>
            </w:r>
          </w:p>
        </w:tc>
        <w:tc>
          <w:tcPr>
            <w:tcW w:w="3018" w:type="pct"/>
            <w:tcMar>
              <w:top w:w="60" w:type="dxa"/>
              <w:left w:w="120" w:type="dxa"/>
              <w:bottom w:w="30" w:type="dxa"/>
              <w:right w:w="120" w:type="dxa"/>
            </w:tcMar>
            <w:vAlign w:val="center"/>
          </w:tcPr>
          <w:p w14:paraId="485ED854">
            <w:pPr>
              <w:snapToGrid w:val="0"/>
              <w:spacing w:line="360" w:lineRule="auto"/>
              <w:jc w:val="center"/>
              <w:rPr>
                <w:rFonts w:ascii="仿宋" w:hAnsi="仿宋" w:eastAsia="仿宋" w:cs="仿宋"/>
                <w:b/>
                <w:sz w:val="24"/>
              </w:rPr>
            </w:pPr>
            <w:r>
              <w:rPr>
                <w:rFonts w:hint="eastAsia" w:ascii="仿宋" w:hAnsi="仿宋" w:eastAsia="仿宋" w:cs="仿宋"/>
                <w:b/>
                <w:sz w:val="24"/>
              </w:rPr>
              <w:t>子系统名称/核心模块</w:t>
            </w:r>
          </w:p>
        </w:tc>
      </w:tr>
      <w:tr w14:paraId="12265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981" w:type="pct"/>
            <w:vMerge w:val="restart"/>
            <w:tcMar>
              <w:top w:w="60" w:type="dxa"/>
              <w:left w:w="120" w:type="dxa"/>
              <w:bottom w:w="30" w:type="dxa"/>
              <w:right w:w="120" w:type="dxa"/>
            </w:tcMar>
            <w:vAlign w:val="center"/>
          </w:tcPr>
          <w:p w14:paraId="1852E0E2">
            <w:pPr>
              <w:snapToGrid w:val="0"/>
              <w:spacing w:line="360" w:lineRule="auto"/>
              <w:jc w:val="center"/>
              <w:rPr>
                <w:rFonts w:ascii="仿宋" w:hAnsi="仿宋" w:eastAsia="仿宋" w:cs="仿宋"/>
                <w:sz w:val="24"/>
              </w:rPr>
            </w:pPr>
            <w:r>
              <w:rPr>
                <w:rFonts w:hint="eastAsia" w:ascii="仿宋" w:hAnsi="仿宋" w:eastAsia="仿宋" w:cs="仿宋"/>
                <w:sz w:val="24"/>
              </w:rPr>
              <w:t>手术麻醉系统</w:t>
            </w:r>
          </w:p>
        </w:tc>
        <w:tc>
          <w:tcPr>
            <w:tcW w:w="3018" w:type="pct"/>
            <w:tcBorders>
              <w:top w:val="nil"/>
              <w:left w:val="single" w:color="auto" w:sz="4" w:space="0"/>
              <w:bottom w:val="single" w:color="auto" w:sz="4" w:space="0"/>
              <w:right w:val="single" w:color="auto" w:sz="4" w:space="0"/>
            </w:tcBorders>
            <w:tcMar>
              <w:top w:w="60" w:type="dxa"/>
              <w:left w:w="120" w:type="dxa"/>
              <w:bottom w:w="30" w:type="dxa"/>
              <w:right w:w="120" w:type="dxa"/>
            </w:tcMar>
            <w:vAlign w:val="center"/>
          </w:tcPr>
          <w:p w14:paraId="4A146823">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术前信息管理子系统</w:t>
            </w:r>
          </w:p>
        </w:tc>
      </w:tr>
      <w:tr w14:paraId="29F62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981" w:type="pct"/>
            <w:vMerge w:val="continue"/>
            <w:tcMar>
              <w:top w:w="60" w:type="dxa"/>
              <w:left w:w="120" w:type="dxa"/>
              <w:bottom w:w="30" w:type="dxa"/>
              <w:right w:w="120" w:type="dxa"/>
            </w:tcMar>
            <w:vAlign w:val="center"/>
          </w:tcPr>
          <w:p w14:paraId="713EBD97">
            <w:pPr>
              <w:snapToGrid w:val="0"/>
              <w:spacing w:line="360" w:lineRule="auto"/>
              <w:jc w:val="center"/>
              <w:rPr>
                <w:rFonts w:ascii="仿宋" w:hAnsi="仿宋" w:eastAsia="仿宋" w:cs="仿宋"/>
                <w:sz w:val="24"/>
              </w:rPr>
            </w:pPr>
          </w:p>
        </w:tc>
        <w:tc>
          <w:tcPr>
            <w:tcW w:w="3018" w:type="pct"/>
            <w:tcBorders>
              <w:top w:val="nil"/>
              <w:left w:val="single" w:color="auto" w:sz="4" w:space="0"/>
              <w:bottom w:val="single" w:color="auto" w:sz="4" w:space="0"/>
              <w:right w:val="single" w:color="auto" w:sz="4" w:space="0"/>
            </w:tcBorders>
            <w:tcMar>
              <w:top w:w="60" w:type="dxa"/>
              <w:left w:w="120" w:type="dxa"/>
              <w:bottom w:w="30" w:type="dxa"/>
              <w:right w:w="120" w:type="dxa"/>
            </w:tcMar>
            <w:vAlign w:val="center"/>
          </w:tcPr>
          <w:p w14:paraId="1E27BC99">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术中信息管理子系统</w:t>
            </w:r>
          </w:p>
        </w:tc>
      </w:tr>
      <w:tr w14:paraId="355FC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981" w:type="pct"/>
            <w:vMerge w:val="continue"/>
            <w:tcMar>
              <w:top w:w="60" w:type="dxa"/>
              <w:left w:w="120" w:type="dxa"/>
              <w:bottom w:w="30" w:type="dxa"/>
              <w:right w:w="120" w:type="dxa"/>
            </w:tcMar>
            <w:vAlign w:val="center"/>
          </w:tcPr>
          <w:p w14:paraId="55C137D2">
            <w:pPr>
              <w:snapToGrid w:val="0"/>
              <w:spacing w:line="360" w:lineRule="auto"/>
              <w:jc w:val="center"/>
              <w:rPr>
                <w:rFonts w:ascii="仿宋" w:hAnsi="仿宋" w:eastAsia="仿宋" w:cs="仿宋"/>
                <w:sz w:val="24"/>
              </w:rPr>
            </w:pPr>
          </w:p>
        </w:tc>
        <w:tc>
          <w:tcPr>
            <w:tcW w:w="3018" w:type="pct"/>
            <w:tcBorders>
              <w:top w:val="nil"/>
              <w:left w:val="single" w:color="auto" w:sz="4" w:space="0"/>
              <w:bottom w:val="single" w:color="auto" w:sz="4" w:space="0"/>
              <w:right w:val="single" w:color="auto" w:sz="4" w:space="0"/>
            </w:tcBorders>
            <w:tcMar>
              <w:top w:w="60" w:type="dxa"/>
              <w:left w:w="120" w:type="dxa"/>
              <w:bottom w:w="30" w:type="dxa"/>
              <w:right w:w="120" w:type="dxa"/>
            </w:tcMar>
            <w:vAlign w:val="center"/>
          </w:tcPr>
          <w:p w14:paraId="3B969F0A">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术后信息管理子系统</w:t>
            </w:r>
          </w:p>
        </w:tc>
      </w:tr>
      <w:tr w14:paraId="1324C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981" w:type="pct"/>
            <w:vMerge w:val="continue"/>
            <w:tcMar>
              <w:top w:w="60" w:type="dxa"/>
              <w:left w:w="120" w:type="dxa"/>
              <w:bottom w:w="30" w:type="dxa"/>
              <w:right w:w="120" w:type="dxa"/>
            </w:tcMar>
            <w:vAlign w:val="center"/>
          </w:tcPr>
          <w:p w14:paraId="0BF247D8">
            <w:pPr>
              <w:snapToGrid w:val="0"/>
              <w:spacing w:line="360" w:lineRule="auto"/>
              <w:jc w:val="center"/>
              <w:rPr>
                <w:rFonts w:ascii="仿宋" w:hAnsi="仿宋" w:eastAsia="仿宋" w:cs="仿宋"/>
                <w:sz w:val="24"/>
              </w:rPr>
            </w:pPr>
          </w:p>
        </w:tc>
        <w:tc>
          <w:tcPr>
            <w:tcW w:w="3018" w:type="pct"/>
            <w:tcBorders>
              <w:top w:val="nil"/>
              <w:left w:val="single" w:color="auto" w:sz="4" w:space="0"/>
              <w:bottom w:val="single" w:color="auto" w:sz="4" w:space="0"/>
              <w:right w:val="single" w:color="auto" w:sz="4" w:space="0"/>
            </w:tcBorders>
            <w:tcMar>
              <w:top w:w="60" w:type="dxa"/>
              <w:left w:w="120" w:type="dxa"/>
              <w:bottom w:w="30" w:type="dxa"/>
              <w:right w:w="120" w:type="dxa"/>
            </w:tcMar>
            <w:vAlign w:val="center"/>
          </w:tcPr>
          <w:p w14:paraId="0C772A12">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科主任管理子系统</w:t>
            </w:r>
          </w:p>
        </w:tc>
      </w:tr>
      <w:tr w14:paraId="4481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981" w:type="pct"/>
            <w:vMerge w:val="continue"/>
            <w:tcMar>
              <w:top w:w="60" w:type="dxa"/>
              <w:left w:w="120" w:type="dxa"/>
              <w:bottom w:w="30" w:type="dxa"/>
              <w:right w:w="120" w:type="dxa"/>
            </w:tcMar>
            <w:vAlign w:val="center"/>
          </w:tcPr>
          <w:p w14:paraId="295017A0">
            <w:pPr>
              <w:snapToGrid w:val="0"/>
              <w:spacing w:line="360" w:lineRule="auto"/>
              <w:jc w:val="center"/>
              <w:rPr>
                <w:rFonts w:ascii="仿宋" w:hAnsi="仿宋" w:eastAsia="仿宋" w:cs="仿宋"/>
                <w:sz w:val="24"/>
              </w:rPr>
            </w:pPr>
          </w:p>
        </w:tc>
        <w:tc>
          <w:tcPr>
            <w:tcW w:w="3018" w:type="pct"/>
            <w:tcBorders>
              <w:top w:val="nil"/>
              <w:left w:val="single" w:color="auto" w:sz="4" w:space="0"/>
              <w:bottom w:val="single" w:color="auto" w:sz="4" w:space="0"/>
              <w:right w:val="single" w:color="auto" w:sz="4" w:space="0"/>
            </w:tcBorders>
            <w:tcMar>
              <w:top w:w="60" w:type="dxa"/>
              <w:left w:w="120" w:type="dxa"/>
              <w:bottom w:w="30" w:type="dxa"/>
              <w:right w:w="120" w:type="dxa"/>
            </w:tcMar>
            <w:vAlign w:val="center"/>
          </w:tcPr>
          <w:p w14:paraId="1108282D">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排班管理子系统</w:t>
            </w:r>
          </w:p>
        </w:tc>
      </w:tr>
      <w:tr w14:paraId="19723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981" w:type="pct"/>
            <w:vMerge w:val="continue"/>
            <w:tcMar>
              <w:top w:w="60" w:type="dxa"/>
              <w:left w:w="120" w:type="dxa"/>
              <w:bottom w:w="30" w:type="dxa"/>
              <w:right w:w="120" w:type="dxa"/>
            </w:tcMar>
            <w:vAlign w:val="center"/>
          </w:tcPr>
          <w:p w14:paraId="3D777864">
            <w:pPr>
              <w:snapToGrid w:val="0"/>
              <w:spacing w:line="360" w:lineRule="auto"/>
              <w:jc w:val="center"/>
              <w:rPr>
                <w:rFonts w:ascii="仿宋" w:hAnsi="仿宋" w:eastAsia="仿宋" w:cs="仿宋"/>
                <w:sz w:val="24"/>
              </w:rPr>
            </w:pPr>
          </w:p>
        </w:tc>
        <w:tc>
          <w:tcPr>
            <w:tcW w:w="3018" w:type="pct"/>
            <w:tcBorders>
              <w:top w:val="nil"/>
              <w:left w:val="single" w:color="auto" w:sz="4" w:space="0"/>
              <w:bottom w:val="single" w:color="auto" w:sz="4" w:space="0"/>
              <w:right w:val="single" w:color="auto" w:sz="4" w:space="0"/>
            </w:tcBorders>
            <w:tcMar>
              <w:top w:w="60" w:type="dxa"/>
              <w:left w:w="120" w:type="dxa"/>
              <w:bottom w:w="30" w:type="dxa"/>
              <w:right w:w="120" w:type="dxa"/>
            </w:tcMar>
            <w:vAlign w:val="center"/>
          </w:tcPr>
          <w:p w14:paraId="17267A2C">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医护患者协同管理</w:t>
            </w:r>
          </w:p>
        </w:tc>
      </w:tr>
      <w:tr w14:paraId="35885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981" w:type="pct"/>
            <w:vMerge w:val="restart"/>
            <w:tcMar>
              <w:top w:w="60" w:type="dxa"/>
              <w:left w:w="120" w:type="dxa"/>
              <w:bottom w:w="30" w:type="dxa"/>
              <w:right w:w="120" w:type="dxa"/>
            </w:tcMar>
            <w:vAlign w:val="center"/>
          </w:tcPr>
          <w:p w14:paraId="61C5ACE7">
            <w:pPr>
              <w:snapToGrid w:val="0"/>
              <w:spacing w:line="360" w:lineRule="auto"/>
              <w:jc w:val="center"/>
              <w:rPr>
                <w:rFonts w:ascii="仿宋" w:hAnsi="仿宋" w:eastAsia="仿宋" w:cs="仿宋"/>
                <w:sz w:val="24"/>
              </w:rPr>
            </w:pPr>
            <w:r>
              <w:rPr>
                <w:rFonts w:hint="eastAsia" w:ascii="仿宋" w:hAnsi="仿宋" w:eastAsia="仿宋" w:cs="仿宋"/>
                <w:sz w:val="24"/>
              </w:rPr>
              <w:t>外部接口系统</w:t>
            </w:r>
          </w:p>
        </w:tc>
        <w:tc>
          <w:tcPr>
            <w:tcW w:w="3018" w:type="pct"/>
            <w:tcMar>
              <w:top w:w="60" w:type="dxa"/>
              <w:left w:w="120" w:type="dxa"/>
              <w:bottom w:w="30" w:type="dxa"/>
              <w:right w:w="120" w:type="dxa"/>
            </w:tcMar>
            <w:vAlign w:val="center"/>
          </w:tcPr>
          <w:p w14:paraId="623718B4">
            <w:pPr>
              <w:snapToGrid w:val="0"/>
              <w:spacing w:line="360" w:lineRule="auto"/>
              <w:rPr>
                <w:rFonts w:ascii="仿宋" w:hAnsi="仿宋" w:eastAsia="仿宋" w:cs="仿宋"/>
                <w:sz w:val="24"/>
              </w:rPr>
            </w:pPr>
            <w:r>
              <w:rPr>
                <w:rFonts w:hint="eastAsia" w:ascii="仿宋" w:hAnsi="仿宋" w:eastAsia="仿宋" w:cs="仿宋"/>
                <w:sz w:val="24"/>
              </w:rPr>
              <w:t>HIS系统接口（患者信息、收费数据、手术预约信息对接）</w:t>
            </w:r>
          </w:p>
        </w:tc>
      </w:tr>
      <w:tr w14:paraId="69E07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981" w:type="pct"/>
            <w:vMerge w:val="continue"/>
            <w:tcMar>
              <w:top w:w="60" w:type="dxa"/>
              <w:left w:w="120" w:type="dxa"/>
              <w:bottom w:w="30" w:type="dxa"/>
              <w:right w:w="120" w:type="dxa"/>
            </w:tcMar>
            <w:vAlign w:val="center"/>
          </w:tcPr>
          <w:p w14:paraId="74A275F7">
            <w:pPr>
              <w:snapToGrid w:val="0"/>
              <w:spacing w:line="360" w:lineRule="auto"/>
              <w:jc w:val="center"/>
              <w:rPr>
                <w:rFonts w:ascii="仿宋" w:hAnsi="仿宋" w:eastAsia="仿宋" w:cs="仿宋"/>
                <w:sz w:val="24"/>
              </w:rPr>
            </w:pPr>
          </w:p>
        </w:tc>
        <w:tc>
          <w:tcPr>
            <w:tcW w:w="3018" w:type="pct"/>
            <w:tcMar>
              <w:top w:w="60" w:type="dxa"/>
              <w:left w:w="120" w:type="dxa"/>
              <w:bottom w:w="30" w:type="dxa"/>
              <w:right w:w="120" w:type="dxa"/>
            </w:tcMar>
            <w:vAlign w:val="center"/>
          </w:tcPr>
          <w:p w14:paraId="54014F33">
            <w:pPr>
              <w:snapToGrid w:val="0"/>
              <w:spacing w:line="360" w:lineRule="auto"/>
              <w:rPr>
                <w:rFonts w:ascii="仿宋" w:hAnsi="仿宋" w:eastAsia="仿宋" w:cs="仿宋"/>
                <w:sz w:val="24"/>
              </w:rPr>
            </w:pPr>
            <w:r>
              <w:rPr>
                <w:rFonts w:hint="eastAsia" w:ascii="仿宋" w:hAnsi="仿宋" w:eastAsia="仿宋" w:cs="仿宋"/>
                <w:sz w:val="24"/>
              </w:rPr>
              <w:t>EMR系统接口（患者病历、诊断信息、术前检查结果对接）</w:t>
            </w:r>
          </w:p>
        </w:tc>
      </w:tr>
      <w:tr w14:paraId="22866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981" w:type="pct"/>
            <w:vMerge w:val="continue"/>
            <w:tcMar>
              <w:top w:w="60" w:type="dxa"/>
              <w:left w:w="120" w:type="dxa"/>
              <w:bottom w:w="30" w:type="dxa"/>
              <w:right w:w="120" w:type="dxa"/>
            </w:tcMar>
            <w:vAlign w:val="center"/>
          </w:tcPr>
          <w:p w14:paraId="6FFFB09B">
            <w:pPr>
              <w:snapToGrid w:val="0"/>
              <w:spacing w:line="360" w:lineRule="auto"/>
              <w:jc w:val="center"/>
              <w:rPr>
                <w:rFonts w:ascii="仿宋" w:hAnsi="仿宋" w:eastAsia="仿宋" w:cs="仿宋"/>
                <w:sz w:val="24"/>
              </w:rPr>
            </w:pPr>
          </w:p>
        </w:tc>
        <w:tc>
          <w:tcPr>
            <w:tcW w:w="3018" w:type="pct"/>
            <w:tcMar>
              <w:top w:w="60" w:type="dxa"/>
              <w:left w:w="120" w:type="dxa"/>
              <w:bottom w:w="30" w:type="dxa"/>
              <w:right w:w="120" w:type="dxa"/>
            </w:tcMar>
            <w:vAlign w:val="center"/>
          </w:tcPr>
          <w:p w14:paraId="28C5CCF7">
            <w:pPr>
              <w:snapToGrid w:val="0"/>
              <w:spacing w:line="360" w:lineRule="auto"/>
              <w:rPr>
                <w:rFonts w:ascii="仿宋" w:hAnsi="仿宋" w:eastAsia="仿宋" w:cs="仿宋"/>
                <w:sz w:val="24"/>
              </w:rPr>
            </w:pPr>
            <w:r>
              <w:rPr>
                <w:rFonts w:hint="eastAsia" w:ascii="仿宋" w:hAnsi="仿宋" w:eastAsia="仿宋" w:cs="仿宋"/>
                <w:sz w:val="24"/>
              </w:rPr>
              <w:t>PACS系统接口（手术相关影像资料对接、术中影像调取）</w:t>
            </w:r>
          </w:p>
        </w:tc>
      </w:tr>
      <w:tr w14:paraId="58566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981" w:type="pct"/>
            <w:vMerge w:val="continue"/>
            <w:tcMar>
              <w:top w:w="60" w:type="dxa"/>
              <w:left w:w="120" w:type="dxa"/>
              <w:bottom w:w="30" w:type="dxa"/>
              <w:right w:w="120" w:type="dxa"/>
            </w:tcMar>
            <w:vAlign w:val="center"/>
          </w:tcPr>
          <w:p w14:paraId="5FAF8DAE">
            <w:pPr>
              <w:snapToGrid w:val="0"/>
              <w:spacing w:line="360" w:lineRule="auto"/>
              <w:jc w:val="center"/>
              <w:rPr>
                <w:rFonts w:ascii="仿宋" w:hAnsi="仿宋" w:eastAsia="仿宋" w:cs="仿宋"/>
                <w:sz w:val="24"/>
              </w:rPr>
            </w:pPr>
          </w:p>
        </w:tc>
        <w:tc>
          <w:tcPr>
            <w:tcW w:w="3018" w:type="pct"/>
            <w:tcMar>
              <w:top w:w="60" w:type="dxa"/>
              <w:left w:w="120" w:type="dxa"/>
              <w:bottom w:w="30" w:type="dxa"/>
              <w:right w:w="120" w:type="dxa"/>
            </w:tcMar>
            <w:vAlign w:val="center"/>
          </w:tcPr>
          <w:p w14:paraId="50472F5B">
            <w:pPr>
              <w:snapToGrid w:val="0"/>
              <w:spacing w:line="360" w:lineRule="auto"/>
              <w:rPr>
                <w:rFonts w:ascii="仿宋" w:hAnsi="仿宋" w:eastAsia="仿宋" w:cs="仿宋"/>
                <w:sz w:val="24"/>
              </w:rPr>
            </w:pPr>
            <w:r>
              <w:rPr>
                <w:rFonts w:hint="eastAsia" w:ascii="仿宋" w:hAnsi="仿宋" w:eastAsia="仿宋" w:cs="仿宋"/>
                <w:sz w:val="24"/>
              </w:rPr>
              <w:t>医疗设备接口（麻醉机、监护仪、呼吸机等设备数据采集与联动）</w:t>
            </w:r>
          </w:p>
        </w:tc>
      </w:tr>
      <w:tr w14:paraId="710D8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981" w:type="pct"/>
            <w:vMerge w:val="restart"/>
            <w:tcBorders>
              <w:top w:val="nil"/>
              <w:left w:val="single" w:color="auto" w:sz="4" w:space="0"/>
              <w:right w:val="single" w:color="auto" w:sz="4" w:space="0"/>
            </w:tcBorders>
            <w:tcMar>
              <w:top w:w="60" w:type="dxa"/>
              <w:left w:w="120" w:type="dxa"/>
              <w:bottom w:w="30" w:type="dxa"/>
              <w:right w:w="120" w:type="dxa"/>
            </w:tcMar>
            <w:vAlign w:val="center"/>
          </w:tcPr>
          <w:p w14:paraId="6709BC0F">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其他</w:t>
            </w:r>
          </w:p>
        </w:tc>
        <w:tc>
          <w:tcPr>
            <w:tcW w:w="3018" w:type="pct"/>
            <w:tcBorders>
              <w:top w:val="nil"/>
              <w:left w:val="single" w:color="auto" w:sz="4" w:space="0"/>
              <w:bottom w:val="single" w:color="auto" w:sz="4" w:space="0"/>
              <w:right w:val="single" w:color="auto" w:sz="4" w:space="0"/>
            </w:tcBorders>
            <w:tcMar>
              <w:top w:w="60" w:type="dxa"/>
              <w:left w:w="120" w:type="dxa"/>
              <w:bottom w:w="30" w:type="dxa"/>
              <w:right w:w="120" w:type="dxa"/>
            </w:tcMar>
            <w:vAlign w:val="center"/>
          </w:tcPr>
          <w:p w14:paraId="476717F5">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麻醉质量管理子系统</w:t>
            </w:r>
          </w:p>
        </w:tc>
      </w:tr>
      <w:tr w14:paraId="759F9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981" w:type="pct"/>
            <w:vMerge w:val="continue"/>
            <w:tcMar>
              <w:top w:w="60" w:type="dxa"/>
              <w:left w:w="120" w:type="dxa"/>
              <w:bottom w:w="30" w:type="dxa"/>
              <w:right w:w="120" w:type="dxa"/>
            </w:tcMar>
            <w:vAlign w:val="center"/>
          </w:tcPr>
          <w:p w14:paraId="2D8F17C5">
            <w:pPr>
              <w:snapToGrid w:val="0"/>
              <w:spacing w:line="360" w:lineRule="auto"/>
              <w:jc w:val="center"/>
              <w:rPr>
                <w:rFonts w:ascii="仿宋" w:hAnsi="仿宋" w:eastAsia="仿宋" w:cs="仿宋"/>
                <w:sz w:val="24"/>
              </w:rPr>
            </w:pPr>
          </w:p>
        </w:tc>
        <w:tc>
          <w:tcPr>
            <w:tcW w:w="3018"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D289AF6">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统计查询管理子系统</w:t>
            </w:r>
          </w:p>
        </w:tc>
      </w:tr>
      <w:tr w14:paraId="66726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981" w:type="pct"/>
            <w:vMerge w:val="continue"/>
            <w:tcMar>
              <w:top w:w="60" w:type="dxa"/>
              <w:left w:w="120" w:type="dxa"/>
              <w:bottom w:w="30" w:type="dxa"/>
              <w:right w:w="120" w:type="dxa"/>
            </w:tcMar>
            <w:vAlign w:val="center"/>
          </w:tcPr>
          <w:p w14:paraId="6E4EC2F4">
            <w:pPr>
              <w:snapToGrid w:val="0"/>
              <w:spacing w:line="360" w:lineRule="auto"/>
              <w:jc w:val="center"/>
              <w:rPr>
                <w:rFonts w:ascii="仿宋" w:hAnsi="仿宋" w:eastAsia="仿宋" w:cs="仿宋"/>
                <w:sz w:val="24"/>
              </w:rPr>
            </w:pPr>
          </w:p>
        </w:tc>
        <w:tc>
          <w:tcPr>
            <w:tcW w:w="3018"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7EB9456">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用户权限管理子系统</w:t>
            </w:r>
          </w:p>
        </w:tc>
      </w:tr>
    </w:tbl>
    <w:p w14:paraId="0E02A5F9">
      <w:pPr>
        <w:snapToGrid w:val="0"/>
        <w:spacing w:line="360" w:lineRule="auto"/>
        <w:jc w:val="left"/>
        <w:rPr>
          <w:rFonts w:ascii="仿宋" w:hAnsi="仿宋" w:eastAsia="仿宋" w:cs="仿宋"/>
          <w:sz w:val="24"/>
        </w:rPr>
      </w:pPr>
      <w:r>
        <w:rPr>
          <w:rFonts w:hint="eastAsia" w:ascii="仿宋" w:hAnsi="仿宋" w:eastAsia="仿宋" w:cs="仿宋"/>
          <w:b/>
          <w:sz w:val="24"/>
        </w:rPr>
        <w:t>3. 故障分级标准及服务级别协议（SLA）要求</w:t>
      </w:r>
    </w:p>
    <w:p w14:paraId="4E8FB75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结合医疗行业业务连续性要求、《医疗卫生机构网络安全管理办法》事件分级标准，制定四级故障分级与刚性SLA要求，服务商须提供7×24小时全时段服务，工作日、节假日、夜间执行统一响应与处置标准，具体如下：</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32"/>
        <w:gridCol w:w="1721"/>
        <w:gridCol w:w="3443"/>
        <w:gridCol w:w="3042"/>
      </w:tblGrid>
      <w:tr w14:paraId="650A1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10" w:type="pct"/>
            <w:tcMar>
              <w:top w:w="60" w:type="dxa"/>
              <w:left w:w="120" w:type="dxa"/>
              <w:bottom w:w="30" w:type="dxa"/>
              <w:right w:w="120" w:type="dxa"/>
            </w:tcMar>
            <w:vAlign w:val="center"/>
          </w:tcPr>
          <w:p w14:paraId="14847229">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941" w:type="pct"/>
            <w:tcMar>
              <w:top w:w="60" w:type="dxa"/>
              <w:left w:w="120" w:type="dxa"/>
              <w:bottom w:w="30" w:type="dxa"/>
              <w:right w:w="120" w:type="dxa"/>
            </w:tcMar>
            <w:vAlign w:val="center"/>
          </w:tcPr>
          <w:p w14:paraId="44D05328">
            <w:pPr>
              <w:snapToGrid w:val="0"/>
              <w:spacing w:line="360" w:lineRule="auto"/>
              <w:jc w:val="center"/>
              <w:rPr>
                <w:rFonts w:ascii="仿宋" w:hAnsi="仿宋" w:eastAsia="仿宋" w:cs="仿宋"/>
                <w:b/>
                <w:sz w:val="24"/>
              </w:rPr>
            </w:pPr>
            <w:r>
              <w:rPr>
                <w:rFonts w:hint="eastAsia" w:ascii="仿宋" w:hAnsi="仿宋" w:eastAsia="仿宋" w:cs="仿宋"/>
                <w:b/>
                <w:sz w:val="24"/>
              </w:rPr>
              <w:t>故障等级</w:t>
            </w:r>
          </w:p>
        </w:tc>
        <w:tc>
          <w:tcPr>
            <w:tcW w:w="1883" w:type="pct"/>
            <w:tcMar>
              <w:top w:w="60" w:type="dxa"/>
              <w:left w:w="120" w:type="dxa"/>
              <w:bottom w:w="30" w:type="dxa"/>
              <w:right w:w="120" w:type="dxa"/>
            </w:tcMar>
            <w:vAlign w:val="center"/>
          </w:tcPr>
          <w:p w14:paraId="0F5FFDBC">
            <w:pPr>
              <w:snapToGrid w:val="0"/>
              <w:spacing w:line="360" w:lineRule="auto"/>
              <w:jc w:val="center"/>
              <w:rPr>
                <w:rFonts w:ascii="仿宋" w:hAnsi="仿宋" w:eastAsia="仿宋" w:cs="仿宋"/>
                <w:b/>
                <w:sz w:val="24"/>
              </w:rPr>
            </w:pPr>
            <w:r>
              <w:rPr>
                <w:rFonts w:hint="eastAsia" w:ascii="仿宋" w:hAnsi="仿宋" w:eastAsia="仿宋" w:cs="仿宋"/>
                <w:b/>
                <w:sz w:val="24"/>
              </w:rPr>
              <w:t>故障情况描述</w:t>
            </w:r>
          </w:p>
        </w:tc>
        <w:tc>
          <w:tcPr>
            <w:tcW w:w="1664" w:type="pct"/>
            <w:tcMar>
              <w:top w:w="60" w:type="dxa"/>
              <w:left w:w="120" w:type="dxa"/>
              <w:bottom w:w="30" w:type="dxa"/>
              <w:right w:w="120" w:type="dxa"/>
            </w:tcMar>
            <w:vAlign w:val="center"/>
          </w:tcPr>
          <w:p w14:paraId="4A8D6779">
            <w:pPr>
              <w:snapToGrid w:val="0"/>
              <w:spacing w:line="360" w:lineRule="auto"/>
              <w:jc w:val="center"/>
              <w:rPr>
                <w:rFonts w:ascii="仿宋" w:hAnsi="仿宋" w:eastAsia="仿宋" w:cs="仿宋"/>
                <w:b/>
                <w:sz w:val="24"/>
              </w:rPr>
            </w:pPr>
            <w:r>
              <w:rPr>
                <w:rFonts w:hint="eastAsia" w:ascii="仿宋" w:hAnsi="仿宋" w:eastAsia="仿宋" w:cs="仿宋"/>
                <w:b/>
                <w:sz w:val="24"/>
              </w:rPr>
              <w:t>刚性SLA要求</w:t>
            </w:r>
          </w:p>
        </w:tc>
      </w:tr>
      <w:tr w14:paraId="04084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10" w:type="pct"/>
            <w:tcMar>
              <w:top w:w="60" w:type="dxa"/>
              <w:left w:w="120" w:type="dxa"/>
              <w:bottom w:w="30" w:type="dxa"/>
              <w:right w:w="120" w:type="dxa"/>
            </w:tcMar>
            <w:vAlign w:val="center"/>
          </w:tcPr>
          <w:p w14:paraId="5F24F39D">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941" w:type="pct"/>
            <w:tcMar>
              <w:top w:w="60" w:type="dxa"/>
              <w:left w:w="120" w:type="dxa"/>
              <w:bottom w:w="30" w:type="dxa"/>
              <w:right w:w="120" w:type="dxa"/>
            </w:tcMar>
            <w:vAlign w:val="center"/>
          </w:tcPr>
          <w:p w14:paraId="456E2ECD">
            <w:pPr>
              <w:snapToGrid w:val="0"/>
              <w:spacing w:line="360" w:lineRule="auto"/>
              <w:jc w:val="center"/>
              <w:rPr>
                <w:rFonts w:ascii="仿宋" w:hAnsi="仿宋" w:eastAsia="仿宋" w:cs="仿宋"/>
                <w:sz w:val="24"/>
              </w:rPr>
            </w:pPr>
            <w:r>
              <w:rPr>
                <w:rFonts w:hint="eastAsia" w:ascii="仿宋" w:hAnsi="仿宋" w:eastAsia="仿宋" w:cs="仿宋"/>
                <w:sz w:val="24"/>
              </w:rPr>
              <w:t>一级故障（重大）</w:t>
            </w:r>
          </w:p>
        </w:tc>
        <w:tc>
          <w:tcPr>
            <w:tcW w:w="1883" w:type="pct"/>
            <w:tcMar>
              <w:top w:w="60" w:type="dxa"/>
              <w:left w:w="120" w:type="dxa"/>
              <w:bottom w:w="30" w:type="dxa"/>
              <w:right w:w="120" w:type="dxa"/>
            </w:tcMar>
            <w:vAlign w:val="center"/>
          </w:tcPr>
          <w:p w14:paraId="1762D2DB">
            <w:pPr>
              <w:snapToGrid w:val="0"/>
              <w:spacing w:line="360" w:lineRule="auto"/>
              <w:rPr>
                <w:rFonts w:ascii="仿宋" w:hAnsi="仿宋" w:eastAsia="仿宋" w:cs="仿宋"/>
                <w:sz w:val="24"/>
              </w:rPr>
            </w:pPr>
            <w:r>
              <w:rPr>
                <w:rFonts w:hint="eastAsia" w:ascii="仿宋" w:hAnsi="仿宋" w:eastAsia="仿宋" w:cs="仿宋"/>
                <w:sz w:val="24"/>
              </w:rPr>
              <w:t>1.系统核心服务瘫痪，导致术中麻醉管理、生命体征监测、麻醉记录无法正常进行，直接威胁手术患者生命安全；</w:t>
            </w:r>
          </w:p>
          <w:p w14:paraId="71F0AA21">
            <w:pPr>
              <w:snapToGrid w:val="0"/>
              <w:spacing w:line="360" w:lineRule="auto"/>
              <w:rPr>
                <w:rFonts w:ascii="仿宋" w:hAnsi="仿宋" w:eastAsia="仿宋" w:cs="仿宋"/>
                <w:sz w:val="24"/>
              </w:rPr>
            </w:pPr>
            <w:r>
              <w:rPr>
                <w:rFonts w:hint="eastAsia" w:ascii="仿宋" w:hAnsi="仿宋" w:eastAsia="仿宋" w:cs="仿宋"/>
                <w:sz w:val="24"/>
              </w:rPr>
              <w:t>2. 系统与麻醉机、监护仪等核心医疗设备接口完全中断，生命体征数据无法采集、异常情况无法预警，影响麻醉实施；</w:t>
            </w:r>
          </w:p>
          <w:p w14:paraId="0557348A">
            <w:pPr>
              <w:snapToGrid w:val="0"/>
              <w:spacing w:line="360" w:lineRule="auto"/>
              <w:jc w:val="left"/>
              <w:rPr>
                <w:rFonts w:ascii="仿宋" w:hAnsi="仿宋" w:eastAsia="仿宋" w:cs="仿宋"/>
                <w:sz w:val="24"/>
              </w:rPr>
            </w:pPr>
            <w:r>
              <w:rPr>
                <w:rFonts w:hint="eastAsia" w:ascii="仿宋" w:hAnsi="仿宋" w:eastAsia="仿宋" w:cs="仿宋"/>
                <w:sz w:val="24"/>
              </w:rPr>
              <w:t>3. 发生患者个人信息批量泄露、医疗数据被篡改/丢失等重大数据安全事件；</w:t>
            </w:r>
          </w:p>
          <w:p w14:paraId="7D375561">
            <w:pPr>
              <w:snapToGrid w:val="0"/>
              <w:spacing w:line="360" w:lineRule="auto"/>
              <w:rPr>
                <w:rFonts w:ascii="仿宋" w:hAnsi="仿宋" w:eastAsia="仿宋" w:cs="仿宋"/>
                <w:sz w:val="24"/>
              </w:rPr>
            </w:pPr>
            <w:r>
              <w:rPr>
                <w:rFonts w:hint="eastAsia" w:ascii="仿宋" w:hAnsi="仿宋" w:eastAsia="仿宋" w:cs="仿宋"/>
                <w:sz w:val="24"/>
              </w:rPr>
              <w:t>4. 系统被非法入侵、攻击，出现高危安全漏洞，威胁医院整体网络安全。</w:t>
            </w:r>
          </w:p>
        </w:tc>
        <w:tc>
          <w:tcPr>
            <w:tcW w:w="1664" w:type="pct"/>
            <w:tcMar>
              <w:top w:w="60" w:type="dxa"/>
              <w:left w:w="120" w:type="dxa"/>
              <w:bottom w:w="30" w:type="dxa"/>
              <w:right w:w="120" w:type="dxa"/>
            </w:tcMar>
          </w:tcPr>
          <w:p w14:paraId="52DD1F37">
            <w:pPr>
              <w:snapToGrid w:val="0"/>
              <w:spacing w:line="360" w:lineRule="auto"/>
              <w:jc w:val="left"/>
              <w:rPr>
                <w:rFonts w:ascii="仿宋" w:hAnsi="仿宋" w:eastAsia="仿宋" w:cs="仿宋"/>
                <w:sz w:val="24"/>
              </w:rPr>
            </w:pPr>
            <w:r>
              <w:rPr>
                <w:rFonts w:hint="eastAsia" w:ascii="仿宋" w:hAnsi="仿宋" w:eastAsia="仿宋" w:cs="仿宋"/>
                <w:sz w:val="24"/>
              </w:rPr>
              <w:t>1. 10分钟内必须响应，与采购人明确故障情况，出具应急处置方案；</w:t>
            </w:r>
          </w:p>
          <w:p w14:paraId="5C98C47D">
            <w:pPr>
              <w:snapToGrid w:val="0"/>
              <w:spacing w:line="360" w:lineRule="auto"/>
              <w:jc w:val="left"/>
              <w:rPr>
                <w:rFonts w:ascii="仿宋" w:hAnsi="仿宋" w:eastAsia="仿宋" w:cs="仿宋"/>
                <w:sz w:val="24"/>
              </w:rPr>
            </w:pPr>
            <w:r>
              <w:rPr>
                <w:rFonts w:hint="eastAsia" w:ascii="仿宋" w:hAnsi="仿宋" w:eastAsia="仿宋" w:cs="仿宋"/>
                <w:sz w:val="24"/>
              </w:rPr>
              <w:t>2. 4小时内派驻具备资质的技术人员到达现场；</w:t>
            </w:r>
          </w:p>
          <w:p w14:paraId="1FE2C56F">
            <w:pPr>
              <w:snapToGrid w:val="0"/>
              <w:spacing w:line="360" w:lineRule="auto"/>
              <w:jc w:val="left"/>
              <w:rPr>
                <w:rFonts w:ascii="仿宋" w:hAnsi="仿宋" w:eastAsia="仿宋" w:cs="仿宋"/>
                <w:sz w:val="24"/>
              </w:rPr>
            </w:pPr>
            <w:r>
              <w:rPr>
                <w:rFonts w:hint="eastAsia" w:ascii="仿宋" w:hAnsi="仿宋" w:eastAsia="仿宋" w:cs="仿宋"/>
                <w:sz w:val="24"/>
              </w:rPr>
              <w:t>3. 6小时内完成故障修复，恢复系统核心业务正常运行；</w:t>
            </w:r>
          </w:p>
          <w:p w14:paraId="7C412C36">
            <w:pPr>
              <w:snapToGrid w:val="0"/>
              <w:spacing w:line="360" w:lineRule="auto"/>
              <w:jc w:val="left"/>
              <w:rPr>
                <w:rFonts w:ascii="仿宋" w:hAnsi="仿宋" w:eastAsia="仿宋" w:cs="仿宋"/>
                <w:sz w:val="24"/>
              </w:rPr>
            </w:pPr>
            <w:r>
              <w:rPr>
                <w:rFonts w:hint="eastAsia" w:ascii="仿宋" w:hAnsi="仿宋" w:eastAsia="仿宋" w:cs="仿宋"/>
                <w:sz w:val="24"/>
              </w:rPr>
              <w:t>4. 无法在时限内完全修复的，须提供临时应急方案保障业务连续性，直至系统完全恢复；</w:t>
            </w:r>
          </w:p>
          <w:p w14:paraId="255DFF9A">
            <w:pPr>
              <w:snapToGrid w:val="0"/>
              <w:spacing w:line="360" w:lineRule="auto"/>
              <w:jc w:val="left"/>
              <w:rPr>
                <w:rFonts w:ascii="仿宋" w:hAnsi="仿宋" w:eastAsia="仿宋" w:cs="仿宋"/>
                <w:sz w:val="24"/>
              </w:rPr>
            </w:pPr>
            <w:r>
              <w:rPr>
                <w:rFonts w:hint="eastAsia" w:ascii="仿宋" w:hAnsi="仿宋" w:eastAsia="仿宋" w:cs="仿宋"/>
                <w:sz w:val="24"/>
              </w:rPr>
              <w:t>5. 故障处置完成后24小时内提交正式故障分析与复盘报告。</w:t>
            </w:r>
          </w:p>
        </w:tc>
      </w:tr>
      <w:tr w14:paraId="2DE17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10" w:type="pct"/>
            <w:tcMar>
              <w:top w:w="60" w:type="dxa"/>
              <w:left w:w="120" w:type="dxa"/>
              <w:bottom w:w="30" w:type="dxa"/>
              <w:right w:w="120" w:type="dxa"/>
            </w:tcMar>
            <w:vAlign w:val="center"/>
          </w:tcPr>
          <w:p w14:paraId="137AD492">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941" w:type="pct"/>
            <w:tcMar>
              <w:top w:w="60" w:type="dxa"/>
              <w:left w:w="120" w:type="dxa"/>
              <w:bottom w:w="30" w:type="dxa"/>
              <w:right w:w="120" w:type="dxa"/>
            </w:tcMar>
            <w:vAlign w:val="center"/>
          </w:tcPr>
          <w:p w14:paraId="162F93A3">
            <w:pPr>
              <w:snapToGrid w:val="0"/>
              <w:spacing w:line="360" w:lineRule="auto"/>
              <w:jc w:val="center"/>
              <w:rPr>
                <w:rFonts w:ascii="仿宋" w:hAnsi="仿宋" w:eastAsia="仿宋" w:cs="仿宋"/>
                <w:sz w:val="24"/>
              </w:rPr>
            </w:pPr>
            <w:r>
              <w:rPr>
                <w:rFonts w:hint="eastAsia" w:ascii="仿宋" w:hAnsi="仿宋" w:eastAsia="仿宋" w:cs="仿宋"/>
                <w:sz w:val="24"/>
              </w:rPr>
              <w:t>二级故障（严重）</w:t>
            </w:r>
          </w:p>
        </w:tc>
        <w:tc>
          <w:tcPr>
            <w:tcW w:w="1883" w:type="pct"/>
            <w:tcMar>
              <w:top w:w="60" w:type="dxa"/>
              <w:left w:w="120" w:type="dxa"/>
              <w:bottom w:w="30" w:type="dxa"/>
              <w:right w:w="120" w:type="dxa"/>
            </w:tcMar>
          </w:tcPr>
          <w:p w14:paraId="0E9B91E2">
            <w:pPr>
              <w:snapToGrid w:val="0"/>
              <w:spacing w:line="360" w:lineRule="auto"/>
              <w:jc w:val="left"/>
              <w:rPr>
                <w:rFonts w:ascii="仿宋" w:hAnsi="仿宋" w:eastAsia="仿宋" w:cs="仿宋"/>
                <w:sz w:val="24"/>
              </w:rPr>
            </w:pPr>
            <w:r>
              <w:rPr>
                <w:rFonts w:hint="eastAsia" w:ascii="仿宋" w:hAnsi="仿宋" w:eastAsia="仿宋" w:cs="仿宋"/>
                <w:sz w:val="24"/>
              </w:rPr>
              <w:t>1. 系统操作性能严重降级，核心功能响应延迟超500%，严重影响医生操作与患者业务办理；</w:t>
            </w:r>
          </w:p>
          <w:p w14:paraId="397A088C">
            <w:pPr>
              <w:snapToGrid w:val="0"/>
              <w:spacing w:line="360" w:lineRule="auto"/>
              <w:jc w:val="left"/>
              <w:rPr>
                <w:rFonts w:ascii="仿宋" w:hAnsi="仿宋" w:eastAsia="仿宋" w:cs="仿宋"/>
                <w:sz w:val="24"/>
              </w:rPr>
            </w:pPr>
            <w:r>
              <w:rPr>
                <w:rFonts w:hint="eastAsia" w:ascii="仿宋" w:hAnsi="仿宋" w:eastAsia="仿宋" w:cs="仿宋"/>
                <w:sz w:val="24"/>
              </w:rPr>
              <w:t>2. 核心科室、门诊3个及以上科室系统无法正常使用，影响大面积患者就医；</w:t>
            </w:r>
          </w:p>
          <w:p w14:paraId="51791114">
            <w:pPr>
              <w:snapToGrid w:val="0"/>
              <w:spacing w:line="360" w:lineRule="auto"/>
              <w:jc w:val="left"/>
              <w:rPr>
                <w:rFonts w:ascii="仿宋" w:hAnsi="仿宋" w:eastAsia="仿宋" w:cs="仿宋"/>
                <w:sz w:val="24"/>
              </w:rPr>
            </w:pPr>
            <w:r>
              <w:rPr>
                <w:rFonts w:hint="eastAsia" w:ascii="仿宋" w:hAnsi="仿宋" w:eastAsia="仿宋" w:cs="仿宋"/>
                <w:sz w:val="24"/>
              </w:rPr>
              <w:t>3. 系统出现数据异常、统计错误，影响医疗业务正常开展，存在数据安全隐患。</w:t>
            </w:r>
          </w:p>
        </w:tc>
        <w:tc>
          <w:tcPr>
            <w:tcW w:w="1664" w:type="pct"/>
            <w:tcMar>
              <w:top w:w="60" w:type="dxa"/>
              <w:left w:w="120" w:type="dxa"/>
              <w:bottom w:w="30" w:type="dxa"/>
              <w:right w:w="120" w:type="dxa"/>
            </w:tcMar>
          </w:tcPr>
          <w:p w14:paraId="31022752">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30分钟内必须响应，出具初步处置方案；</w:t>
            </w:r>
          </w:p>
          <w:p w14:paraId="3AE21413">
            <w:pPr>
              <w:snapToGrid w:val="0"/>
              <w:spacing w:line="360" w:lineRule="auto"/>
              <w:jc w:val="left"/>
              <w:rPr>
                <w:rFonts w:ascii="仿宋" w:hAnsi="仿宋" w:eastAsia="仿宋" w:cs="仿宋"/>
                <w:sz w:val="24"/>
              </w:rPr>
            </w:pPr>
            <w:r>
              <w:rPr>
                <w:rFonts w:hint="eastAsia" w:ascii="仿宋" w:hAnsi="仿宋" w:eastAsia="仿宋" w:cs="仿宋"/>
                <w:sz w:val="24"/>
              </w:rPr>
              <w:t>2. 6小时内到达现场或通过安全远程方式完成故障处置；</w:t>
            </w:r>
          </w:p>
          <w:p w14:paraId="01477C2A">
            <w:pPr>
              <w:snapToGrid w:val="0"/>
              <w:spacing w:line="360" w:lineRule="auto"/>
              <w:jc w:val="left"/>
              <w:rPr>
                <w:rFonts w:ascii="仿宋" w:hAnsi="仿宋" w:eastAsia="仿宋" w:cs="仿宋"/>
                <w:sz w:val="24"/>
              </w:rPr>
            </w:pPr>
            <w:r>
              <w:rPr>
                <w:rFonts w:hint="eastAsia" w:ascii="仿宋" w:hAnsi="仿宋" w:eastAsia="仿宋" w:cs="仿宋"/>
                <w:sz w:val="24"/>
              </w:rPr>
              <w:t>3. 12小时内完成故障修复，系统恢复正常运行；</w:t>
            </w:r>
          </w:p>
          <w:p w14:paraId="7563913C">
            <w:pPr>
              <w:snapToGrid w:val="0"/>
              <w:spacing w:line="360" w:lineRule="auto"/>
              <w:jc w:val="left"/>
              <w:rPr>
                <w:rFonts w:ascii="仿宋" w:hAnsi="仿宋" w:eastAsia="仿宋" w:cs="仿宋"/>
                <w:sz w:val="24"/>
              </w:rPr>
            </w:pPr>
            <w:r>
              <w:rPr>
                <w:rFonts w:hint="eastAsia" w:ascii="仿宋" w:hAnsi="仿宋" w:eastAsia="仿宋" w:cs="仿宋"/>
                <w:sz w:val="24"/>
              </w:rPr>
              <w:t>4. 故障处置完成后3个工作日内提交故障分析报告。</w:t>
            </w:r>
          </w:p>
        </w:tc>
      </w:tr>
      <w:tr w14:paraId="02DDF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10" w:type="pct"/>
            <w:tcMar>
              <w:top w:w="60" w:type="dxa"/>
              <w:left w:w="120" w:type="dxa"/>
              <w:bottom w:w="30" w:type="dxa"/>
              <w:right w:w="120" w:type="dxa"/>
            </w:tcMar>
            <w:vAlign w:val="center"/>
          </w:tcPr>
          <w:p w14:paraId="3BC06198">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941" w:type="pct"/>
            <w:tcMar>
              <w:top w:w="60" w:type="dxa"/>
              <w:left w:w="120" w:type="dxa"/>
              <w:bottom w:w="30" w:type="dxa"/>
              <w:right w:w="120" w:type="dxa"/>
            </w:tcMar>
            <w:vAlign w:val="center"/>
          </w:tcPr>
          <w:p w14:paraId="6D755844">
            <w:pPr>
              <w:snapToGrid w:val="0"/>
              <w:spacing w:line="360" w:lineRule="auto"/>
              <w:jc w:val="center"/>
              <w:rPr>
                <w:rFonts w:ascii="仿宋" w:hAnsi="仿宋" w:eastAsia="仿宋" w:cs="仿宋"/>
                <w:sz w:val="24"/>
              </w:rPr>
            </w:pPr>
            <w:r>
              <w:rPr>
                <w:rFonts w:hint="eastAsia" w:ascii="仿宋" w:hAnsi="仿宋" w:eastAsia="仿宋" w:cs="仿宋"/>
                <w:sz w:val="24"/>
              </w:rPr>
              <w:t>三级故障（一般）</w:t>
            </w:r>
          </w:p>
        </w:tc>
        <w:tc>
          <w:tcPr>
            <w:tcW w:w="1883" w:type="pct"/>
            <w:tcMar>
              <w:top w:w="60" w:type="dxa"/>
              <w:left w:w="120" w:type="dxa"/>
              <w:bottom w:w="30" w:type="dxa"/>
              <w:right w:w="120" w:type="dxa"/>
            </w:tcMar>
          </w:tcPr>
          <w:p w14:paraId="2DD34908">
            <w:pPr>
              <w:snapToGrid w:val="0"/>
              <w:spacing w:line="360" w:lineRule="auto"/>
              <w:jc w:val="left"/>
              <w:rPr>
                <w:rFonts w:ascii="仿宋" w:hAnsi="仿宋" w:eastAsia="仿宋" w:cs="仿宋"/>
                <w:sz w:val="24"/>
              </w:rPr>
            </w:pPr>
            <w:r>
              <w:rPr>
                <w:rFonts w:hint="eastAsia" w:ascii="仿宋" w:hAnsi="仿宋" w:eastAsia="仿宋" w:cs="仿宋"/>
                <w:sz w:val="24"/>
              </w:rPr>
              <w:t>1. 系统非核心功能受损，仅影响单个科室/少量终端使用，医院核心业务可正常开展；</w:t>
            </w:r>
          </w:p>
          <w:p w14:paraId="61E88543">
            <w:pPr>
              <w:snapToGrid w:val="0"/>
              <w:spacing w:line="360" w:lineRule="auto"/>
              <w:jc w:val="left"/>
              <w:rPr>
                <w:rFonts w:ascii="仿宋" w:hAnsi="仿宋" w:eastAsia="仿宋" w:cs="仿宋"/>
                <w:sz w:val="24"/>
              </w:rPr>
            </w:pPr>
            <w:r>
              <w:rPr>
                <w:rFonts w:hint="eastAsia" w:ascii="仿宋" w:hAnsi="仿宋" w:eastAsia="仿宋" w:cs="仿宋"/>
                <w:sz w:val="24"/>
              </w:rPr>
              <w:t>2. 系统出现局部数据异常、报表统计偏差，不影响核心业务办理；</w:t>
            </w:r>
          </w:p>
          <w:p w14:paraId="37D9BF21">
            <w:pPr>
              <w:snapToGrid w:val="0"/>
              <w:spacing w:line="360" w:lineRule="auto"/>
              <w:jc w:val="left"/>
              <w:rPr>
                <w:rFonts w:ascii="仿宋" w:hAnsi="仿宋" w:eastAsia="仿宋" w:cs="仿宋"/>
                <w:sz w:val="24"/>
              </w:rPr>
            </w:pPr>
            <w:r>
              <w:rPr>
                <w:rFonts w:hint="eastAsia" w:ascii="仿宋" w:hAnsi="仿宋" w:eastAsia="仿宋" w:cs="仿宋"/>
                <w:sz w:val="24"/>
              </w:rPr>
              <w:t>3.配套设备故障，不影响整体业务流程。</w:t>
            </w:r>
          </w:p>
        </w:tc>
        <w:tc>
          <w:tcPr>
            <w:tcW w:w="1664" w:type="pct"/>
            <w:tcMar>
              <w:top w:w="60" w:type="dxa"/>
              <w:left w:w="120" w:type="dxa"/>
              <w:bottom w:w="30" w:type="dxa"/>
              <w:right w:w="120" w:type="dxa"/>
            </w:tcMar>
          </w:tcPr>
          <w:p w14:paraId="12D382F9">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30分钟内必须响应，出具处置方案；</w:t>
            </w:r>
          </w:p>
          <w:p w14:paraId="00D006F5">
            <w:pPr>
              <w:snapToGrid w:val="0"/>
              <w:spacing w:line="360" w:lineRule="auto"/>
              <w:jc w:val="left"/>
              <w:rPr>
                <w:rFonts w:ascii="仿宋" w:hAnsi="仿宋" w:eastAsia="仿宋" w:cs="仿宋"/>
                <w:sz w:val="24"/>
              </w:rPr>
            </w:pPr>
            <w:r>
              <w:rPr>
                <w:rFonts w:hint="eastAsia" w:ascii="仿宋" w:hAnsi="仿宋" w:eastAsia="仿宋" w:cs="仿宋"/>
                <w:sz w:val="24"/>
              </w:rPr>
              <w:t>2. 12小时内到达现场或通过远程方式完成故障处置；</w:t>
            </w:r>
          </w:p>
          <w:p w14:paraId="3F0013DB">
            <w:pPr>
              <w:snapToGrid w:val="0"/>
              <w:spacing w:line="360" w:lineRule="auto"/>
              <w:jc w:val="left"/>
              <w:rPr>
                <w:rFonts w:ascii="仿宋" w:hAnsi="仿宋" w:eastAsia="仿宋" w:cs="仿宋"/>
                <w:sz w:val="24"/>
              </w:rPr>
            </w:pPr>
            <w:r>
              <w:rPr>
                <w:rFonts w:hint="eastAsia" w:ascii="仿宋" w:hAnsi="仿宋" w:eastAsia="仿宋" w:cs="仿宋"/>
                <w:sz w:val="24"/>
              </w:rPr>
              <w:t>3. 24小时内完成故障修复，闭环处置问题。</w:t>
            </w:r>
          </w:p>
        </w:tc>
      </w:tr>
      <w:tr w14:paraId="21D11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10" w:type="pct"/>
            <w:tcMar>
              <w:top w:w="60" w:type="dxa"/>
              <w:left w:w="120" w:type="dxa"/>
              <w:bottom w:w="30" w:type="dxa"/>
              <w:right w:w="120" w:type="dxa"/>
            </w:tcMar>
            <w:vAlign w:val="center"/>
          </w:tcPr>
          <w:p w14:paraId="12E2F4D3">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941" w:type="pct"/>
            <w:tcMar>
              <w:top w:w="60" w:type="dxa"/>
              <w:left w:w="120" w:type="dxa"/>
              <w:bottom w:w="30" w:type="dxa"/>
              <w:right w:w="120" w:type="dxa"/>
            </w:tcMar>
            <w:vAlign w:val="center"/>
          </w:tcPr>
          <w:p w14:paraId="58DBE8AB">
            <w:pPr>
              <w:snapToGrid w:val="0"/>
              <w:spacing w:line="360" w:lineRule="auto"/>
              <w:jc w:val="center"/>
              <w:rPr>
                <w:rFonts w:ascii="仿宋" w:hAnsi="仿宋" w:eastAsia="仿宋" w:cs="仿宋"/>
                <w:sz w:val="24"/>
              </w:rPr>
            </w:pPr>
            <w:r>
              <w:rPr>
                <w:rFonts w:hint="eastAsia" w:ascii="仿宋" w:hAnsi="仿宋" w:eastAsia="仿宋" w:cs="仿宋"/>
                <w:sz w:val="24"/>
              </w:rPr>
              <w:t>四级故障（轻微）</w:t>
            </w:r>
          </w:p>
        </w:tc>
        <w:tc>
          <w:tcPr>
            <w:tcW w:w="1883" w:type="pct"/>
            <w:tcMar>
              <w:top w:w="60" w:type="dxa"/>
              <w:left w:w="120" w:type="dxa"/>
              <w:bottom w:w="30" w:type="dxa"/>
              <w:right w:w="120" w:type="dxa"/>
            </w:tcMar>
          </w:tcPr>
          <w:p w14:paraId="25181E16">
            <w:pPr>
              <w:snapToGrid w:val="0"/>
              <w:spacing w:line="360" w:lineRule="auto"/>
              <w:jc w:val="left"/>
              <w:rPr>
                <w:rFonts w:ascii="仿宋" w:hAnsi="仿宋" w:eastAsia="仿宋" w:cs="仿宋"/>
                <w:sz w:val="24"/>
              </w:rPr>
            </w:pPr>
            <w:r>
              <w:rPr>
                <w:rFonts w:hint="eastAsia" w:ascii="仿宋" w:hAnsi="仿宋" w:eastAsia="仿宋" w:cs="仿宋"/>
                <w:sz w:val="24"/>
              </w:rPr>
              <w:t>1. 系统出现一般性操作问题、界面显示异常，对患者就医、系统运行几乎无影响；</w:t>
            </w:r>
          </w:p>
          <w:p w14:paraId="1B58C90B">
            <w:pPr>
              <w:snapToGrid w:val="0"/>
              <w:spacing w:line="360" w:lineRule="auto"/>
              <w:jc w:val="left"/>
              <w:rPr>
                <w:rFonts w:ascii="仿宋" w:hAnsi="仿宋" w:eastAsia="仿宋" w:cs="仿宋"/>
                <w:sz w:val="24"/>
              </w:rPr>
            </w:pPr>
            <w:r>
              <w:rPr>
                <w:rFonts w:hint="eastAsia" w:ascii="仿宋" w:hAnsi="仿宋" w:eastAsia="仿宋" w:cs="仿宋"/>
                <w:sz w:val="24"/>
              </w:rPr>
              <w:t>2. 医护人员提出的系统操作咨询、功能配置调整等非故障类服务请求。</w:t>
            </w:r>
          </w:p>
        </w:tc>
        <w:tc>
          <w:tcPr>
            <w:tcW w:w="1664" w:type="pct"/>
            <w:tcMar>
              <w:top w:w="60" w:type="dxa"/>
              <w:left w:w="120" w:type="dxa"/>
              <w:bottom w:w="30" w:type="dxa"/>
              <w:right w:w="120" w:type="dxa"/>
            </w:tcMar>
          </w:tcPr>
          <w:p w14:paraId="729593E0">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30分钟内必须响应，提供技术指导与解决方案；</w:t>
            </w:r>
          </w:p>
          <w:p w14:paraId="235FBD83">
            <w:pPr>
              <w:snapToGrid w:val="0"/>
              <w:spacing w:line="360" w:lineRule="auto"/>
              <w:jc w:val="left"/>
              <w:rPr>
                <w:rFonts w:ascii="仿宋" w:hAnsi="仿宋" w:eastAsia="仿宋" w:cs="仿宋"/>
                <w:sz w:val="24"/>
              </w:rPr>
            </w:pPr>
            <w:r>
              <w:rPr>
                <w:rFonts w:hint="eastAsia" w:ascii="仿宋" w:hAnsi="仿宋" w:eastAsia="仿宋" w:cs="仿宋"/>
                <w:sz w:val="24"/>
              </w:rPr>
              <w:t>2. 24小时内通过远程或现场方式完成处置；</w:t>
            </w:r>
          </w:p>
          <w:p w14:paraId="4E06E6E2">
            <w:pPr>
              <w:snapToGrid w:val="0"/>
              <w:spacing w:line="360" w:lineRule="auto"/>
              <w:jc w:val="left"/>
              <w:rPr>
                <w:rFonts w:ascii="仿宋" w:hAnsi="仿宋" w:eastAsia="仿宋" w:cs="仿宋"/>
                <w:sz w:val="24"/>
              </w:rPr>
            </w:pPr>
            <w:r>
              <w:rPr>
                <w:rFonts w:hint="eastAsia" w:ascii="仿宋" w:hAnsi="仿宋" w:eastAsia="仿宋" w:cs="仿宋"/>
                <w:sz w:val="24"/>
              </w:rPr>
              <w:t>3. 48小时内完成问题闭环。</w:t>
            </w:r>
          </w:p>
        </w:tc>
      </w:tr>
    </w:tbl>
    <w:p w14:paraId="5D5C4F19">
      <w:pPr>
        <w:snapToGrid w:val="0"/>
        <w:spacing w:line="360" w:lineRule="auto"/>
        <w:jc w:val="left"/>
        <w:rPr>
          <w:rFonts w:ascii="仿宋" w:hAnsi="仿宋" w:eastAsia="仿宋" w:cs="仿宋"/>
          <w:sz w:val="24"/>
        </w:rPr>
      </w:pPr>
      <w:r>
        <w:rPr>
          <w:rFonts w:hint="eastAsia" w:ascii="仿宋" w:hAnsi="仿宋" w:eastAsia="仿宋" w:cs="仿宋"/>
          <w:b/>
          <w:sz w:val="24"/>
        </w:rPr>
        <w:t>4. 售后运维服务核心要求</w:t>
      </w:r>
    </w:p>
    <w:p w14:paraId="2A67286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服务商须严格按照以下要求提供全流程售后运维服务，可依据自身技术能力提供增值服务，但不得低于以下标准要求，所有服务须留存完整、可追溯的工作记录，接受采购人全程监督。</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43"/>
        <w:gridCol w:w="905"/>
        <w:gridCol w:w="4796"/>
        <w:gridCol w:w="1348"/>
        <w:gridCol w:w="1346"/>
      </w:tblGrid>
      <w:tr w14:paraId="2C657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07" w:type="pct"/>
            <w:tcMar>
              <w:top w:w="60" w:type="dxa"/>
              <w:left w:w="120" w:type="dxa"/>
              <w:bottom w:w="30" w:type="dxa"/>
              <w:right w:w="120" w:type="dxa"/>
            </w:tcMar>
            <w:vAlign w:val="center"/>
          </w:tcPr>
          <w:p w14:paraId="6A4EBF2F">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495" w:type="pct"/>
            <w:tcMar>
              <w:top w:w="60" w:type="dxa"/>
              <w:left w:w="120" w:type="dxa"/>
              <w:bottom w:w="30" w:type="dxa"/>
              <w:right w:w="120" w:type="dxa"/>
            </w:tcMar>
            <w:vAlign w:val="center"/>
          </w:tcPr>
          <w:p w14:paraId="5CF60DCB">
            <w:pPr>
              <w:snapToGrid w:val="0"/>
              <w:spacing w:line="360" w:lineRule="auto"/>
              <w:jc w:val="center"/>
              <w:rPr>
                <w:rFonts w:ascii="仿宋" w:hAnsi="仿宋" w:eastAsia="仿宋" w:cs="仿宋"/>
                <w:b/>
                <w:sz w:val="24"/>
              </w:rPr>
            </w:pPr>
            <w:r>
              <w:rPr>
                <w:rFonts w:hint="eastAsia" w:ascii="仿宋" w:hAnsi="仿宋" w:eastAsia="仿宋" w:cs="仿宋"/>
                <w:b/>
                <w:sz w:val="24"/>
              </w:rPr>
              <w:t>服务项目</w:t>
            </w:r>
          </w:p>
        </w:tc>
        <w:tc>
          <w:tcPr>
            <w:tcW w:w="2623" w:type="pct"/>
            <w:tcMar>
              <w:top w:w="60" w:type="dxa"/>
              <w:left w:w="120" w:type="dxa"/>
              <w:bottom w:w="30" w:type="dxa"/>
              <w:right w:w="120" w:type="dxa"/>
            </w:tcMar>
            <w:vAlign w:val="center"/>
          </w:tcPr>
          <w:p w14:paraId="79290644">
            <w:pPr>
              <w:snapToGrid w:val="0"/>
              <w:spacing w:line="360" w:lineRule="auto"/>
              <w:jc w:val="center"/>
              <w:rPr>
                <w:rFonts w:ascii="仿宋" w:hAnsi="仿宋" w:eastAsia="仿宋" w:cs="仿宋"/>
                <w:b/>
                <w:sz w:val="24"/>
              </w:rPr>
            </w:pPr>
            <w:r>
              <w:rPr>
                <w:rFonts w:hint="eastAsia" w:ascii="仿宋" w:hAnsi="仿宋" w:eastAsia="仿宋" w:cs="仿宋"/>
                <w:b/>
                <w:sz w:val="24"/>
              </w:rPr>
              <w:t>服务内涵</w:t>
            </w:r>
          </w:p>
        </w:tc>
        <w:tc>
          <w:tcPr>
            <w:tcW w:w="737" w:type="pct"/>
            <w:tcMar>
              <w:top w:w="60" w:type="dxa"/>
              <w:left w:w="120" w:type="dxa"/>
              <w:bottom w:w="30" w:type="dxa"/>
              <w:right w:w="120" w:type="dxa"/>
            </w:tcMar>
            <w:vAlign w:val="center"/>
          </w:tcPr>
          <w:p w14:paraId="677A8B6E">
            <w:pPr>
              <w:snapToGrid w:val="0"/>
              <w:spacing w:line="360" w:lineRule="auto"/>
              <w:jc w:val="center"/>
              <w:rPr>
                <w:rFonts w:ascii="仿宋" w:hAnsi="仿宋" w:eastAsia="仿宋" w:cs="仿宋"/>
                <w:b/>
                <w:sz w:val="24"/>
              </w:rPr>
            </w:pPr>
            <w:r>
              <w:rPr>
                <w:rFonts w:hint="eastAsia" w:ascii="仿宋" w:hAnsi="仿宋" w:eastAsia="仿宋" w:cs="仿宋"/>
                <w:b/>
                <w:sz w:val="24"/>
              </w:rPr>
              <w:t>服务方式</w:t>
            </w:r>
          </w:p>
        </w:tc>
        <w:tc>
          <w:tcPr>
            <w:tcW w:w="736" w:type="pct"/>
            <w:tcMar>
              <w:top w:w="60" w:type="dxa"/>
              <w:left w:w="120" w:type="dxa"/>
              <w:bottom w:w="30" w:type="dxa"/>
              <w:right w:w="120" w:type="dxa"/>
            </w:tcMar>
            <w:vAlign w:val="center"/>
          </w:tcPr>
          <w:p w14:paraId="1B0C828F">
            <w:pPr>
              <w:snapToGrid w:val="0"/>
              <w:spacing w:line="360" w:lineRule="auto"/>
              <w:jc w:val="center"/>
              <w:rPr>
                <w:rFonts w:ascii="仿宋" w:hAnsi="仿宋" w:eastAsia="仿宋" w:cs="仿宋"/>
                <w:b/>
                <w:sz w:val="24"/>
              </w:rPr>
            </w:pPr>
            <w:r>
              <w:rPr>
                <w:rFonts w:hint="eastAsia" w:ascii="仿宋" w:hAnsi="仿宋" w:eastAsia="仿宋" w:cs="仿宋"/>
                <w:b/>
                <w:sz w:val="24"/>
              </w:rPr>
              <w:t>服务频次/次数要求</w:t>
            </w:r>
          </w:p>
        </w:tc>
      </w:tr>
      <w:tr w14:paraId="416C6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07" w:type="pct"/>
            <w:tcMar>
              <w:top w:w="60" w:type="dxa"/>
              <w:left w:w="120" w:type="dxa"/>
              <w:bottom w:w="30" w:type="dxa"/>
              <w:right w:w="120" w:type="dxa"/>
            </w:tcMar>
            <w:vAlign w:val="center"/>
          </w:tcPr>
          <w:p w14:paraId="43732600">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495" w:type="pct"/>
            <w:tcMar>
              <w:top w:w="60" w:type="dxa"/>
              <w:left w:w="120" w:type="dxa"/>
              <w:bottom w:w="30" w:type="dxa"/>
              <w:right w:w="120" w:type="dxa"/>
            </w:tcMar>
            <w:vAlign w:val="center"/>
          </w:tcPr>
          <w:p w14:paraId="1E5E6252">
            <w:pPr>
              <w:snapToGrid w:val="0"/>
              <w:spacing w:line="360" w:lineRule="auto"/>
              <w:jc w:val="center"/>
              <w:rPr>
                <w:rFonts w:ascii="仿宋" w:hAnsi="仿宋" w:eastAsia="仿宋" w:cs="仿宋"/>
                <w:sz w:val="24"/>
              </w:rPr>
            </w:pPr>
            <w:r>
              <w:rPr>
                <w:rFonts w:hint="eastAsia" w:ascii="仿宋" w:hAnsi="仿宋" w:eastAsia="仿宋" w:cs="仿宋"/>
                <w:sz w:val="24"/>
              </w:rPr>
              <w:t>信息系统基础运维服务</w:t>
            </w:r>
          </w:p>
        </w:tc>
        <w:tc>
          <w:tcPr>
            <w:tcW w:w="2623" w:type="pct"/>
            <w:tcMar>
              <w:top w:w="60" w:type="dxa"/>
              <w:left w:w="120" w:type="dxa"/>
              <w:bottom w:w="30" w:type="dxa"/>
              <w:right w:w="120" w:type="dxa"/>
            </w:tcMar>
            <w:vAlign w:val="center"/>
          </w:tcPr>
          <w:p w14:paraId="2DF9944F">
            <w:pPr>
              <w:snapToGrid w:val="0"/>
              <w:spacing w:line="360" w:lineRule="auto"/>
              <w:rPr>
                <w:rFonts w:ascii="仿宋" w:hAnsi="仿宋" w:eastAsia="仿宋" w:cs="仿宋"/>
                <w:sz w:val="24"/>
              </w:rPr>
            </w:pPr>
            <w:r>
              <w:rPr>
                <w:rFonts w:hint="eastAsia" w:ascii="仿宋" w:hAnsi="仿宋" w:eastAsia="仿宋" w:cs="仿宋"/>
                <w:sz w:val="24"/>
              </w:rPr>
              <w:t>1. 运维服务系统范围所列全部系统模块的软件操作指导、故障排查、bug修复、配置管理服务，重点覆盖术中生命体征监测、麻醉记录、设备联动等核心功能；</w:t>
            </w:r>
          </w:p>
          <w:p w14:paraId="40DC93C5">
            <w:pPr>
              <w:snapToGrid w:val="0"/>
              <w:spacing w:line="360" w:lineRule="auto"/>
              <w:rPr>
                <w:rFonts w:ascii="仿宋" w:hAnsi="仿宋" w:eastAsia="仿宋" w:cs="仿宋"/>
                <w:sz w:val="24"/>
              </w:rPr>
            </w:pPr>
            <w:r>
              <w:rPr>
                <w:rFonts w:hint="eastAsia" w:ascii="仿宋" w:hAnsi="仿宋" w:eastAsia="仿宋" w:cs="仿宋"/>
                <w:sz w:val="24"/>
              </w:rPr>
              <w:t>2. 系统死机、数据错误、生命体征采集异常、麻醉记录失败、安全核查失效等全场景故障处置，优先处置术中故障；</w:t>
            </w:r>
          </w:p>
          <w:p w14:paraId="60DE6B44">
            <w:pPr>
              <w:snapToGrid w:val="0"/>
              <w:spacing w:line="360" w:lineRule="auto"/>
              <w:rPr>
                <w:rFonts w:ascii="仿宋" w:hAnsi="仿宋" w:eastAsia="仿宋" w:cs="仿宋"/>
                <w:sz w:val="24"/>
              </w:rPr>
            </w:pPr>
            <w:r>
              <w:rPr>
                <w:rFonts w:hint="eastAsia" w:ascii="仿宋" w:hAnsi="仿宋" w:eastAsia="仿宋" w:cs="仿宋"/>
                <w:sz w:val="24"/>
              </w:rPr>
              <w:t>3. 系统运行环境适配、显示异常、运行效率降低等问题的优化处置，确保系统响应流畅，满足术中快速操作需求；</w:t>
            </w:r>
          </w:p>
          <w:p w14:paraId="68F1A3F1">
            <w:pPr>
              <w:snapToGrid w:val="0"/>
              <w:spacing w:line="360" w:lineRule="auto"/>
              <w:rPr>
                <w:rFonts w:ascii="仿宋" w:hAnsi="仿宋" w:eastAsia="仿宋" w:cs="仿宋"/>
                <w:sz w:val="24"/>
              </w:rPr>
            </w:pPr>
            <w:r>
              <w:rPr>
                <w:rFonts w:hint="eastAsia" w:ascii="仿宋" w:hAnsi="仿宋" w:eastAsia="仿宋" w:cs="仿宋"/>
                <w:sz w:val="24"/>
              </w:rPr>
              <w:t>4. 系统与院内其他信息系统、医疗设备的接口运维、适配调整、故障修复，确保手术麻醉数据流转全流程畅通，设备联动稳定；</w:t>
            </w:r>
          </w:p>
          <w:p w14:paraId="6BA33556">
            <w:pPr>
              <w:snapToGrid w:val="0"/>
              <w:spacing w:line="360" w:lineRule="auto"/>
              <w:rPr>
                <w:rFonts w:ascii="仿宋" w:hAnsi="仿宋" w:eastAsia="仿宋" w:cs="仿宋"/>
                <w:sz w:val="24"/>
              </w:rPr>
            </w:pPr>
            <w:r>
              <w:rPr>
                <w:rFonts w:hint="eastAsia" w:ascii="仿宋" w:hAnsi="仿宋" w:eastAsia="仿宋" w:cs="仿宋"/>
                <w:sz w:val="24"/>
              </w:rPr>
              <w:t>5. 系统终端设备、服务器、数据采集器等配套设备运行状态的定期巡检与隐患排查，重点检查术中设备联动稳定性。</w:t>
            </w:r>
          </w:p>
        </w:tc>
        <w:tc>
          <w:tcPr>
            <w:tcW w:w="737" w:type="pct"/>
            <w:tcMar>
              <w:top w:w="60" w:type="dxa"/>
              <w:left w:w="120" w:type="dxa"/>
              <w:bottom w:w="30" w:type="dxa"/>
              <w:right w:w="120" w:type="dxa"/>
            </w:tcMar>
            <w:vAlign w:val="center"/>
          </w:tcPr>
          <w:p w14:paraId="5079432F">
            <w:pPr>
              <w:snapToGrid w:val="0"/>
              <w:spacing w:line="360" w:lineRule="auto"/>
              <w:jc w:val="center"/>
              <w:rPr>
                <w:rFonts w:ascii="仿宋" w:hAnsi="仿宋" w:eastAsia="仿宋" w:cs="仿宋"/>
                <w:sz w:val="24"/>
              </w:rPr>
            </w:pPr>
            <w:r>
              <w:rPr>
                <w:rFonts w:hint="eastAsia" w:ascii="仿宋" w:hAnsi="仿宋" w:eastAsia="仿宋" w:cs="仿宋"/>
                <w:sz w:val="24"/>
              </w:rPr>
              <w:t>7×24小时热线服务、安全远程运维服务、现场驻场/上门服务</w:t>
            </w:r>
          </w:p>
        </w:tc>
        <w:tc>
          <w:tcPr>
            <w:tcW w:w="736" w:type="pct"/>
            <w:tcMar>
              <w:top w:w="60" w:type="dxa"/>
              <w:left w:w="120" w:type="dxa"/>
              <w:bottom w:w="30" w:type="dxa"/>
              <w:right w:w="120" w:type="dxa"/>
            </w:tcMar>
            <w:vAlign w:val="center"/>
          </w:tcPr>
          <w:p w14:paraId="29FFFC7B">
            <w:pPr>
              <w:snapToGrid w:val="0"/>
              <w:spacing w:line="360" w:lineRule="auto"/>
              <w:jc w:val="center"/>
              <w:rPr>
                <w:rFonts w:ascii="仿宋" w:hAnsi="仿宋" w:eastAsia="仿宋" w:cs="仿宋"/>
                <w:sz w:val="24"/>
              </w:rPr>
            </w:pPr>
            <w:r>
              <w:rPr>
                <w:rFonts w:hint="eastAsia" w:ascii="仿宋" w:hAnsi="仿宋" w:eastAsia="仿宋" w:cs="仿宋"/>
                <w:sz w:val="24"/>
              </w:rPr>
              <w:t>不限次数，全时段响应，术中故障优先处置，确保不影响手术开展</w:t>
            </w:r>
          </w:p>
        </w:tc>
      </w:tr>
      <w:tr w14:paraId="6FD9B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07" w:type="pct"/>
            <w:tcMar>
              <w:top w:w="60" w:type="dxa"/>
              <w:left w:w="120" w:type="dxa"/>
              <w:bottom w:w="30" w:type="dxa"/>
              <w:right w:w="120" w:type="dxa"/>
            </w:tcMar>
            <w:vAlign w:val="center"/>
          </w:tcPr>
          <w:p w14:paraId="14AECCAE">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495" w:type="pct"/>
            <w:tcMar>
              <w:top w:w="60" w:type="dxa"/>
              <w:left w:w="120" w:type="dxa"/>
              <w:bottom w:w="30" w:type="dxa"/>
              <w:right w:w="120" w:type="dxa"/>
            </w:tcMar>
            <w:vAlign w:val="center"/>
          </w:tcPr>
          <w:p w14:paraId="14826172">
            <w:pPr>
              <w:snapToGrid w:val="0"/>
              <w:spacing w:line="360" w:lineRule="auto"/>
              <w:jc w:val="center"/>
              <w:rPr>
                <w:rFonts w:ascii="仿宋" w:hAnsi="仿宋" w:eastAsia="仿宋" w:cs="仿宋"/>
                <w:sz w:val="24"/>
              </w:rPr>
            </w:pPr>
            <w:r>
              <w:rPr>
                <w:rFonts w:hint="eastAsia" w:ascii="仿宋" w:hAnsi="仿宋" w:eastAsia="仿宋" w:cs="仿宋"/>
                <w:sz w:val="24"/>
              </w:rPr>
              <w:t>数据库专项运维服务</w:t>
            </w:r>
          </w:p>
        </w:tc>
        <w:tc>
          <w:tcPr>
            <w:tcW w:w="2623" w:type="pct"/>
            <w:tcMar>
              <w:top w:w="60" w:type="dxa"/>
              <w:left w:w="120" w:type="dxa"/>
              <w:bottom w:w="30" w:type="dxa"/>
              <w:right w:w="120" w:type="dxa"/>
            </w:tcMar>
            <w:vAlign w:val="center"/>
          </w:tcPr>
          <w:p w14:paraId="44E6C072">
            <w:pPr>
              <w:snapToGrid w:val="0"/>
              <w:spacing w:line="360" w:lineRule="auto"/>
              <w:rPr>
                <w:rFonts w:ascii="仿宋" w:hAnsi="仿宋" w:eastAsia="仿宋" w:cs="仿宋"/>
                <w:sz w:val="24"/>
              </w:rPr>
            </w:pPr>
            <w:r>
              <w:rPr>
                <w:rFonts w:hint="eastAsia" w:ascii="仿宋" w:hAnsi="仿宋" w:eastAsia="仿宋" w:cs="仿宋"/>
                <w:sz w:val="24"/>
              </w:rPr>
              <w:t>1. 每月开展数据库全量巡检，包括服务器系统日志、磁盘空间、CPU/内存使用率、数据库表空间、数据文件大小、数据库运行日志、异常操作审计日志等，重点检查手术麻醉数据、生命体征数据的完整性与安全性；</w:t>
            </w:r>
          </w:p>
          <w:p w14:paraId="5C7C2DAA">
            <w:pPr>
              <w:snapToGrid w:val="0"/>
              <w:spacing w:line="360" w:lineRule="auto"/>
              <w:rPr>
                <w:rFonts w:ascii="仿宋" w:hAnsi="仿宋" w:eastAsia="仿宋" w:cs="仿宋"/>
                <w:sz w:val="24"/>
              </w:rPr>
            </w:pPr>
            <w:r>
              <w:rPr>
                <w:rFonts w:hint="eastAsia" w:ascii="仿宋" w:hAnsi="仿宋" w:eastAsia="仿宋" w:cs="仿宋"/>
                <w:sz w:val="24"/>
              </w:rPr>
              <w:t>2. 每季度完成数据库安全加固、高危漏洞修复，确保数据库符合等保合规要求及医疗数据安全规定；</w:t>
            </w:r>
          </w:p>
          <w:p w14:paraId="22F4A8AB">
            <w:pPr>
              <w:snapToGrid w:val="0"/>
              <w:spacing w:line="360" w:lineRule="auto"/>
              <w:rPr>
                <w:rFonts w:ascii="仿宋" w:hAnsi="仿宋" w:eastAsia="仿宋" w:cs="仿宋"/>
                <w:sz w:val="24"/>
              </w:rPr>
            </w:pPr>
            <w:r>
              <w:rPr>
                <w:rFonts w:hint="eastAsia" w:ascii="仿宋" w:hAnsi="仿宋" w:eastAsia="仿宋" w:cs="仿宋"/>
                <w:sz w:val="24"/>
              </w:rPr>
              <w:t>3. 提供同版本数据库迁移、数据备份与恢复服务，配合采购人完成数据备份有效性验证，重点保障手术麻醉记录、患者生命体征数据、麻醉药品数据的安全性与可追溯性；</w:t>
            </w:r>
          </w:p>
          <w:p w14:paraId="39593997">
            <w:pPr>
              <w:snapToGrid w:val="0"/>
              <w:spacing w:line="360" w:lineRule="auto"/>
              <w:rPr>
                <w:rFonts w:ascii="仿宋" w:hAnsi="仿宋" w:eastAsia="仿宋" w:cs="仿宋"/>
                <w:sz w:val="24"/>
              </w:rPr>
            </w:pPr>
            <w:r>
              <w:rPr>
                <w:rFonts w:hint="eastAsia" w:ascii="仿宋" w:hAnsi="仿宋" w:eastAsia="仿宋" w:cs="仿宋"/>
                <w:sz w:val="24"/>
              </w:rPr>
              <w:t>4. 针对巡检发现的问题，完成数据库性能优化、参数调整，保障数据库持续处于最佳运行状态，支撑术中生命体征采集、麻醉记录等核心功能高效运行；</w:t>
            </w:r>
          </w:p>
          <w:p w14:paraId="79794CB6">
            <w:pPr>
              <w:snapToGrid w:val="0"/>
              <w:spacing w:line="360" w:lineRule="auto"/>
              <w:rPr>
                <w:rFonts w:ascii="仿宋" w:hAnsi="仿宋" w:eastAsia="仿宋" w:cs="仿宋"/>
                <w:sz w:val="24"/>
              </w:rPr>
            </w:pPr>
            <w:r>
              <w:rPr>
                <w:rFonts w:hint="eastAsia" w:ascii="仿宋" w:hAnsi="仿宋" w:eastAsia="仿宋" w:cs="仿宋"/>
                <w:sz w:val="24"/>
              </w:rPr>
              <w:t>5. 数据库故障的应急处置，保障手术麻醉数据不丢失、不泄露、不篡改，确保医疗纠纷处置时有据可查。</w:t>
            </w:r>
          </w:p>
        </w:tc>
        <w:tc>
          <w:tcPr>
            <w:tcW w:w="737" w:type="pct"/>
            <w:tcMar>
              <w:top w:w="60" w:type="dxa"/>
              <w:left w:w="120" w:type="dxa"/>
              <w:bottom w:w="30" w:type="dxa"/>
              <w:right w:w="120" w:type="dxa"/>
            </w:tcMar>
            <w:vAlign w:val="center"/>
          </w:tcPr>
          <w:p w14:paraId="0D4C4F8B">
            <w:pPr>
              <w:snapToGrid w:val="0"/>
              <w:spacing w:line="360" w:lineRule="auto"/>
              <w:jc w:val="center"/>
              <w:rPr>
                <w:rFonts w:ascii="仿宋" w:hAnsi="仿宋" w:eastAsia="仿宋" w:cs="仿宋"/>
                <w:sz w:val="24"/>
              </w:rPr>
            </w:pPr>
            <w:r>
              <w:rPr>
                <w:rFonts w:hint="eastAsia" w:ascii="仿宋" w:hAnsi="仿宋" w:eastAsia="仿宋" w:cs="仿宋"/>
                <w:sz w:val="24"/>
              </w:rPr>
              <w:t>热线服务、安全远程服务、现场服务</w:t>
            </w:r>
          </w:p>
        </w:tc>
        <w:tc>
          <w:tcPr>
            <w:tcW w:w="736" w:type="pct"/>
            <w:tcMar>
              <w:top w:w="60" w:type="dxa"/>
              <w:left w:w="120" w:type="dxa"/>
              <w:bottom w:w="30" w:type="dxa"/>
              <w:right w:w="120" w:type="dxa"/>
            </w:tcMar>
            <w:vAlign w:val="center"/>
          </w:tcPr>
          <w:p w14:paraId="773FE90C">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不限次数，每月至少1次全量巡检，每季度至少1次性能优化，每年至少2次备份恢复演练，每半年完成1次手术麻醉数据完整性核查</w:t>
            </w:r>
          </w:p>
        </w:tc>
      </w:tr>
      <w:tr w14:paraId="20B5B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07" w:type="pct"/>
            <w:tcMar>
              <w:top w:w="60" w:type="dxa"/>
              <w:left w:w="120" w:type="dxa"/>
              <w:bottom w:w="30" w:type="dxa"/>
              <w:right w:w="120" w:type="dxa"/>
            </w:tcMar>
            <w:vAlign w:val="center"/>
          </w:tcPr>
          <w:p w14:paraId="3F7ECE18">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495" w:type="pct"/>
            <w:tcMar>
              <w:top w:w="60" w:type="dxa"/>
              <w:left w:w="120" w:type="dxa"/>
              <w:bottom w:w="30" w:type="dxa"/>
              <w:right w:w="120" w:type="dxa"/>
            </w:tcMar>
            <w:vAlign w:val="center"/>
          </w:tcPr>
          <w:p w14:paraId="3C69A411">
            <w:pPr>
              <w:snapToGrid w:val="0"/>
              <w:spacing w:line="360" w:lineRule="auto"/>
              <w:jc w:val="center"/>
              <w:rPr>
                <w:rFonts w:ascii="仿宋" w:hAnsi="仿宋" w:eastAsia="仿宋" w:cs="仿宋"/>
                <w:sz w:val="24"/>
              </w:rPr>
            </w:pPr>
            <w:r>
              <w:rPr>
                <w:rFonts w:hint="eastAsia" w:ascii="仿宋" w:hAnsi="仿宋" w:eastAsia="仿宋" w:cs="仿宋"/>
                <w:sz w:val="24"/>
              </w:rPr>
              <w:t>信息系统升级与合规更新服务</w:t>
            </w:r>
          </w:p>
        </w:tc>
        <w:tc>
          <w:tcPr>
            <w:tcW w:w="2623" w:type="pct"/>
            <w:tcMar>
              <w:top w:w="60" w:type="dxa"/>
              <w:left w:w="120" w:type="dxa"/>
              <w:bottom w:w="30" w:type="dxa"/>
              <w:right w:w="120" w:type="dxa"/>
            </w:tcMar>
            <w:vAlign w:val="center"/>
          </w:tcPr>
          <w:p w14:paraId="1E5D7875">
            <w:pPr>
              <w:snapToGrid w:val="0"/>
              <w:spacing w:line="360" w:lineRule="auto"/>
              <w:rPr>
                <w:rFonts w:ascii="仿宋" w:hAnsi="仿宋" w:eastAsia="仿宋" w:cs="仿宋"/>
                <w:sz w:val="24"/>
              </w:rPr>
            </w:pPr>
            <w:r>
              <w:rPr>
                <w:rFonts w:hint="eastAsia" w:ascii="仿宋" w:hAnsi="仿宋" w:eastAsia="仿宋" w:cs="仿宋"/>
                <w:sz w:val="24"/>
              </w:rPr>
              <w:t>1. 依据国家、省、市卫健等部门新增或变更的政策法规、手术麻醉管理标准（如手术安全核查规范、麻醉质量控制指标、医疗数据安全要求等），结合《医疗机构麻醉科建设与管理指南》要求，免费、及时完成系统的合规性适配与更新服务，确保系统符合最新监管要求；</w:t>
            </w:r>
          </w:p>
          <w:p w14:paraId="22C28AF3">
            <w:pPr>
              <w:snapToGrid w:val="0"/>
              <w:spacing w:line="360" w:lineRule="auto"/>
              <w:rPr>
                <w:rFonts w:ascii="仿宋" w:hAnsi="仿宋" w:eastAsia="仿宋" w:cs="仿宋"/>
                <w:sz w:val="24"/>
              </w:rPr>
            </w:pPr>
            <w:r>
              <w:rPr>
                <w:rFonts w:hint="eastAsia" w:ascii="仿宋" w:hAnsi="仿宋" w:eastAsia="仿宋" w:cs="仿宋"/>
                <w:sz w:val="24"/>
              </w:rPr>
              <w:t>2. 提供系统同版本内的免费升级、功能优化服务，重点优化术中生命体征监测、麻醉记录、设备联动、安全核查等核心功能，组织专业技术人员完成升级方案制定、测试、上线全流程工作，升级安排在非手术时段，确保升级过程不影响医院正常手术麻醉业务；</w:t>
            </w:r>
          </w:p>
          <w:p w14:paraId="1C2AA1AB">
            <w:pPr>
              <w:snapToGrid w:val="0"/>
              <w:spacing w:line="360" w:lineRule="auto"/>
              <w:rPr>
                <w:rFonts w:ascii="仿宋" w:hAnsi="仿宋" w:eastAsia="仿宋" w:cs="仿宋"/>
                <w:sz w:val="24"/>
              </w:rPr>
            </w:pPr>
            <w:r>
              <w:rPr>
                <w:rFonts w:hint="eastAsia" w:ascii="仿宋" w:hAnsi="仿宋" w:eastAsia="仿宋" w:cs="仿宋"/>
                <w:sz w:val="24"/>
              </w:rPr>
              <w:t>3. 定期完成系统安全补丁、漏洞修复包的安装与调试，每月完成高危漏洞排查与修复；</w:t>
            </w:r>
          </w:p>
          <w:p w14:paraId="37147370">
            <w:pPr>
              <w:snapToGrid w:val="0"/>
              <w:spacing w:line="360" w:lineRule="auto"/>
              <w:rPr>
                <w:rFonts w:ascii="仿宋" w:hAnsi="仿宋" w:eastAsia="仿宋" w:cs="仿宋"/>
                <w:sz w:val="24"/>
              </w:rPr>
            </w:pPr>
            <w:r>
              <w:rPr>
                <w:rFonts w:hint="eastAsia" w:ascii="仿宋" w:hAnsi="仿宋" w:eastAsia="仿宋" w:cs="仿宋"/>
                <w:sz w:val="24"/>
              </w:rPr>
              <w:t>4. 配合采购人完成网络安全等级保护测评、手术麻醉质量专项检查、医疗数据安全检查等相关工作，完成对应整改与系统适配；5. 优化系统与麻醉设备、临床系统的接口，提升数据采集准确性与实时性，适配新增麻醉设备的数据交互需求。</w:t>
            </w:r>
          </w:p>
        </w:tc>
        <w:tc>
          <w:tcPr>
            <w:tcW w:w="737" w:type="pct"/>
            <w:tcMar>
              <w:top w:w="60" w:type="dxa"/>
              <w:left w:w="120" w:type="dxa"/>
              <w:bottom w:w="30" w:type="dxa"/>
              <w:right w:w="120" w:type="dxa"/>
            </w:tcMar>
            <w:vAlign w:val="center"/>
          </w:tcPr>
          <w:p w14:paraId="05F3A752">
            <w:pPr>
              <w:snapToGrid w:val="0"/>
              <w:spacing w:line="360" w:lineRule="auto"/>
              <w:jc w:val="center"/>
              <w:rPr>
                <w:rFonts w:ascii="仿宋" w:hAnsi="仿宋" w:eastAsia="仿宋" w:cs="仿宋"/>
                <w:sz w:val="24"/>
              </w:rPr>
            </w:pPr>
            <w:r>
              <w:rPr>
                <w:rFonts w:hint="eastAsia" w:ascii="仿宋" w:hAnsi="仿宋" w:eastAsia="仿宋" w:cs="仿宋"/>
                <w:sz w:val="24"/>
              </w:rPr>
              <w:t>现场服务为主、远程辅助</w:t>
            </w:r>
          </w:p>
        </w:tc>
        <w:tc>
          <w:tcPr>
            <w:tcW w:w="736" w:type="pct"/>
            <w:tcMar>
              <w:top w:w="60" w:type="dxa"/>
              <w:left w:w="120" w:type="dxa"/>
              <w:bottom w:w="30" w:type="dxa"/>
              <w:right w:w="120" w:type="dxa"/>
            </w:tcMar>
            <w:vAlign w:val="center"/>
          </w:tcPr>
          <w:p w14:paraId="3481ADA9">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不限次数，每月至少1次安全补丁更新，政策/标准变更后10个工作日内完成合规适配，系统升级按需开展（优先非手术时段）</w:t>
            </w:r>
          </w:p>
        </w:tc>
      </w:tr>
      <w:tr w14:paraId="07BE7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07" w:type="pct"/>
            <w:tcMar>
              <w:top w:w="60" w:type="dxa"/>
              <w:left w:w="120" w:type="dxa"/>
              <w:bottom w:w="30" w:type="dxa"/>
              <w:right w:w="120" w:type="dxa"/>
            </w:tcMar>
            <w:vAlign w:val="center"/>
          </w:tcPr>
          <w:p w14:paraId="27FBF2C9">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495" w:type="pct"/>
            <w:tcMar>
              <w:top w:w="60" w:type="dxa"/>
              <w:left w:w="120" w:type="dxa"/>
              <w:bottom w:w="30" w:type="dxa"/>
              <w:right w:w="120" w:type="dxa"/>
            </w:tcMar>
            <w:vAlign w:val="center"/>
          </w:tcPr>
          <w:p w14:paraId="5ED06216">
            <w:pPr>
              <w:snapToGrid w:val="0"/>
              <w:spacing w:line="360" w:lineRule="auto"/>
              <w:jc w:val="center"/>
              <w:rPr>
                <w:rFonts w:ascii="仿宋" w:hAnsi="仿宋" w:eastAsia="仿宋" w:cs="仿宋"/>
                <w:sz w:val="24"/>
              </w:rPr>
            </w:pPr>
            <w:r>
              <w:rPr>
                <w:rFonts w:hint="eastAsia" w:ascii="仿宋" w:hAnsi="仿宋" w:eastAsia="仿宋" w:cs="仿宋"/>
                <w:sz w:val="24"/>
              </w:rPr>
              <w:t>配套设备运维服务</w:t>
            </w:r>
          </w:p>
        </w:tc>
        <w:tc>
          <w:tcPr>
            <w:tcW w:w="2623" w:type="pct"/>
            <w:tcMar>
              <w:top w:w="60" w:type="dxa"/>
              <w:left w:w="120" w:type="dxa"/>
              <w:bottom w:w="30" w:type="dxa"/>
              <w:right w:w="120" w:type="dxa"/>
            </w:tcMar>
            <w:vAlign w:val="center"/>
          </w:tcPr>
          <w:p w14:paraId="5A62577C">
            <w:pPr>
              <w:snapToGrid w:val="0"/>
              <w:spacing w:line="360" w:lineRule="auto"/>
              <w:rPr>
                <w:rFonts w:ascii="仿宋" w:hAnsi="仿宋" w:eastAsia="仿宋" w:cs="仿宋"/>
                <w:sz w:val="24"/>
              </w:rPr>
            </w:pPr>
            <w:r>
              <w:rPr>
                <w:rFonts w:hint="eastAsia" w:ascii="仿宋" w:hAnsi="仿宋" w:eastAsia="仿宋" w:cs="仿宋"/>
                <w:sz w:val="24"/>
              </w:rPr>
              <w:t>1. 针对系统配套的硬件设备，提供维修、维护、调试服务，保障设备与系统接口程序稳定运行；</w:t>
            </w:r>
          </w:p>
          <w:p w14:paraId="394943F0">
            <w:pPr>
              <w:snapToGrid w:val="0"/>
              <w:spacing w:line="360" w:lineRule="auto"/>
              <w:rPr>
                <w:rFonts w:ascii="仿宋" w:hAnsi="仿宋" w:eastAsia="仿宋" w:cs="仿宋"/>
                <w:sz w:val="24"/>
              </w:rPr>
            </w:pPr>
            <w:r>
              <w:rPr>
                <w:rFonts w:hint="eastAsia" w:ascii="仿宋" w:hAnsi="仿宋" w:eastAsia="仿宋" w:cs="仿宋"/>
                <w:sz w:val="24"/>
              </w:rPr>
              <w:t>2. 医院新增、调整配套设备时，免费提供设备对接、系统适配、调试开通服务；</w:t>
            </w:r>
          </w:p>
          <w:p w14:paraId="2C5C6E35">
            <w:pPr>
              <w:snapToGrid w:val="0"/>
              <w:spacing w:line="360" w:lineRule="auto"/>
              <w:rPr>
                <w:rFonts w:ascii="仿宋" w:hAnsi="仿宋" w:eastAsia="仿宋" w:cs="仿宋"/>
                <w:sz w:val="24"/>
              </w:rPr>
            </w:pPr>
            <w:r>
              <w:rPr>
                <w:rFonts w:hint="eastAsia" w:ascii="仿宋" w:hAnsi="仿宋" w:eastAsia="仿宋" w:cs="仿宋"/>
                <w:sz w:val="24"/>
              </w:rPr>
              <w:t>3. 定期对配套设备进行巡检，排查硬件故障隐患，降低设备故障率。</w:t>
            </w:r>
          </w:p>
        </w:tc>
        <w:tc>
          <w:tcPr>
            <w:tcW w:w="737" w:type="pct"/>
            <w:tcMar>
              <w:top w:w="60" w:type="dxa"/>
              <w:left w:w="120" w:type="dxa"/>
              <w:bottom w:w="30" w:type="dxa"/>
              <w:right w:w="120" w:type="dxa"/>
            </w:tcMar>
            <w:vAlign w:val="center"/>
          </w:tcPr>
          <w:p w14:paraId="788E77FA">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w:t>
            </w:r>
          </w:p>
        </w:tc>
        <w:tc>
          <w:tcPr>
            <w:tcW w:w="736" w:type="pct"/>
            <w:tcMar>
              <w:top w:w="60" w:type="dxa"/>
              <w:left w:w="120" w:type="dxa"/>
              <w:bottom w:w="30" w:type="dxa"/>
              <w:right w:w="120" w:type="dxa"/>
            </w:tcMar>
            <w:vAlign w:val="center"/>
          </w:tcPr>
          <w:p w14:paraId="69E3A9CE">
            <w:pPr>
              <w:snapToGrid w:val="0"/>
              <w:spacing w:line="360" w:lineRule="auto"/>
              <w:jc w:val="center"/>
              <w:rPr>
                <w:rFonts w:ascii="仿宋" w:hAnsi="仿宋" w:eastAsia="仿宋" w:cs="仿宋"/>
                <w:sz w:val="24"/>
              </w:rPr>
            </w:pPr>
            <w:r>
              <w:rPr>
                <w:rFonts w:hint="eastAsia" w:ascii="仿宋" w:hAnsi="仿宋" w:eastAsia="仿宋" w:cs="仿宋"/>
                <w:sz w:val="24"/>
              </w:rPr>
              <w:t>不限次数，每季度至少1次全量设备巡检</w:t>
            </w:r>
          </w:p>
        </w:tc>
      </w:tr>
      <w:tr w14:paraId="143DD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07" w:type="pct"/>
            <w:tcMar>
              <w:top w:w="60" w:type="dxa"/>
              <w:left w:w="120" w:type="dxa"/>
              <w:bottom w:w="30" w:type="dxa"/>
              <w:right w:w="120" w:type="dxa"/>
            </w:tcMar>
            <w:vAlign w:val="center"/>
          </w:tcPr>
          <w:p w14:paraId="0BAA8E8B">
            <w:pPr>
              <w:snapToGrid w:val="0"/>
              <w:spacing w:line="360" w:lineRule="auto"/>
              <w:jc w:val="center"/>
              <w:rPr>
                <w:rFonts w:ascii="仿宋" w:hAnsi="仿宋" w:eastAsia="仿宋" w:cs="仿宋"/>
                <w:sz w:val="24"/>
              </w:rPr>
            </w:pPr>
            <w:r>
              <w:rPr>
                <w:rFonts w:hint="eastAsia" w:ascii="仿宋" w:hAnsi="仿宋" w:eastAsia="仿宋" w:cs="仿宋"/>
                <w:sz w:val="24"/>
              </w:rPr>
              <w:t>5</w:t>
            </w:r>
          </w:p>
        </w:tc>
        <w:tc>
          <w:tcPr>
            <w:tcW w:w="495" w:type="pct"/>
            <w:tcMar>
              <w:top w:w="60" w:type="dxa"/>
              <w:left w:w="120" w:type="dxa"/>
              <w:bottom w:w="30" w:type="dxa"/>
              <w:right w:w="120" w:type="dxa"/>
            </w:tcMar>
            <w:vAlign w:val="center"/>
          </w:tcPr>
          <w:p w14:paraId="134EBC84">
            <w:pPr>
              <w:snapToGrid w:val="0"/>
              <w:spacing w:line="360" w:lineRule="auto"/>
              <w:jc w:val="center"/>
              <w:rPr>
                <w:rFonts w:ascii="仿宋" w:hAnsi="仿宋" w:eastAsia="仿宋" w:cs="仿宋"/>
                <w:sz w:val="24"/>
              </w:rPr>
            </w:pPr>
            <w:r>
              <w:rPr>
                <w:rFonts w:hint="eastAsia" w:ascii="仿宋" w:hAnsi="仿宋" w:eastAsia="仿宋" w:cs="仿宋"/>
                <w:sz w:val="24"/>
              </w:rPr>
              <w:t>网络安全与数据安全服务</w:t>
            </w:r>
          </w:p>
        </w:tc>
        <w:tc>
          <w:tcPr>
            <w:tcW w:w="2623" w:type="pct"/>
            <w:tcMar>
              <w:top w:w="60" w:type="dxa"/>
              <w:left w:w="120" w:type="dxa"/>
              <w:bottom w:w="30" w:type="dxa"/>
              <w:right w:w="120" w:type="dxa"/>
            </w:tcMar>
            <w:vAlign w:val="center"/>
          </w:tcPr>
          <w:p w14:paraId="2F7AF18B">
            <w:pPr>
              <w:snapToGrid w:val="0"/>
              <w:spacing w:line="360" w:lineRule="auto"/>
              <w:rPr>
                <w:rFonts w:ascii="仿宋" w:hAnsi="仿宋" w:eastAsia="仿宋" w:cs="仿宋"/>
                <w:sz w:val="24"/>
              </w:rPr>
            </w:pPr>
            <w:r>
              <w:rPr>
                <w:rFonts w:hint="eastAsia" w:ascii="仿宋" w:hAnsi="仿宋" w:eastAsia="仿宋" w:cs="仿宋"/>
                <w:sz w:val="24"/>
              </w:rPr>
              <w:t>1. 严格根据《网络安全法》《数据安全法》《个人信息保护法》《医疗卫生机构网络安全管理办法》及相关法律法规，为采购人提供全流程网络安全与数据安全服务；</w:t>
            </w:r>
          </w:p>
          <w:p w14:paraId="61CF4ADE">
            <w:pPr>
              <w:snapToGrid w:val="0"/>
              <w:spacing w:line="360" w:lineRule="auto"/>
              <w:rPr>
                <w:rFonts w:ascii="仿宋" w:hAnsi="仿宋" w:eastAsia="仿宋" w:cs="仿宋"/>
                <w:sz w:val="24"/>
              </w:rPr>
            </w:pPr>
            <w:r>
              <w:rPr>
                <w:rFonts w:hint="eastAsia" w:ascii="仿宋" w:hAnsi="仿宋" w:eastAsia="仿宋" w:cs="仿宋"/>
                <w:sz w:val="24"/>
              </w:rPr>
              <w:t>2. 网络安全服务包含且不限于：漏洞修复、安全问题整改、安全风险排查、入侵检测与防御等服务，重点保障系统核心数据传输安全；</w:t>
            </w:r>
          </w:p>
          <w:p w14:paraId="53E0D498">
            <w:pPr>
              <w:snapToGrid w:val="0"/>
              <w:spacing w:line="360" w:lineRule="auto"/>
              <w:rPr>
                <w:rFonts w:ascii="仿宋" w:hAnsi="仿宋" w:eastAsia="仿宋" w:cs="仿宋"/>
                <w:sz w:val="24"/>
              </w:rPr>
            </w:pPr>
            <w:r>
              <w:rPr>
                <w:rFonts w:hint="eastAsia" w:ascii="仿宋" w:hAnsi="仿宋" w:eastAsia="仿宋" w:cs="仿宋"/>
                <w:sz w:val="24"/>
              </w:rPr>
              <w:t>3. 数据安全服务包含且不限于：数据加密、数据备份与恢复、数据库安全审计、患者信息保护等服务，确保数据符合数据安全要求；</w:t>
            </w:r>
          </w:p>
          <w:p w14:paraId="7B0EA98D">
            <w:pPr>
              <w:snapToGrid w:val="0"/>
              <w:spacing w:line="360" w:lineRule="auto"/>
              <w:rPr>
                <w:rFonts w:ascii="仿宋" w:hAnsi="仿宋" w:eastAsia="仿宋" w:cs="仿宋"/>
                <w:sz w:val="24"/>
              </w:rPr>
            </w:pPr>
            <w:r>
              <w:rPr>
                <w:rFonts w:hint="eastAsia" w:ascii="仿宋" w:hAnsi="仿宋" w:eastAsia="仿宋" w:cs="仿宋"/>
                <w:sz w:val="24"/>
              </w:rPr>
              <w:t>4. 配合采购人完成数据安全检查、网络安全审计、等保测评等相关工作，提供技术支撑与整改服务；</w:t>
            </w:r>
          </w:p>
          <w:p w14:paraId="77486EF5">
            <w:pPr>
              <w:snapToGrid w:val="0"/>
              <w:spacing w:line="360" w:lineRule="auto"/>
              <w:rPr>
                <w:rFonts w:ascii="仿宋" w:hAnsi="仿宋" w:eastAsia="仿宋" w:cs="仿宋"/>
                <w:sz w:val="24"/>
              </w:rPr>
            </w:pPr>
            <w:r>
              <w:rPr>
                <w:rFonts w:hint="eastAsia" w:ascii="仿宋" w:hAnsi="仿宋" w:eastAsia="仿宋" w:cs="仿宋"/>
                <w:sz w:val="24"/>
              </w:rPr>
              <w:t>5. 规范远程运维操作，所有远程操作全程留痕，审计日志留存不少于6个月，杜绝非法远程访问。</w:t>
            </w:r>
          </w:p>
        </w:tc>
        <w:tc>
          <w:tcPr>
            <w:tcW w:w="737" w:type="pct"/>
            <w:tcMar>
              <w:top w:w="60" w:type="dxa"/>
              <w:left w:w="120" w:type="dxa"/>
              <w:bottom w:w="30" w:type="dxa"/>
              <w:right w:w="120" w:type="dxa"/>
            </w:tcMar>
            <w:vAlign w:val="center"/>
          </w:tcPr>
          <w:p w14:paraId="357A66EF">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w:t>
            </w:r>
          </w:p>
        </w:tc>
        <w:tc>
          <w:tcPr>
            <w:tcW w:w="736" w:type="pct"/>
            <w:tcMar>
              <w:top w:w="60" w:type="dxa"/>
              <w:left w:w="120" w:type="dxa"/>
              <w:bottom w:w="30" w:type="dxa"/>
              <w:right w:w="120" w:type="dxa"/>
            </w:tcMar>
            <w:vAlign w:val="center"/>
          </w:tcPr>
          <w:p w14:paraId="05656E97">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不限次数，每月至少1次安全风险排查，每季度至少1次数据安全专项检查</w:t>
            </w:r>
          </w:p>
        </w:tc>
      </w:tr>
      <w:tr w14:paraId="71E08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07" w:type="pct"/>
            <w:tcMar>
              <w:top w:w="60" w:type="dxa"/>
              <w:left w:w="120" w:type="dxa"/>
              <w:bottom w:w="30" w:type="dxa"/>
              <w:right w:w="120" w:type="dxa"/>
            </w:tcMar>
            <w:vAlign w:val="center"/>
          </w:tcPr>
          <w:p w14:paraId="30E685BF">
            <w:pPr>
              <w:snapToGrid w:val="0"/>
              <w:spacing w:line="360" w:lineRule="auto"/>
              <w:jc w:val="center"/>
              <w:rPr>
                <w:rFonts w:ascii="仿宋" w:hAnsi="仿宋" w:eastAsia="仿宋" w:cs="仿宋"/>
                <w:sz w:val="24"/>
              </w:rPr>
            </w:pPr>
            <w:r>
              <w:rPr>
                <w:rFonts w:hint="eastAsia" w:ascii="仿宋" w:hAnsi="仿宋" w:eastAsia="仿宋" w:cs="仿宋"/>
                <w:sz w:val="24"/>
              </w:rPr>
              <w:t>6</w:t>
            </w:r>
          </w:p>
        </w:tc>
        <w:tc>
          <w:tcPr>
            <w:tcW w:w="495" w:type="pct"/>
            <w:tcMar>
              <w:top w:w="60" w:type="dxa"/>
              <w:left w:w="120" w:type="dxa"/>
              <w:bottom w:w="30" w:type="dxa"/>
              <w:right w:w="120" w:type="dxa"/>
            </w:tcMar>
            <w:vAlign w:val="center"/>
          </w:tcPr>
          <w:p w14:paraId="34DB1927">
            <w:pPr>
              <w:snapToGrid w:val="0"/>
              <w:spacing w:line="360" w:lineRule="auto"/>
              <w:jc w:val="center"/>
              <w:rPr>
                <w:rFonts w:ascii="仿宋" w:hAnsi="仿宋" w:eastAsia="仿宋" w:cs="仿宋"/>
                <w:sz w:val="24"/>
              </w:rPr>
            </w:pPr>
            <w:r>
              <w:rPr>
                <w:rFonts w:hint="eastAsia" w:ascii="仿宋" w:hAnsi="仿宋" w:eastAsia="仿宋" w:cs="仿宋"/>
                <w:sz w:val="24"/>
              </w:rPr>
              <w:t>人员培训服务</w:t>
            </w:r>
          </w:p>
        </w:tc>
        <w:tc>
          <w:tcPr>
            <w:tcW w:w="2623" w:type="pct"/>
            <w:tcMar>
              <w:top w:w="60" w:type="dxa"/>
              <w:left w:w="120" w:type="dxa"/>
              <w:bottom w:w="30" w:type="dxa"/>
              <w:right w:w="120" w:type="dxa"/>
            </w:tcMar>
            <w:vAlign w:val="center"/>
          </w:tcPr>
          <w:p w14:paraId="4A6549DE">
            <w:pPr>
              <w:snapToGrid w:val="0"/>
              <w:spacing w:line="360" w:lineRule="auto"/>
              <w:rPr>
                <w:rFonts w:ascii="仿宋" w:hAnsi="仿宋" w:eastAsia="仿宋" w:cs="仿宋"/>
                <w:sz w:val="24"/>
              </w:rPr>
            </w:pPr>
            <w:r>
              <w:rPr>
                <w:rFonts w:hint="eastAsia" w:ascii="仿宋" w:hAnsi="仿宋" w:eastAsia="仿宋" w:cs="仿宋"/>
                <w:sz w:val="24"/>
              </w:rPr>
              <w:t>1. 针对医院管理岗、医护操作岗、信息科技术岗，分别制定差异化培训计划，编制标准化培训教材与操作手册；</w:t>
            </w:r>
          </w:p>
          <w:p w14:paraId="081370BC">
            <w:pPr>
              <w:snapToGrid w:val="0"/>
              <w:spacing w:line="360" w:lineRule="auto"/>
              <w:rPr>
                <w:rFonts w:ascii="仿宋" w:hAnsi="仿宋" w:eastAsia="仿宋" w:cs="仿宋"/>
                <w:sz w:val="24"/>
              </w:rPr>
            </w:pPr>
            <w:r>
              <w:rPr>
                <w:rFonts w:hint="eastAsia" w:ascii="仿宋" w:hAnsi="仿宋" w:eastAsia="仿宋" w:cs="仿宋"/>
                <w:sz w:val="24"/>
              </w:rPr>
              <w:t>2. 培训内容包括系统操作规范、常见故障处置、数据安全与个人信息保护、应急处置流程等；</w:t>
            </w:r>
          </w:p>
          <w:p w14:paraId="285251CF">
            <w:pPr>
              <w:snapToGrid w:val="0"/>
              <w:spacing w:line="360" w:lineRule="auto"/>
              <w:rPr>
                <w:rFonts w:ascii="仿宋" w:hAnsi="仿宋" w:eastAsia="仿宋" w:cs="仿宋"/>
                <w:sz w:val="24"/>
              </w:rPr>
            </w:pPr>
            <w:r>
              <w:rPr>
                <w:rFonts w:hint="eastAsia" w:ascii="仿宋" w:hAnsi="仿宋" w:eastAsia="仿宋" w:cs="仿宋"/>
                <w:sz w:val="24"/>
              </w:rPr>
              <w:t>3. 培训完成后组织考核，确保参训人员掌握对应技能；</w:t>
            </w:r>
          </w:p>
          <w:p w14:paraId="56ABB5DA">
            <w:pPr>
              <w:snapToGrid w:val="0"/>
              <w:spacing w:line="360" w:lineRule="auto"/>
              <w:rPr>
                <w:rFonts w:ascii="仿宋" w:hAnsi="仿宋" w:eastAsia="仿宋" w:cs="仿宋"/>
                <w:sz w:val="24"/>
              </w:rPr>
            </w:pPr>
            <w:r>
              <w:rPr>
                <w:rFonts w:hint="eastAsia" w:ascii="仿宋" w:hAnsi="仿宋" w:eastAsia="仿宋" w:cs="仿宋"/>
                <w:sz w:val="24"/>
              </w:rPr>
              <w:t>4. 针对系统升级、新功能上线、新员工入职等场景，提供即时专项培训服务。</w:t>
            </w:r>
          </w:p>
        </w:tc>
        <w:tc>
          <w:tcPr>
            <w:tcW w:w="737" w:type="pct"/>
            <w:tcMar>
              <w:top w:w="60" w:type="dxa"/>
              <w:left w:w="120" w:type="dxa"/>
              <w:bottom w:w="30" w:type="dxa"/>
              <w:right w:w="120" w:type="dxa"/>
            </w:tcMar>
            <w:vAlign w:val="center"/>
          </w:tcPr>
          <w:p w14:paraId="13D67119">
            <w:pPr>
              <w:snapToGrid w:val="0"/>
              <w:spacing w:line="360" w:lineRule="auto"/>
              <w:jc w:val="center"/>
              <w:rPr>
                <w:rFonts w:ascii="仿宋" w:hAnsi="仿宋" w:eastAsia="仿宋" w:cs="仿宋"/>
                <w:sz w:val="24"/>
              </w:rPr>
            </w:pPr>
            <w:r>
              <w:rPr>
                <w:rFonts w:hint="eastAsia" w:ascii="仿宋" w:hAnsi="仿宋" w:eastAsia="仿宋" w:cs="仿宋"/>
                <w:sz w:val="24"/>
              </w:rPr>
              <w:t>现场培训远程线上培训</w:t>
            </w:r>
          </w:p>
        </w:tc>
        <w:tc>
          <w:tcPr>
            <w:tcW w:w="736" w:type="pct"/>
            <w:tcMar>
              <w:top w:w="60" w:type="dxa"/>
              <w:left w:w="120" w:type="dxa"/>
              <w:bottom w:w="30" w:type="dxa"/>
              <w:right w:w="120" w:type="dxa"/>
            </w:tcMar>
            <w:vAlign w:val="center"/>
          </w:tcPr>
          <w:p w14:paraId="5B47A381">
            <w:pPr>
              <w:snapToGrid w:val="0"/>
              <w:spacing w:line="360" w:lineRule="auto"/>
              <w:jc w:val="center"/>
              <w:rPr>
                <w:rFonts w:ascii="仿宋" w:hAnsi="仿宋" w:eastAsia="仿宋" w:cs="仿宋"/>
                <w:sz w:val="24"/>
              </w:rPr>
            </w:pPr>
            <w:r>
              <w:rPr>
                <w:rFonts w:hint="eastAsia" w:ascii="仿宋" w:hAnsi="仿宋" w:eastAsia="仿宋" w:cs="仿宋"/>
                <w:sz w:val="24"/>
              </w:rPr>
              <w:t>全年累计培训不少于20学时，集中培训不少于2次，专项培训不限次数</w:t>
            </w:r>
          </w:p>
        </w:tc>
      </w:tr>
      <w:tr w14:paraId="4918A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07" w:type="pct"/>
            <w:tcMar>
              <w:top w:w="60" w:type="dxa"/>
              <w:left w:w="120" w:type="dxa"/>
              <w:bottom w:w="30" w:type="dxa"/>
              <w:right w:w="120" w:type="dxa"/>
            </w:tcMar>
            <w:vAlign w:val="center"/>
          </w:tcPr>
          <w:p w14:paraId="5D2BEFC1">
            <w:pPr>
              <w:snapToGrid w:val="0"/>
              <w:spacing w:line="360" w:lineRule="auto"/>
              <w:jc w:val="center"/>
              <w:rPr>
                <w:rFonts w:ascii="仿宋" w:hAnsi="仿宋" w:eastAsia="仿宋" w:cs="仿宋"/>
                <w:sz w:val="24"/>
              </w:rPr>
            </w:pPr>
            <w:r>
              <w:rPr>
                <w:rFonts w:hint="eastAsia" w:ascii="仿宋" w:hAnsi="仿宋" w:eastAsia="仿宋" w:cs="仿宋"/>
                <w:sz w:val="24"/>
              </w:rPr>
              <w:t>7</w:t>
            </w:r>
          </w:p>
        </w:tc>
        <w:tc>
          <w:tcPr>
            <w:tcW w:w="495" w:type="pct"/>
            <w:tcMar>
              <w:top w:w="60" w:type="dxa"/>
              <w:left w:w="120" w:type="dxa"/>
              <w:bottom w:w="30" w:type="dxa"/>
              <w:right w:w="120" w:type="dxa"/>
            </w:tcMar>
            <w:vAlign w:val="center"/>
          </w:tcPr>
          <w:p w14:paraId="208A1E97">
            <w:pPr>
              <w:snapToGrid w:val="0"/>
              <w:spacing w:line="360" w:lineRule="auto"/>
              <w:jc w:val="center"/>
              <w:rPr>
                <w:rFonts w:ascii="仿宋" w:hAnsi="仿宋" w:eastAsia="仿宋" w:cs="仿宋"/>
                <w:sz w:val="24"/>
              </w:rPr>
            </w:pPr>
            <w:r>
              <w:rPr>
                <w:rFonts w:hint="eastAsia" w:ascii="仿宋" w:hAnsi="仿宋" w:eastAsia="仿宋" w:cs="仿宋"/>
                <w:sz w:val="24"/>
              </w:rPr>
              <w:t>应急保障服务</w:t>
            </w:r>
          </w:p>
        </w:tc>
        <w:tc>
          <w:tcPr>
            <w:tcW w:w="2623" w:type="pct"/>
            <w:tcMar>
              <w:top w:w="60" w:type="dxa"/>
              <w:left w:w="120" w:type="dxa"/>
              <w:bottom w:w="30" w:type="dxa"/>
              <w:right w:w="120" w:type="dxa"/>
            </w:tcMar>
            <w:vAlign w:val="center"/>
          </w:tcPr>
          <w:p w14:paraId="03B5332E">
            <w:pPr>
              <w:snapToGrid w:val="0"/>
              <w:spacing w:line="360" w:lineRule="auto"/>
              <w:rPr>
                <w:rFonts w:ascii="仿宋" w:hAnsi="仿宋" w:eastAsia="仿宋" w:cs="仿宋"/>
                <w:sz w:val="24"/>
              </w:rPr>
            </w:pPr>
            <w:r>
              <w:rPr>
                <w:rFonts w:hint="eastAsia" w:ascii="仿宋" w:hAnsi="仿宋" w:eastAsia="仿宋" w:cs="仿宋"/>
                <w:sz w:val="24"/>
              </w:rPr>
              <w:t>1. 针对系统瘫痪、重大数据安全事件、网络攻击等突发场景，制定专项应急预案，明确应急处置流程、责任人员、处置方案；</w:t>
            </w:r>
          </w:p>
          <w:p w14:paraId="4789F9DA">
            <w:pPr>
              <w:snapToGrid w:val="0"/>
              <w:spacing w:line="360" w:lineRule="auto"/>
              <w:rPr>
                <w:rFonts w:ascii="仿宋" w:hAnsi="仿宋" w:eastAsia="仿宋" w:cs="仿宋"/>
                <w:sz w:val="24"/>
              </w:rPr>
            </w:pPr>
            <w:r>
              <w:rPr>
                <w:rFonts w:hint="eastAsia" w:ascii="仿宋" w:hAnsi="仿宋" w:eastAsia="仿宋" w:cs="仿宋"/>
                <w:sz w:val="24"/>
              </w:rPr>
              <w:t>2. 每年联合采购人组织不少于1次应急演练，优化应急预案；</w:t>
            </w:r>
          </w:p>
          <w:p w14:paraId="2C65C343">
            <w:pPr>
              <w:snapToGrid w:val="0"/>
              <w:spacing w:line="360" w:lineRule="auto"/>
              <w:rPr>
                <w:rFonts w:ascii="仿宋" w:hAnsi="仿宋" w:eastAsia="仿宋" w:cs="仿宋"/>
                <w:sz w:val="24"/>
              </w:rPr>
            </w:pPr>
            <w:r>
              <w:rPr>
                <w:rFonts w:hint="eastAsia" w:ascii="仿宋" w:hAnsi="仿宋" w:eastAsia="仿宋" w:cs="仿宋"/>
                <w:sz w:val="24"/>
              </w:rPr>
              <w:t>3. 医院体检高峰、节假日、重大医疗活动等特殊时段，提供专属驻场保障服务，提前完成系统巡检，全程值守保障系统稳定运行。</w:t>
            </w:r>
          </w:p>
        </w:tc>
        <w:tc>
          <w:tcPr>
            <w:tcW w:w="737" w:type="pct"/>
            <w:tcMar>
              <w:top w:w="60" w:type="dxa"/>
              <w:left w:w="120" w:type="dxa"/>
              <w:bottom w:w="30" w:type="dxa"/>
              <w:right w:w="120" w:type="dxa"/>
            </w:tcMar>
            <w:vAlign w:val="center"/>
          </w:tcPr>
          <w:p w14:paraId="768669CD">
            <w:pPr>
              <w:snapToGrid w:val="0"/>
              <w:spacing w:line="360" w:lineRule="auto"/>
              <w:jc w:val="center"/>
              <w:rPr>
                <w:rFonts w:ascii="仿宋" w:hAnsi="仿宋" w:eastAsia="仿宋" w:cs="仿宋"/>
                <w:sz w:val="24"/>
              </w:rPr>
            </w:pPr>
            <w:r>
              <w:rPr>
                <w:rFonts w:hint="eastAsia" w:ascii="仿宋" w:hAnsi="仿宋" w:eastAsia="仿宋" w:cs="仿宋"/>
                <w:sz w:val="24"/>
              </w:rPr>
              <w:t>现场驻场服务7×24小时应急响应</w:t>
            </w:r>
          </w:p>
        </w:tc>
        <w:tc>
          <w:tcPr>
            <w:tcW w:w="736" w:type="pct"/>
            <w:tcMar>
              <w:top w:w="60" w:type="dxa"/>
              <w:left w:w="120" w:type="dxa"/>
              <w:bottom w:w="30" w:type="dxa"/>
              <w:right w:w="120" w:type="dxa"/>
            </w:tcMar>
            <w:vAlign w:val="center"/>
          </w:tcPr>
          <w:p w14:paraId="719B890F">
            <w:pPr>
              <w:snapToGrid w:val="0"/>
              <w:spacing w:line="360" w:lineRule="auto"/>
              <w:jc w:val="center"/>
              <w:rPr>
                <w:rFonts w:ascii="仿宋" w:hAnsi="仿宋" w:eastAsia="仿宋" w:cs="仿宋"/>
                <w:sz w:val="24"/>
              </w:rPr>
            </w:pPr>
            <w:r>
              <w:rPr>
                <w:rFonts w:hint="eastAsia" w:ascii="仿宋" w:hAnsi="仿宋" w:eastAsia="仿宋" w:cs="仿宋"/>
                <w:sz w:val="24"/>
              </w:rPr>
              <w:t>每年不少于1次应急演练，特殊时段按需提供驻场保障</w:t>
            </w:r>
          </w:p>
        </w:tc>
      </w:tr>
      <w:tr w14:paraId="19744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07" w:type="pct"/>
            <w:tcMar>
              <w:top w:w="60" w:type="dxa"/>
              <w:left w:w="120" w:type="dxa"/>
              <w:bottom w:w="30" w:type="dxa"/>
              <w:right w:w="120" w:type="dxa"/>
            </w:tcMar>
            <w:vAlign w:val="center"/>
          </w:tcPr>
          <w:p w14:paraId="52DD351F">
            <w:pPr>
              <w:snapToGrid w:val="0"/>
              <w:spacing w:line="360" w:lineRule="auto"/>
              <w:jc w:val="center"/>
              <w:rPr>
                <w:rFonts w:ascii="仿宋" w:hAnsi="仿宋" w:eastAsia="仿宋" w:cs="仿宋"/>
                <w:sz w:val="24"/>
              </w:rPr>
            </w:pPr>
            <w:r>
              <w:rPr>
                <w:rFonts w:hint="eastAsia" w:ascii="仿宋" w:hAnsi="仿宋" w:eastAsia="仿宋" w:cs="仿宋"/>
                <w:sz w:val="24"/>
              </w:rPr>
              <w:t>8</w:t>
            </w:r>
          </w:p>
        </w:tc>
        <w:tc>
          <w:tcPr>
            <w:tcW w:w="495" w:type="pct"/>
            <w:tcMar>
              <w:top w:w="60" w:type="dxa"/>
              <w:left w:w="120" w:type="dxa"/>
              <w:bottom w:w="30" w:type="dxa"/>
              <w:right w:w="120" w:type="dxa"/>
            </w:tcMar>
            <w:vAlign w:val="center"/>
          </w:tcPr>
          <w:p w14:paraId="4FCC5950">
            <w:pPr>
              <w:snapToGrid w:val="0"/>
              <w:spacing w:line="360" w:lineRule="auto"/>
              <w:jc w:val="center"/>
              <w:rPr>
                <w:rFonts w:ascii="仿宋" w:hAnsi="仿宋" w:eastAsia="仿宋" w:cs="仿宋"/>
                <w:sz w:val="24"/>
              </w:rPr>
            </w:pPr>
            <w:r>
              <w:rPr>
                <w:rFonts w:hint="eastAsia" w:ascii="仿宋" w:hAnsi="仿宋" w:eastAsia="仿宋" w:cs="仿宋"/>
                <w:sz w:val="24"/>
              </w:rPr>
              <w:t>服务器端国产化替代专项技术服务</w:t>
            </w:r>
          </w:p>
        </w:tc>
        <w:tc>
          <w:tcPr>
            <w:tcW w:w="2623" w:type="pct"/>
            <w:tcMar>
              <w:top w:w="60" w:type="dxa"/>
              <w:left w:w="120" w:type="dxa"/>
              <w:bottom w:w="30" w:type="dxa"/>
              <w:right w:w="120" w:type="dxa"/>
            </w:tcMar>
            <w:vAlign w:val="center"/>
          </w:tcPr>
          <w:p w14:paraId="4074B1E0">
            <w:pPr>
              <w:snapToGrid w:val="0"/>
              <w:spacing w:line="360" w:lineRule="auto"/>
              <w:rPr>
                <w:rFonts w:ascii="仿宋" w:hAnsi="仿宋" w:eastAsia="仿宋" w:cs="仿宋"/>
                <w:sz w:val="24"/>
              </w:rPr>
            </w:pPr>
            <w:r>
              <w:rPr>
                <w:rFonts w:hint="eastAsia" w:ascii="仿宋" w:hAnsi="仿宋" w:eastAsia="仿宋" w:cs="仿宋"/>
                <w:sz w:val="24"/>
              </w:rPr>
              <w:t>1. 国产化适配前置评估：针对采购人服务器端国产化替代建设需求，完成现有《手术麻醉系统》全模块、全功能的国产化环境兼容性评估，覆盖国产服务器硬件、操作系统、数据库、中间件的全栈适配性分析，结合信息系统特性出具完整的《系统国产化适配评估报告》《国产化迁移实施方案》《业务割接与风险应急预案》</w:t>
            </w:r>
          </w:p>
          <w:p w14:paraId="10705894">
            <w:pPr>
              <w:snapToGrid w:val="0"/>
              <w:spacing w:line="360" w:lineRule="auto"/>
              <w:rPr>
                <w:rFonts w:ascii="仿宋" w:hAnsi="仿宋" w:eastAsia="仿宋" w:cs="仿宋"/>
                <w:sz w:val="24"/>
              </w:rPr>
            </w:pPr>
            <w:r>
              <w:rPr>
                <w:rFonts w:hint="eastAsia" w:ascii="仿宋" w:hAnsi="仿宋" w:eastAsia="仿宋" w:cs="仿宋"/>
                <w:sz w:val="24"/>
              </w:rPr>
              <w:t>2. 原厂级适配改造开发：针对评估发现的兼容性问题，提供系统源代码级的适配改造、功能优化、接口重构服务，确保系统在国产化服务器环境下全功能正常运行、业务流程无断点、数据交互无异常，同时保障系统与院内HIS、LIS、PACS、EMR等现有及新增信创/非信创系统的互联互通，适配改造后系统性能不低于原有非国产化环境水平；</w:t>
            </w:r>
          </w:p>
          <w:p w14:paraId="5C0A49B6">
            <w:pPr>
              <w:snapToGrid w:val="0"/>
              <w:spacing w:line="360" w:lineRule="auto"/>
              <w:rPr>
                <w:rFonts w:ascii="仿宋" w:hAnsi="仿宋" w:eastAsia="仿宋" w:cs="仿宋"/>
                <w:sz w:val="24"/>
              </w:rPr>
            </w:pPr>
            <w:r>
              <w:rPr>
                <w:rFonts w:hint="eastAsia" w:ascii="仿宋" w:hAnsi="仿宋" w:eastAsia="仿宋" w:cs="仿宋"/>
                <w:sz w:val="24"/>
              </w:rPr>
              <w:t>3. 国产化迁移与割接实施：配合采购人完成国产化测试环境搭建、全量功能测试、压力测试、兼容性测试、安全测试，制定分阶段、零风险的业务割接方案，割接操作安排在非业务高峰时段（夜间、节假日），全程派驻技术人员现场值守，保障迁移过程医疗数据零丢失、零泄露、零篡改，业务中断时长符合医院医疗安全管理要求，如出现异常立即启动回滚预案，保障业务连续性；</w:t>
            </w:r>
          </w:p>
          <w:p w14:paraId="6D3B54BD">
            <w:pPr>
              <w:snapToGrid w:val="0"/>
              <w:spacing w:line="360" w:lineRule="auto"/>
              <w:rPr>
                <w:rFonts w:ascii="仿宋" w:hAnsi="仿宋" w:eastAsia="仿宋" w:cs="仿宋"/>
                <w:sz w:val="24"/>
              </w:rPr>
            </w:pPr>
            <w:r>
              <w:rPr>
                <w:rFonts w:hint="eastAsia" w:ascii="仿宋" w:hAnsi="仿宋" w:eastAsia="仿宋" w:cs="仿宋"/>
                <w:sz w:val="24"/>
              </w:rPr>
              <w:t>4. 国产化环境专项运维保障：系统迁移至国产化服务器环境后，提供专属专项运维服务，包括国产化环境下系统日常巡检、性能优化、故障排查处置、安全补丁适配、漏洞修复、合规性升级，建立国产化环境专属运维台账，针对国产化平台特性优化运维流程，保障系统在国产化服务器环境下持续稳定运行；</w:t>
            </w:r>
          </w:p>
          <w:p w14:paraId="146F1B03">
            <w:pPr>
              <w:snapToGrid w:val="0"/>
              <w:spacing w:line="360" w:lineRule="auto"/>
              <w:rPr>
                <w:rFonts w:ascii="仿宋" w:hAnsi="仿宋" w:eastAsia="仿宋" w:cs="仿宋"/>
                <w:sz w:val="24"/>
              </w:rPr>
            </w:pPr>
            <w:r>
              <w:rPr>
                <w:rFonts w:hint="eastAsia" w:ascii="仿宋" w:hAnsi="仿宋" w:eastAsia="仿宋" w:cs="仿宋"/>
                <w:sz w:val="24"/>
              </w:rPr>
              <w:t>5. 合规适配与测评支撑：配合采购人完成信创建设合规验收、网络安全等级保护测评、医院信息互联互通标准化成熟度测评等相关工作，提供系统国产化适配证明、测试报告、技术支撑及整改服务，确保系统符合国家及地方交通、卫健、网信部门关于医疗信息化信创建设的最新政策要求；</w:t>
            </w:r>
          </w:p>
          <w:p w14:paraId="7FFB7CCC">
            <w:pPr>
              <w:snapToGrid w:val="0"/>
              <w:spacing w:line="360" w:lineRule="auto"/>
              <w:rPr>
                <w:rFonts w:ascii="仿宋" w:hAnsi="仿宋" w:eastAsia="仿宋" w:cs="仿宋"/>
                <w:sz w:val="24"/>
              </w:rPr>
            </w:pPr>
            <w:r>
              <w:rPr>
                <w:rFonts w:hint="eastAsia" w:ascii="仿宋" w:hAnsi="仿宋" w:eastAsia="仿宋" w:cs="仿宋"/>
                <w:sz w:val="24"/>
              </w:rPr>
              <w:t>6. 国产化专项培训：针对国产化服务器环境下的系统运维、操作使用、故障应急处置，为采购人信息科技术人员、医护操作岗、管理岗人员提供专项定制化培训，编制专属培训教材，确保参训人员掌握对应技能。</w:t>
            </w:r>
          </w:p>
        </w:tc>
        <w:tc>
          <w:tcPr>
            <w:tcW w:w="737" w:type="pct"/>
            <w:tcMar>
              <w:top w:w="60" w:type="dxa"/>
              <w:left w:w="120" w:type="dxa"/>
              <w:bottom w:w="30" w:type="dxa"/>
              <w:right w:w="120" w:type="dxa"/>
            </w:tcMar>
            <w:vAlign w:val="center"/>
          </w:tcPr>
          <w:p w14:paraId="7945BB8C">
            <w:pPr>
              <w:snapToGrid w:val="0"/>
              <w:spacing w:line="360" w:lineRule="auto"/>
              <w:jc w:val="center"/>
              <w:rPr>
                <w:rFonts w:ascii="仿宋" w:hAnsi="仿宋" w:eastAsia="仿宋" w:cs="仿宋"/>
                <w:sz w:val="24"/>
              </w:rPr>
            </w:pPr>
            <w:r>
              <w:rPr>
                <w:rFonts w:hint="eastAsia" w:ascii="仿宋" w:hAnsi="仿宋" w:eastAsia="仿宋" w:cs="仿宋"/>
                <w:sz w:val="24"/>
              </w:rPr>
              <w:t>现场服务为主，远程辅助服务，专项驻场服务</w:t>
            </w:r>
          </w:p>
        </w:tc>
        <w:tc>
          <w:tcPr>
            <w:tcW w:w="736" w:type="pct"/>
            <w:tcMar>
              <w:top w:w="60" w:type="dxa"/>
              <w:left w:w="120" w:type="dxa"/>
              <w:bottom w:w="30" w:type="dxa"/>
              <w:right w:w="120" w:type="dxa"/>
            </w:tcMar>
            <w:vAlign w:val="center"/>
          </w:tcPr>
          <w:p w14:paraId="1EDFC511">
            <w:pPr>
              <w:snapToGrid w:val="0"/>
              <w:spacing w:line="360" w:lineRule="auto"/>
              <w:jc w:val="center"/>
              <w:rPr>
                <w:rFonts w:ascii="仿宋" w:hAnsi="仿宋" w:eastAsia="仿宋" w:cs="仿宋"/>
                <w:sz w:val="24"/>
              </w:rPr>
            </w:pPr>
            <w:r>
              <w:rPr>
                <w:rFonts w:hint="eastAsia" w:ascii="仿宋" w:hAnsi="仿宋" w:eastAsia="仿宋" w:cs="仿宋"/>
                <w:sz w:val="24"/>
              </w:rPr>
              <w:t>按需提供全流程服务，服务期内不限响应次数；迁移完成后每月至少1次国产化环境专项巡检，每季度至少1次性能优化</w:t>
            </w:r>
          </w:p>
        </w:tc>
      </w:tr>
      <w:tr w14:paraId="0C314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07" w:type="pct"/>
            <w:tcMar>
              <w:top w:w="60" w:type="dxa"/>
              <w:left w:w="120" w:type="dxa"/>
              <w:bottom w:w="30" w:type="dxa"/>
              <w:right w:w="120" w:type="dxa"/>
            </w:tcMar>
            <w:vAlign w:val="center"/>
          </w:tcPr>
          <w:p w14:paraId="593FF00E">
            <w:pPr>
              <w:snapToGrid w:val="0"/>
              <w:spacing w:line="360" w:lineRule="auto"/>
              <w:jc w:val="center"/>
              <w:rPr>
                <w:rFonts w:ascii="仿宋" w:hAnsi="仿宋" w:eastAsia="仿宋" w:cs="仿宋"/>
                <w:sz w:val="24"/>
              </w:rPr>
            </w:pPr>
            <w:r>
              <w:rPr>
                <w:rFonts w:hint="eastAsia" w:ascii="仿宋" w:hAnsi="仿宋" w:eastAsia="仿宋" w:cs="仿宋"/>
                <w:sz w:val="24"/>
              </w:rPr>
              <w:t>9</w:t>
            </w:r>
          </w:p>
        </w:tc>
        <w:tc>
          <w:tcPr>
            <w:tcW w:w="495" w:type="pct"/>
            <w:tcMar>
              <w:top w:w="60" w:type="dxa"/>
              <w:left w:w="120" w:type="dxa"/>
              <w:bottom w:w="30" w:type="dxa"/>
              <w:right w:w="120" w:type="dxa"/>
            </w:tcMar>
            <w:vAlign w:val="center"/>
          </w:tcPr>
          <w:p w14:paraId="173DE79A">
            <w:pPr>
              <w:snapToGrid w:val="0"/>
              <w:spacing w:line="360" w:lineRule="auto"/>
              <w:jc w:val="center"/>
              <w:rPr>
                <w:rFonts w:ascii="仿宋" w:hAnsi="仿宋" w:eastAsia="仿宋" w:cs="仿宋"/>
                <w:sz w:val="24"/>
              </w:rPr>
            </w:pPr>
            <w:r>
              <w:rPr>
                <w:rFonts w:hint="eastAsia" w:ascii="仿宋" w:hAnsi="仿宋" w:eastAsia="仿宋" w:cs="仿宋"/>
                <w:sz w:val="24"/>
              </w:rPr>
              <w:t>运维报告服务</w:t>
            </w:r>
          </w:p>
        </w:tc>
        <w:tc>
          <w:tcPr>
            <w:tcW w:w="2623" w:type="pct"/>
            <w:tcMar>
              <w:top w:w="60" w:type="dxa"/>
              <w:left w:w="120" w:type="dxa"/>
              <w:bottom w:w="30" w:type="dxa"/>
              <w:right w:w="120" w:type="dxa"/>
            </w:tcMar>
            <w:vAlign w:val="center"/>
          </w:tcPr>
          <w:p w14:paraId="4FEE10DB">
            <w:pPr>
              <w:snapToGrid w:val="0"/>
              <w:spacing w:line="360" w:lineRule="auto"/>
              <w:rPr>
                <w:rFonts w:ascii="仿宋" w:hAnsi="仿宋" w:eastAsia="仿宋" w:cs="仿宋"/>
                <w:sz w:val="24"/>
              </w:rPr>
            </w:pPr>
            <w:r>
              <w:rPr>
                <w:rFonts w:hint="eastAsia" w:ascii="仿宋" w:hAnsi="仿宋" w:eastAsia="仿宋" w:cs="仿宋"/>
                <w:sz w:val="24"/>
              </w:rPr>
              <w:t>1. 每季度、每年提交阶段性运维报告，年度报告须包含全年服务总结、系统运行评估、安全合规情况、下一年度运维优化方案等；</w:t>
            </w:r>
          </w:p>
          <w:p w14:paraId="0ECF74DF">
            <w:pPr>
              <w:snapToGrid w:val="0"/>
              <w:spacing w:line="360" w:lineRule="auto"/>
              <w:rPr>
                <w:rFonts w:ascii="仿宋" w:hAnsi="仿宋" w:eastAsia="仿宋" w:cs="仿宋"/>
                <w:sz w:val="24"/>
              </w:rPr>
            </w:pPr>
            <w:r>
              <w:rPr>
                <w:rFonts w:hint="eastAsia" w:ascii="仿宋" w:hAnsi="仿宋" w:eastAsia="仿宋" w:cs="仿宋"/>
                <w:sz w:val="24"/>
              </w:rPr>
              <w:t>2. 重大故障、专项工作单独提交专项报告。</w:t>
            </w:r>
          </w:p>
        </w:tc>
        <w:tc>
          <w:tcPr>
            <w:tcW w:w="737" w:type="pct"/>
            <w:tcMar>
              <w:top w:w="60" w:type="dxa"/>
              <w:left w:w="120" w:type="dxa"/>
              <w:bottom w:w="30" w:type="dxa"/>
              <w:right w:w="120" w:type="dxa"/>
            </w:tcMar>
            <w:vAlign w:val="center"/>
          </w:tcPr>
          <w:p w14:paraId="7D84B997">
            <w:pPr>
              <w:snapToGrid w:val="0"/>
              <w:spacing w:line="360" w:lineRule="auto"/>
              <w:jc w:val="center"/>
              <w:rPr>
                <w:rFonts w:ascii="仿宋" w:hAnsi="仿宋" w:eastAsia="仿宋" w:cs="仿宋"/>
                <w:sz w:val="24"/>
              </w:rPr>
            </w:pPr>
            <w:r>
              <w:rPr>
                <w:rFonts w:hint="eastAsia" w:ascii="仿宋" w:hAnsi="仿宋" w:eastAsia="仿宋" w:cs="仿宋"/>
                <w:sz w:val="24"/>
              </w:rPr>
              <w:t>书面盖章报告电子文档</w:t>
            </w:r>
          </w:p>
        </w:tc>
        <w:tc>
          <w:tcPr>
            <w:tcW w:w="736" w:type="pct"/>
            <w:tcMar>
              <w:top w:w="60" w:type="dxa"/>
              <w:left w:w="120" w:type="dxa"/>
              <w:bottom w:w="30" w:type="dxa"/>
              <w:right w:w="120" w:type="dxa"/>
            </w:tcMar>
            <w:vAlign w:val="center"/>
          </w:tcPr>
          <w:p w14:paraId="008AA536">
            <w:pPr>
              <w:snapToGrid w:val="0"/>
              <w:spacing w:line="360" w:lineRule="auto"/>
              <w:jc w:val="center"/>
              <w:rPr>
                <w:rFonts w:ascii="仿宋" w:hAnsi="仿宋" w:eastAsia="仿宋" w:cs="仿宋"/>
                <w:sz w:val="24"/>
              </w:rPr>
            </w:pPr>
            <w:bookmarkStart w:id="48" w:name="OLE_LINK4"/>
            <w:bookmarkStart w:id="49" w:name="OLE_LINK3"/>
            <w:r>
              <w:rPr>
                <w:rFonts w:hint="eastAsia" w:ascii="仿宋" w:hAnsi="仿宋" w:eastAsia="仿宋" w:cs="仿宋"/>
                <w:sz w:val="24"/>
              </w:rPr>
              <w:t>每季度1次季报，每年1次年报，专项报告按需提交</w:t>
            </w:r>
            <w:bookmarkEnd w:id="48"/>
            <w:bookmarkEnd w:id="49"/>
          </w:p>
        </w:tc>
      </w:tr>
    </w:tbl>
    <w:p w14:paraId="1341AB04">
      <w:pPr>
        <w:snapToGrid w:val="0"/>
        <w:spacing w:line="360" w:lineRule="auto"/>
        <w:jc w:val="left"/>
        <w:rPr>
          <w:rFonts w:ascii="仿宋" w:hAnsi="仿宋" w:eastAsia="仿宋" w:cs="仿宋"/>
          <w:sz w:val="24"/>
        </w:rPr>
      </w:pPr>
      <w:r>
        <w:rPr>
          <w:rFonts w:hint="eastAsia" w:ascii="仿宋" w:hAnsi="仿宋" w:eastAsia="仿宋" w:cs="仿宋"/>
          <w:b/>
          <w:sz w:val="24"/>
        </w:rPr>
        <w:t>5. 售后服务方案与技术能力要求</w:t>
      </w:r>
    </w:p>
    <w:p w14:paraId="5BA8EE51">
      <w:pPr>
        <w:snapToGrid w:val="0"/>
        <w:spacing w:line="360" w:lineRule="auto"/>
        <w:jc w:val="left"/>
        <w:rPr>
          <w:rFonts w:ascii="仿宋" w:hAnsi="仿宋" w:eastAsia="仿宋" w:cs="仿宋"/>
          <w:sz w:val="24"/>
        </w:rPr>
      </w:pPr>
      <w:r>
        <w:rPr>
          <w:rFonts w:hint="eastAsia" w:ascii="仿宋" w:hAnsi="仿宋" w:eastAsia="仿宋" w:cs="仿宋"/>
          <w:b/>
          <w:sz w:val="24"/>
        </w:rPr>
        <w:t>5.1 售后服务方案要求</w:t>
      </w:r>
    </w:p>
    <w:p w14:paraId="2F78B53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服务商须根据采购人信息化建设现状、系统使用情况、业务运行特点，制定详尽、可落地的售后服务方案，方案须至少包含以下内容：</w:t>
      </w:r>
    </w:p>
    <w:p w14:paraId="5DAFF6B4">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6.</w:t>
      </w:r>
    </w:p>
    <w:p w14:paraId="3CBA5DFF">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7.</w:t>
      </w:r>
    </w:p>
    <w:p w14:paraId="0975ED9A">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8.</w:t>
      </w:r>
    </w:p>
    <w:p w14:paraId="7C9DF4BC">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9.</w:t>
      </w:r>
    </w:p>
    <w:p w14:paraId="3EEFAC72">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10.</w:t>
      </w:r>
    </w:p>
    <w:p w14:paraId="28D44DBF">
      <w:pPr>
        <w:pStyle w:val="34"/>
        <w:numPr>
          <w:ilvl w:val="1"/>
          <w:numId w:val="0"/>
        </w:numPr>
        <w:snapToGrid w:val="0"/>
        <w:spacing w:line="360" w:lineRule="auto"/>
        <w:ind w:left="567" w:hanging="567"/>
        <w:jc w:val="left"/>
        <w:rPr>
          <w:rFonts w:ascii="仿宋" w:hAnsi="仿宋" w:eastAsia="仿宋" w:cs="仿宋"/>
          <w:vanish/>
          <w:sz w:val="24"/>
        </w:rPr>
      </w:pPr>
      <w:r>
        <w:rPr>
          <w:rFonts w:hint="eastAsia" w:ascii="仿宋" w:hAnsi="仿宋" w:eastAsia="仿宋" w:cs="仿宋"/>
          <w:vanish/>
          <w:sz w:val="24"/>
        </w:rPr>
        <w:t>10.1.</w:t>
      </w:r>
    </w:p>
    <w:p w14:paraId="4B1390EC">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5.1.1.售后运维服务的整体承诺、服务级别保障承诺；</w:t>
      </w:r>
    </w:p>
    <w:p w14:paraId="21E89228">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5.1.2.售后运维服务的详细内容、实施流程、操作规范；</w:t>
      </w:r>
    </w:p>
    <w:p w14:paraId="06CD9767">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5.1.3.各故障等级的应急处置措施、业务连续性保障方案；</w:t>
      </w:r>
    </w:p>
    <w:p w14:paraId="04F01880">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5.1.4.售后运维服务全流程管理制度、质量管控体系；</w:t>
      </w:r>
    </w:p>
    <w:p w14:paraId="3D63002B">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5.1.5.数据安全事件、系统瘫痪等突发场景的专项应急预案；</w:t>
      </w:r>
    </w:p>
    <w:p w14:paraId="673B6A73">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5.1.6.运维服务人员的岗位职责、考核方案、奖惩机制；</w:t>
      </w:r>
    </w:p>
    <w:p w14:paraId="5DE73327">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5.1.7.合规性保障方案、等保合规配合方案、个人信息保护专项方案。</w:t>
      </w:r>
    </w:p>
    <w:p w14:paraId="7C09D4A9">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5.1.8.服务器端国产化替代专项服务方案与专项应急预案。</w:t>
      </w:r>
    </w:p>
    <w:p w14:paraId="70D5C0B9">
      <w:pPr>
        <w:snapToGrid w:val="0"/>
        <w:spacing w:line="360" w:lineRule="auto"/>
        <w:jc w:val="left"/>
        <w:rPr>
          <w:rFonts w:ascii="仿宋" w:hAnsi="仿宋" w:eastAsia="仿宋" w:cs="仿宋"/>
          <w:sz w:val="24"/>
        </w:rPr>
      </w:pPr>
      <w:r>
        <w:rPr>
          <w:rFonts w:hint="eastAsia" w:ascii="仿宋" w:hAnsi="仿宋" w:eastAsia="仿宋" w:cs="仿宋"/>
          <w:b/>
          <w:sz w:val="24"/>
        </w:rPr>
        <w:t>5.2 技术能力与人员要求</w:t>
      </w:r>
    </w:p>
    <w:p w14:paraId="4FCF858B">
      <w:pPr>
        <w:pStyle w:val="34"/>
        <w:widowControl/>
        <w:snapToGrid w:val="0"/>
        <w:spacing w:line="360" w:lineRule="auto"/>
        <w:ind w:left="425" w:hanging="425" w:firstLineChars="0"/>
        <w:jc w:val="left"/>
        <w:rPr>
          <w:rFonts w:ascii="仿宋" w:hAnsi="仿宋" w:eastAsia="仿宋" w:cs="仿宋"/>
          <w:bCs/>
          <w:vanish/>
          <w:sz w:val="24"/>
        </w:rPr>
      </w:pPr>
      <w:r>
        <w:rPr>
          <w:rFonts w:hint="eastAsia" w:ascii="仿宋" w:hAnsi="仿宋" w:eastAsia="仿宋" w:cs="仿宋"/>
          <w:bCs/>
          <w:vanish/>
          <w:sz w:val="24"/>
        </w:rPr>
        <w:t>5.</w:t>
      </w:r>
    </w:p>
    <w:p w14:paraId="39603233">
      <w:pPr>
        <w:pStyle w:val="34"/>
        <w:widowControl/>
        <w:numPr>
          <w:ilvl w:val="1"/>
          <w:numId w:val="0"/>
        </w:numPr>
        <w:snapToGrid w:val="0"/>
        <w:spacing w:line="360" w:lineRule="auto"/>
        <w:ind w:left="567" w:hanging="567"/>
        <w:jc w:val="left"/>
        <w:rPr>
          <w:rFonts w:ascii="仿宋" w:hAnsi="仿宋" w:eastAsia="仿宋" w:cs="仿宋"/>
          <w:bCs/>
          <w:vanish/>
          <w:sz w:val="24"/>
        </w:rPr>
      </w:pPr>
      <w:r>
        <w:rPr>
          <w:rFonts w:hint="eastAsia" w:ascii="仿宋" w:hAnsi="仿宋" w:eastAsia="仿宋" w:cs="仿宋"/>
          <w:bCs/>
          <w:vanish/>
          <w:sz w:val="24"/>
        </w:rPr>
        <w:t>5.1.</w:t>
      </w:r>
    </w:p>
    <w:p w14:paraId="5D068352">
      <w:pPr>
        <w:pStyle w:val="34"/>
        <w:widowControl/>
        <w:numPr>
          <w:ilvl w:val="1"/>
          <w:numId w:val="0"/>
        </w:numPr>
        <w:snapToGrid w:val="0"/>
        <w:spacing w:line="360" w:lineRule="auto"/>
        <w:ind w:left="567" w:hanging="567"/>
        <w:jc w:val="left"/>
        <w:rPr>
          <w:rFonts w:ascii="仿宋" w:hAnsi="仿宋" w:eastAsia="仿宋" w:cs="仿宋"/>
          <w:bCs/>
          <w:vanish/>
          <w:sz w:val="24"/>
        </w:rPr>
      </w:pPr>
      <w:r>
        <w:rPr>
          <w:rFonts w:hint="eastAsia" w:ascii="仿宋" w:hAnsi="仿宋" w:eastAsia="仿宋" w:cs="仿宋"/>
          <w:bCs/>
          <w:vanish/>
          <w:sz w:val="24"/>
        </w:rPr>
        <w:t>5.2.</w:t>
      </w:r>
    </w:p>
    <w:p w14:paraId="6F2DFF39">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5.2.1.服务商须提供本项目售后服务专属团队组织架构，明确项目负责人、技术负责人、现场运维人员、安全专项人员、应急保障人员的岗位职责与联系方式，确保7×24小时可联系。</w:t>
      </w:r>
    </w:p>
    <w:p w14:paraId="7CFAF0E8">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5.2.2.本项目专属技术团队人员不少于5人，其中专职人员不少于1人（可根据采购人需求调整），团队人员须满足以下资质要求：</w:t>
      </w:r>
    </w:p>
    <w:p w14:paraId="0BEFF728">
      <w:pPr>
        <w:pStyle w:val="34"/>
        <w:numPr>
          <w:ilvl w:val="0"/>
          <w:numId w:val="4"/>
        </w:numPr>
        <w:snapToGrid w:val="0"/>
        <w:spacing w:line="360" w:lineRule="auto"/>
        <w:ind w:left="0" w:firstLine="480"/>
        <w:jc w:val="left"/>
        <w:rPr>
          <w:rFonts w:ascii="仿宋" w:hAnsi="仿宋" w:eastAsia="仿宋" w:cs="仿宋"/>
          <w:sz w:val="24"/>
        </w:rPr>
      </w:pPr>
      <w:r>
        <w:rPr>
          <w:rFonts w:hint="eastAsia" w:ascii="仿宋" w:hAnsi="仿宋" w:eastAsia="仿宋" w:cs="仿宋"/>
          <w:sz w:val="24"/>
        </w:rPr>
        <w:t>项目负责人须具备3年以上医疗信息化系统运维项目管理经验；</w:t>
      </w:r>
    </w:p>
    <w:p w14:paraId="7936033B">
      <w:pPr>
        <w:pStyle w:val="34"/>
        <w:numPr>
          <w:ilvl w:val="0"/>
          <w:numId w:val="4"/>
        </w:numPr>
        <w:snapToGrid w:val="0"/>
        <w:spacing w:line="360" w:lineRule="auto"/>
        <w:ind w:left="0" w:firstLine="480"/>
        <w:jc w:val="left"/>
        <w:rPr>
          <w:rFonts w:ascii="仿宋" w:hAnsi="仿宋" w:eastAsia="仿宋" w:cs="仿宋"/>
          <w:sz w:val="24"/>
        </w:rPr>
      </w:pPr>
      <w:r>
        <w:rPr>
          <w:rFonts w:hint="eastAsia" w:ascii="仿宋" w:hAnsi="仿宋" w:eastAsia="仿宋" w:cs="仿宋"/>
          <w:sz w:val="24"/>
        </w:rPr>
        <w:t>技术团队须包含至少1名数据库工程师、1名网络安全工程师，所有运维人员须具备对应系统的原厂运维认证资质；</w:t>
      </w:r>
    </w:p>
    <w:p w14:paraId="62E98102">
      <w:pPr>
        <w:pStyle w:val="34"/>
        <w:numPr>
          <w:ilvl w:val="0"/>
          <w:numId w:val="4"/>
        </w:numPr>
        <w:snapToGrid w:val="0"/>
        <w:spacing w:line="360" w:lineRule="auto"/>
        <w:ind w:left="0" w:firstLine="480"/>
        <w:jc w:val="left"/>
        <w:rPr>
          <w:rFonts w:ascii="仿宋" w:hAnsi="仿宋" w:eastAsia="仿宋" w:cs="仿宋"/>
          <w:sz w:val="24"/>
        </w:rPr>
      </w:pPr>
      <w:r>
        <w:rPr>
          <w:rFonts w:hint="eastAsia" w:ascii="仿宋" w:hAnsi="仿宋" w:eastAsia="仿宋" w:cs="仿宋"/>
          <w:sz w:val="24"/>
        </w:rPr>
        <w:t>提供团队所有人员近3个月的社保缴纳证明材料，确保人员稳定，未经采购人书面同意，不得擅自更换项目核心人员。</w:t>
      </w:r>
    </w:p>
    <w:p w14:paraId="336BDED6">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5.2.3.服务商须具备完善的技术支撑体系，具备原厂级研发与维护能力，可提供系统源代码级的故障修复、功能适配服务，具备本地化服务能力，确保应急处置时效。</w:t>
      </w:r>
    </w:p>
    <w:p w14:paraId="29566D19">
      <w:pPr>
        <w:snapToGrid w:val="0"/>
        <w:spacing w:line="360" w:lineRule="auto"/>
        <w:jc w:val="left"/>
        <w:rPr>
          <w:rFonts w:ascii="仿宋" w:hAnsi="仿宋" w:eastAsia="仿宋" w:cs="仿宋"/>
          <w:sz w:val="24"/>
        </w:rPr>
      </w:pPr>
      <w:r>
        <w:rPr>
          <w:rFonts w:hint="eastAsia" w:ascii="仿宋" w:hAnsi="仿宋" w:eastAsia="仿宋" w:cs="仿宋"/>
          <w:b/>
          <w:sz w:val="24"/>
        </w:rPr>
        <w:t>6. 数据安全与信息保密要求</w:t>
      </w:r>
    </w:p>
    <w:p w14:paraId="0C5042A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本条款严格遵循《数据安全法》、《个人信息保护法》、《医疗卫生机构网络安全管理办法》、《医疗卫生数据安全指南》制定，为项目刚性要求，具体如下：</w:t>
      </w:r>
    </w:p>
    <w:p w14:paraId="0FCFC357">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7.</w:t>
      </w:r>
    </w:p>
    <w:p w14:paraId="5833E911">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8.</w:t>
      </w:r>
    </w:p>
    <w:p w14:paraId="04D91C8C">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6.1.服务商须建立完善的数据安全管理制度、全生命周期数据保护体系、个人信息保护管理制度，符合国家医疗数据分类分级保护要求，明确数据安全责任部门与专职技术人员，提供专职人员证明材料。</w:t>
      </w:r>
    </w:p>
    <w:p w14:paraId="0BBD81A8">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6.2.服务商须与采购人签订专项数据安全与保密协议，同时与所有参与本项目的服务人员签订保密协议，明确保密义务、保密范围、保密期限（含在职期间及离职后终身保密）与违约责任，相关协议文本须提交采购人备案。</w:t>
      </w:r>
    </w:p>
    <w:p w14:paraId="58C5D988">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6.3.服务商须严格遵守国家法律法规，对服务过程中接触、获取的所有医疗数据、患者个人信息、医院业务数据、涉密信息等，仅可用于本项目运维服务工作，不得擅自复制、存储、泄露、转让、篡改、销毁，不得用于任何商业用途或其他未经授权的用途。</w:t>
      </w:r>
    </w:p>
    <w:p w14:paraId="4D2F805F">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6.4.服务商的远程运维操作须经过采购人书面审批，采用加密安全接入方式，全程留痕，审计日志留存不少于6个月；严禁未经授权的远程操作，严禁将系统接入公共互联网进行运维操作。</w:t>
      </w:r>
    </w:p>
    <w:p w14:paraId="714F54D5">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6.5.服务商须建立数据安全事件应急处置机制，发生数据泄露、篡改、丢失等安全事件时，须10分钟内响应，第一时间通知采购人，同步启动应急预案，采取处置措施防止事件扩大，配合采购人完成监管上报、事件调查等工作，并承担全部法律责任与经济损失。</w:t>
      </w:r>
    </w:p>
    <w:p w14:paraId="0E415F26">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6.6.国产化迁移实施过程中，须严格遵循采购人数据安全管理规定，制定专项数据迁移安全方案，全程加密传输数据，做好全量数据备份与一致性校验，确保迁移过程数据全生命周期安全。</w:t>
      </w:r>
    </w:p>
    <w:p w14:paraId="59A226AC">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6.7.服务期结束后，服务商须将所有运维相关数据、文档、材料完整移交采购人，彻底删除所持有的采购人全部数据，不得留存任何副本，并向采购人出具数据删除承诺书。</w:t>
      </w:r>
    </w:p>
    <w:p w14:paraId="069BFA41">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6.8.服务商须配合采购人完成数据安全检查、网络安全审计、等保测评等相关工作，提供对应的技术支撑与整改服务。</w:t>
      </w:r>
    </w:p>
    <w:p w14:paraId="2AA9A762">
      <w:pPr>
        <w:snapToGrid w:val="0"/>
        <w:spacing w:line="360" w:lineRule="auto"/>
        <w:jc w:val="left"/>
        <w:rPr>
          <w:rFonts w:ascii="仿宋" w:hAnsi="仿宋" w:eastAsia="仿宋" w:cs="仿宋"/>
          <w:sz w:val="24"/>
        </w:rPr>
      </w:pPr>
      <w:r>
        <w:rPr>
          <w:rFonts w:hint="eastAsia" w:ascii="仿宋" w:hAnsi="仿宋" w:eastAsia="仿宋" w:cs="仿宋"/>
          <w:b/>
          <w:sz w:val="24"/>
        </w:rPr>
        <w:t>三、商务要求</w:t>
      </w:r>
    </w:p>
    <w:p w14:paraId="3D21F091">
      <w:pPr>
        <w:snapToGrid w:val="0"/>
        <w:spacing w:line="360" w:lineRule="auto"/>
        <w:jc w:val="left"/>
        <w:rPr>
          <w:rFonts w:ascii="仿宋" w:hAnsi="仿宋" w:eastAsia="仿宋" w:cs="仿宋"/>
          <w:sz w:val="24"/>
        </w:rPr>
      </w:pPr>
      <w:r>
        <w:rPr>
          <w:rFonts w:hint="eastAsia" w:ascii="仿宋" w:hAnsi="仿宋" w:eastAsia="仿宋" w:cs="仿宋"/>
          <w:b/>
          <w:sz w:val="24"/>
        </w:rPr>
        <w:t>1. 合同核心内容</w:t>
      </w:r>
    </w:p>
    <w:p w14:paraId="45E1634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合同标的为成交供应商提供的本文件约定的全部运维服务、服务器端国产化替代专项技术服务，合同内容包含采购文件、成交供应商的响应文件、单一来源采购协商记录、服务承诺、成交通知书、合同文本等全部文件，成交总金额为合同固定总价，包含服务期内完成全部服务所需的人工、材料、设备、开发、测试、税费、培训、应急保障等所有费用，采购人无需额外支付任何费用。</w:t>
      </w:r>
    </w:p>
    <w:p w14:paraId="6A3177F5">
      <w:pPr>
        <w:snapToGrid w:val="0"/>
        <w:spacing w:line="360" w:lineRule="auto"/>
        <w:jc w:val="left"/>
        <w:rPr>
          <w:rFonts w:ascii="仿宋" w:hAnsi="仿宋" w:eastAsia="仿宋" w:cs="仿宋"/>
          <w:sz w:val="24"/>
        </w:rPr>
      </w:pPr>
      <w:r>
        <w:rPr>
          <w:rFonts w:hint="eastAsia" w:ascii="仿宋" w:hAnsi="仿宋" w:eastAsia="仿宋" w:cs="仿宋"/>
          <w:b/>
          <w:sz w:val="24"/>
        </w:rPr>
        <w:t>2. 服务地点</w:t>
      </w:r>
    </w:p>
    <w:p w14:paraId="1ABBFB4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陕西省交通医院本部及所有分院区、采购人指定的其他服务场所。</w:t>
      </w:r>
    </w:p>
    <w:p w14:paraId="574C373A">
      <w:pPr>
        <w:snapToGrid w:val="0"/>
        <w:spacing w:line="360" w:lineRule="auto"/>
        <w:jc w:val="left"/>
        <w:rPr>
          <w:rFonts w:ascii="仿宋" w:hAnsi="仿宋" w:eastAsia="仿宋" w:cs="仿宋"/>
          <w:sz w:val="24"/>
        </w:rPr>
      </w:pPr>
      <w:r>
        <w:rPr>
          <w:rFonts w:hint="eastAsia" w:ascii="仿宋" w:hAnsi="仿宋" w:eastAsia="仿宋" w:cs="仿宋"/>
          <w:b/>
          <w:sz w:val="24"/>
        </w:rPr>
        <w:t>3. 服务期限</w:t>
      </w:r>
    </w:p>
    <w:p w14:paraId="60D6A8A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本项目服务期限为1年，自合同签订之日起计算。服务期内，服务商服务质量持续不达标，采购人有权提前终止合同。</w:t>
      </w:r>
    </w:p>
    <w:p w14:paraId="1D14561C">
      <w:pPr>
        <w:snapToGrid w:val="0"/>
        <w:spacing w:line="360" w:lineRule="auto"/>
        <w:jc w:val="left"/>
        <w:rPr>
          <w:rFonts w:ascii="仿宋" w:hAnsi="仿宋" w:eastAsia="仿宋" w:cs="仿宋"/>
          <w:sz w:val="24"/>
        </w:rPr>
      </w:pPr>
      <w:r>
        <w:rPr>
          <w:rFonts w:hint="eastAsia" w:ascii="仿宋" w:hAnsi="仿宋" w:eastAsia="仿宋" w:cs="仿宋"/>
          <w:b/>
          <w:sz w:val="24"/>
        </w:rPr>
        <w:t>4. 项目考核与验收</w:t>
      </w:r>
    </w:p>
    <w:p w14:paraId="2AC1FA0C">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1</w:t>
      </w:r>
    </w:p>
    <w:p w14:paraId="758E5FBC">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2</w:t>
      </w:r>
    </w:p>
    <w:p w14:paraId="0E8AEE27">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3</w:t>
      </w:r>
    </w:p>
    <w:p w14:paraId="1B769C68">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4</w:t>
      </w:r>
    </w:p>
    <w:p w14:paraId="0974EAD4">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4.1本项目采用月度动态考核+年度总验收的方式，由采购人信息科牵头，联合医务科、手术麻醉科、财务科等相关部门，或邀请外部专家开展考核评价与验收工作，成交供应商须无条件配合，并提供全部所需的运维记录、报告等资料。</w:t>
      </w:r>
    </w:p>
    <w:p w14:paraId="6D585183">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4.2考核标准：严格按照本文件附件《信息系统售后运维服务质量评价标准》执行，评分满分100分。90分（含）-100分为优秀，70分（含）-89分为合格，70分以下为不合格。</w:t>
      </w:r>
    </w:p>
    <w:p w14:paraId="40489BE2">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4.3验收依据：本采购文件、成交供应商响应文件、合同文本、国家及行业现行相关标准规范、月度考核记录、运维服务报告、服务满意度调查结果、项目考核汇总表等。</w:t>
      </w:r>
    </w:p>
    <w:p w14:paraId="332E77D4">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4.4年度验收合格的前提：服务期内无重大数据安全事件、无重大服务质量投诉、无因服务商责任导致的医疗业务重大中断事故，年度考核评分≥70分。</w:t>
      </w:r>
    </w:p>
    <w:p w14:paraId="6D329D75">
      <w:pPr>
        <w:snapToGrid w:val="0"/>
        <w:spacing w:line="360" w:lineRule="auto"/>
        <w:jc w:val="left"/>
        <w:rPr>
          <w:rFonts w:ascii="仿宋" w:hAnsi="仿宋" w:eastAsia="仿宋" w:cs="仿宋"/>
          <w:sz w:val="24"/>
        </w:rPr>
      </w:pPr>
      <w:r>
        <w:rPr>
          <w:rFonts w:hint="eastAsia" w:ascii="仿宋" w:hAnsi="仿宋" w:eastAsia="仿宋" w:cs="仿宋"/>
          <w:b/>
          <w:sz w:val="24"/>
        </w:rPr>
        <w:t>5. 结算与付款方式</w:t>
      </w:r>
    </w:p>
    <w:p w14:paraId="0AB8AFFB">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5</w:t>
      </w:r>
    </w:p>
    <w:p w14:paraId="0C91EDF0">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5.1结算主体为采购人，结算前，成交供应商须向采购人开具合法、等额、有效的发票，采购人收到发票后按以下约定付款，因供应商发票开具不合规导致的付款延误，由供应商自行承担全部责任。</w:t>
      </w:r>
    </w:p>
    <w:p w14:paraId="069EF119">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5.2付款方式：</w:t>
      </w:r>
    </w:p>
    <w:p w14:paraId="44DD019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5AF8C75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4A945401">
      <w:pPr>
        <w:tabs>
          <w:tab w:val="left" w:pos="567"/>
        </w:tabs>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081A2445">
      <w:pPr>
        <w:tabs>
          <w:tab w:val="left" w:pos="567"/>
        </w:tabs>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544FAA57">
      <w:pPr>
        <w:tabs>
          <w:tab w:val="left" w:pos="567"/>
        </w:tabs>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7A27B5AD">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5.3月度考核连续2个月低于70分，或年度内累计3个月低于70分的，直接认定为年度考核不合格。</w:t>
      </w:r>
    </w:p>
    <w:p w14:paraId="19BA42EC">
      <w:pPr>
        <w:snapToGrid w:val="0"/>
        <w:spacing w:line="360" w:lineRule="auto"/>
        <w:jc w:val="left"/>
        <w:rPr>
          <w:rFonts w:ascii="仿宋" w:hAnsi="仿宋" w:eastAsia="仿宋" w:cs="仿宋"/>
          <w:sz w:val="24"/>
        </w:rPr>
      </w:pPr>
      <w:r>
        <w:rPr>
          <w:rFonts w:hint="eastAsia" w:ascii="仿宋" w:hAnsi="仿宋" w:eastAsia="仿宋" w:cs="仿宋"/>
          <w:b/>
          <w:sz w:val="24"/>
        </w:rPr>
        <w:t>6. 知识产权条款</w:t>
      </w:r>
    </w:p>
    <w:p w14:paraId="65406AF4">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6</w:t>
      </w:r>
    </w:p>
    <w:p w14:paraId="49ADEB3C">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6.1供应商须保证，其提供的运维服务、软件更新、升级服务及相关技术成果，不会出现任何第三方提出侵犯其专利权、商标权、著作权或其他知识产权的主张或诉讼，如发生前述情形，由供应商承担全部法律责任，并赔偿采购人因此遭受的全部经济损失。</w:t>
      </w:r>
    </w:p>
    <w:p w14:paraId="7851AD3F">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6.2本项目涉及系统的软件著作权、知识产权归原权利人所有，供应商仅可基于本项目运维服务目的，在采购人授权范围内使用相关软件及技术资料，不得擅自复制、分发、转让、反编译、反向工程，不得用于任何其他用途。</w:t>
      </w:r>
    </w:p>
    <w:p w14:paraId="614E5834">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6.3服务期内，采购人基于系统使用产生的全部医疗数据、业务数据、患者个人信息等所有数据的所有权、使用权均归采购人所有，供应商不得主张任何权利，不得擅自使用。</w:t>
      </w:r>
    </w:p>
    <w:p w14:paraId="4ADECE6B">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6.4供应商为采购人提供的定制化功能开发、政策适配升级、技术方案等成果，知识产权归采购人所有，供应商仅可保留非商业用途的技术使用权。</w:t>
      </w:r>
    </w:p>
    <w:p w14:paraId="710EA3E6">
      <w:pPr>
        <w:snapToGrid w:val="0"/>
        <w:spacing w:line="360" w:lineRule="auto"/>
        <w:jc w:val="left"/>
        <w:rPr>
          <w:rFonts w:ascii="仿宋" w:hAnsi="仿宋" w:eastAsia="仿宋" w:cs="仿宋"/>
          <w:sz w:val="24"/>
        </w:rPr>
      </w:pPr>
      <w:r>
        <w:rPr>
          <w:rFonts w:hint="eastAsia" w:ascii="仿宋" w:hAnsi="仿宋" w:eastAsia="仿宋" w:cs="仿宋"/>
          <w:b/>
          <w:sz w:val="24"/>
        </w:rPr>
        <w:t>7. 违约责任</w:t>
      </w:r>
    </w:p>
    <w:p w14:paraId="2FE357AD">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7</w:t>
      </w:r>
    </w:p>
    <w:p w14:paraId="033EE275">
      <w:pPr>
        <w:numPr>
          <w:ilvl w:val="1"/>
          <w:numId w:val="0"/>
        </w:numPr>
        <w:snapToGrid w:val="0"/>
        <w:spacing w:line="360" w:lineRule="auto"/>
        <w:ind w:left="987" w:hanging="567"/>
        <w:jc w:val="left"/>
        <w:rPr>
          <w:rFonts w:ascii="仿宋" w:hAnsi="仿宋" w:eastAsia="仿宋" w:cs="仿宋"/>
          <w:sz w:val="24"/>
        </w:rPr>
      </w:pPr>
      <w:r>
        <w:rPr>
          <w:rFonts w:hint="eastAsia" w:ascii="仿宋" w:hAnsi="仿宋" w:eastAsia="仿宋" w:cs="仿宋"/>
          <w:sz w:val="24"/>
        </w:rPr>
        <w:t>7.1本合同违约责任严格按照《中华人民共和国民法典》相关条款执行。</w:t>
      </w:r>
    </w:p>
    <w:p w14:paraId="2B21D162">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7.2供应商未按合同约定提供服务，或服务质量、响应时效、技术能力不满足合同要求，采购人有权按《服务质量评价标准》扣除对应款项，并要求供应商限期整改；整改后仍无法满足合同要求的，采购人有权扣除对应合同款项，直至单方面解除合同，供应商须承担采购人因此遭受的全部损失。</w:t>
      </w:r>
    </w:p>
    <w:p w14:paraId="139EB8F2">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7.3供应商未按故障SLA要求完成响应与故障处置的，每出现一次一级故障超时，扣除合同总价款的5%；每出现一次二级故障超时，扣除合同总价款的2%；三级、四级故障超时，按评价标准扣除对应分值，并累计扣除合同款项。因供应商故障处置不及时导致医院业务中断、产生医疗纠纷或监管处罚的，全部责任与经济损失由供应商承担。</w:t>
      </w:r>
    </w:p>
    <w:p w14:paraId="7EB0BC46">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7.4供应商违反数据安全与保密约定，发生数据泄露、篡改、丢失等事件，或擅自使用、转让采购人数据的，采购人有权立即解除合同，不予支付剩余全部合同款项，供应商须支付合同总价款30%的违约金，同时承担全部法律责任，赔偿采购人因此遭受的全部经济损失（含监管处罚、民事赔偿、商誉损失等）。</w:t>
      </w:r>
    </w:p>
    <w:p w14:paraId="70D5677F">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7.5供应商未经采购人同意，擅自更换项目核心人员、转包/分包本项目服务的，采购人有权扣除合同总价款的10%作为违约金，情节严重的，有权解除合同。</w:t>
      </w:r>
    </w:p>
    <w:p w14:paraId="710936A3">
      <w:pPr>
        <w:snapToGrid w:val="0"/>
        <w:spacing w:line="360" w:lineRule="auto"/>
        <w:jc w:val="left"/>
        <w:rPr>
          <w:rFonts w:ascii="仿宋" w:hAnsi="仿宋" w:eastAsia="仿宋" w:cs="仿宋"/>
          <w:sz w:val="24"/>
        </w:rPr>
      </w:pPr>
      <w:r>
        <w:rPr>
          <w:rFonts w:hint="eastAsia" w:ascii="仿宋" w:hAnsi="仿宋" w:eastAsia="仿宋" w:cs="仿宋"/>
          <w:b/>
          <w:sz w:val="24"/>
        </w:rPr>
        <w:t>8. 其他约定</w:t>
      </w:r>
    </w:p>
    <w:p w14:paraId="53DCA6CF">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8</w:t>
      </w:r>
    </w:p>
    <w:p w14:paraId="2C73A67E">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8.1本项目技术要求与商务要求为合同核心条款，不允许任何负偏离，供应商响应文件须对所有条款作出完全响应承诺，负偏离响应将按无效响应处理。</w:t>
      </w:r>
    </w:p>
    <w:p w14:paraId="7808053F">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8.2服务期内，如遇国家政策法规、行业标准发生重大调整，采购人有权对服务内容与要求进行合规性调整，供应商须无条件配合，不得额外收取费用。</w:t>
      </w:r>
    </w:p>
    <w:p w14:paraId="73DF8781">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8.3本文件未尽事宜，由双方在合同中另行约定，约定内容不得违反本文件的核心要求与国家相关法律法规。</w:t>
      </w:r>
    </w:p>
    <w:p w14:paraId="7B0E042A">
      <w:pPr>
        <w:rPr>
          <w:rFonts w:ascii="仿宋" w:hAnsi="仿宋" w:eastAsia="仿宋" w:cs="仿宋"/>
          <w:b/>
          <w:bCs/>
          <w:sz w:val="24"/>
        </w:rPr>
      </w:pPr>
    </w:p>
    <w:p w14:paraId="0EA3E3C5">
      <w:pPr>
        <w:rPr>
          <w:rFonts w:ascii="仿宋" w:hAnsi="仿宋" w:eastAsia="仿宋" w:cs="仿宋"/>
          <w:b/>
          <w:bCs/>
          <w:sz w:val="24"/>
        </w:rPr>
      </w:pPr>
    </w:p>
    <w:p w14:paraId="61997908">
      <w:pPr>
        <w:rPr>
          <w:rFonts w:ascii="仿宋" w:hAnsi="仿宋" w:eastAsia="仿宋" w:cs="仿宋"/>
          <w:b/>
          <w:bCs/>
          <w:sz w:val="24"/>
        </w:rPr>
        <w:sectPr>
          <w:headerReference r:id="rId14" w:type="default"/>
          <w:footerReference r:id="rId15" w:type="default"/>
          <w:pgSz w:w="11906" w:h="16838"/>
          <w:pgMar w:top="1440" w:right="1417" w:bottom="1440" w:left="1587" w:header="850" w:footer="992" w:gutter="0"/>
          <w:cols w:space="720" w:num="1"/>
          <w:docGrid w:type="lines" w:linePitch="317" w:charSpace="0"/>
        </w:sectPr>
      </w:pPr>
    </w:p>
    <w:p w14:paraId="5C31EE26">
      <w:pPr>
        <w:pStyle w:val="3"/>
        <w:spacing w:line="360" w:lineRule="auto"/>
        <w:jc w:val="both"/>
        <w:rPr>
          <w:rFonts w:ascii="仿宋" w:hAnsi="仿宋" w:eastAsia="仿宋" w:cs="仿宋"/>
          <w:b/>
          <w:bCs/>
          <w:sz w:val="24"/>
          <w:szCs w:val="24"/>
          <w:lang w:eastAsia="zh-CN"/>
        </w:rPr>
      </w:pPr>
      <w:r>
        <w:rPr>
          <w:rFonts w:hint="eastAsia" w:ascii="仿宋" w:hAnsi="仿宋" w:eastAsia="仿宋" w:cs="仿宋"/>
          <w:b/>
          <w:bCs/>
          <w:sz w:val="24"/>
          <w:szCs w:val="24"/>
          <w:lang w:eastAsia="zh-CN"/>
        </w:rPr>
        <w:t>合同包5-采购需求（电生理网络信息管理系统售后服务）</w:t>
      </w:r>
    </w:p>
    <w:p w14:paraId="56150547">
      <w:pPr>
        <w:snapToGrid w:val="0"/>
        <w:spacing w:line="360" w:lineRule="auto"/>
        <w:jc w:val="left"/>
        <w:rPr>
          <w:rFonts w:ascii="仿宋" w:hAnsi="仿宋" w:eastAsia="仿宋" w:cs="仿宋"/>
          <w:sz w:val="24"/>
        </w:rPr>
      </w:pPr>
      <w:r>
        <w:rPr>
          <w:rFonts w:hint="eastAsia" w:ascii="仿宋" w:hAnsi="仿宋" w:eastAsia="仿宋" w:cs="仿宋"/>
          <w:b/>
          <w:sz w:val="24"/>
        </w:rPr>
        <w:t>一、项目概述</w:t>
      </w:r>
    </w:p>
    <w:p w14:paraId="27C16CB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采购人自 2021 年 4 月验收并正式使用电生理信息管理系统，为保障采购人信息系统正常运行，维护正常的医疗秩序，确保采购人各信息系统数据共享，充分保障患者的医疗权益，现委托具备对应系统原厂维护授权、专业信息系统运维服务能力的供应商，为采购人提供上述系统的全流程售后运维与技术支持服务，进一步加强医院信息系统维护管理与技术支持，完善医院信息系统运维管理体系，提升系统安全保障与服务支撑能力。</w:t>
      </w:r>
    </w:p>
    <w:p w14:paraId="32F95C9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本项目服务商须为系统原软件厂商，或取得原厂商针对本项目出具的唯一专项授权文件，具备系统源代码级维护、原厂补丁更新、合规性升级的完整技术能力，确保服务的合法性、连续性与技术匹配性。</w:t>
      </w:r>
    </w:p>
    <w:p w14:paraId="697EB78C">
      <w:pPr>
        <w:snapToGrid w:val="0"/>
        <w:spacing w:line="360" w:lineRule="auto"/>
        <w:jc w:val="left"/>
        <w:rPr>
          <w:rFonts w:ascii="仿宋" w:hAnsi="仿宋" w:eastAsia="仿宋" w:cs="仿宋"/>
          <w:sz w:val="24"/>
        </w:rPr>
      </w:pPr>
      <w:r>
        <w:rPr>
          <w:rFonts w:hint="eastAsia" w:ascii="仿宋" w:hAnsi="仿宋" w:eastAsia="仿宋" w:cs="仿宋"/>
          <w:b/>
          <w:sz w:val="24"/>
        </w:rPr>
        <w:t>二、技术要求</w:t>
      </w:r>
    </w:p>
    <w:p w14:paraId="2C1EE851">
      <w:pPr>
        <w:snapToGrid w:val="0"/>
        <w:spacing w:line="360" w:lineRule="auto"/>
        <w:jc w:val="left"/>
        <w:rPr>
          <w:rFonts w:ascii="仿宋" w:hAnsi="仿宋" w:eastAsia="仿宋" w:cs="仿宋"/>
          <w:sz w:val="24"/>
        </w:rPr>
      </w:pPr>
      <w:r>
        <w:rPr>
          <w:rFonts w:hint="eastAsia" w:ascii="仿宋" w:hAnsi="仿宋" w:eastAsia="仿宋" w:cs="仿宋"/>
          <w:b/>
          <w:sz w:val="24"/>
        </w:rPr>
        <w:t>1. 名词解释</w:t>
      </w:r>
    </w:p>
    <w:p w14:paraId="4AE3E92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本文件所涉及名词定义严格遵循国家信息技术服务标准（ITSS）、医疗信息化行业规范及相关法律法规，具体如下：</w:t>
      </w:r>
    </w:p>
    <w:p w14:paraId="446EFDB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 维护：指服务供应商为采购人提供许可软件的全生命周期技术支撑，包括但不限于故障排查与修复、技术指导、运行优化、合规适配、安全加固等服务工作的总称。</w:t>
      </w:r>
    </w:p>
    <w:p w14:paraId="08768EFE">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1.2 现场：指采购人许可系统部署、使用的全部场所，含医院本部院区、各分院区、社区服务点等所有系统终端部署点位。</w:t>
      </w:r>
    </w:p>
    <w:p w14:paraId="47EF840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1.3 现场维护：指服务供应商针对采购人提出的技术服务请求，派遣具备对应资质的技术人员到采购人指定现场，完成问题处置、技术服务的全过程。</w:t>
      </w:r>
    </w:p>
    <w:p w14:paraId="52A0D6E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1.4 远程维护：指服务供应商针对采购人提出的技术服务请求，通过加密专线、安全远程接入方式，向采购人提供问题解答、技术指导、远程故障排查与修复的服务过程，远程操作须全程留痕、符合医院网络安全管理规定。</w:t>
      </w:r>
    </w:p>
    <w:p w14:paraId="54DD01B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1.5 软件更新：指为保障系统合规性、安全性、功能性，对许可软件进行的安全补丁更新、故障优化、版本迭代、政策适配性升级、功能完善的全过程，不限于仅故障场景。</w:t>
      </w:r>
    </w:p>
    <w:p w14:paraId="179F1B1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1.6 技术支持：指服务供应商为保障许可软件和系统持续稳定运行，在服务期内通过电话、互联网、现场服务等方式，向采购人提供的 7×24 小时技术援助、操作指导与问题处置服务。</w:t>
      </w:r>
    </w:p>
    <w:p w14:paraId="4E98A06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1.7 热线支持：指服务供应商客户服务中心通过专属服务热线，7×24 小时向采购人提供技术问题解答、服务请求受理、故障派单的服务过程。</w:t>
      </w:r>
    </w:p>
    <w:p w14:paraId="4691DF9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1.8 在线技术支持：指服务供应商客户服务中心通过安全在线支持系统，接收、解答采购人问题，发布相关技术解决方案、操作指引的服务过程。</w:t>
      </w:r>
    </w:p>
    <w:p w14:paraId="0E9CC97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1.9 响应时间：指服务供应商接到采购人正式服务请求后，到与采购人完成沟通、明确故障情况、出具服务承诺与初步处置方案的时间。</w:t>
      </w:r>
    </w:p>
    <w:p w14:paraId="4F375D0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1.10 解决时间：指服务供应商从接到服务请求起，到系统故障完全修复、业务恢复正常运行、问题闭环处置的时间。</w:t>
      </w:r>
    </w:p>
    <w:p w14:paraId="390B1E1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1.11 数据安全事件：指系统运行过程中发生的，可能或已经导致医疗数据、患者个人信息泄露、损毁、篡改、丢失，以及系统被非法入侵、攻击等影响数据安全的事件。</w:t>
      </w:r>
    </w:p>
    <w:p w14:paraId="6415A61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1.12 等保合规：指系统运行与运维服务须符合国家网络安全等级保护 2.0 标准对应级别的全部要求。</w:t>
      </w:r>
    </w:p>
    <w:p w14:paraId="270B730D">
      <w:pPr>
        <w:snapToGrid w:val="0"/>
        <w:spacing w:line="360" w:lineRule="auto"/>
        <w:jc w:val="left"/>
        <w:rPr>
          <w:rFonts w:ascii="仿宋" w:hAnsi="仿宋" w:eastAsia="仿宋" w:cs="仿宋"/>
          <w:sz w:val="24"/>
        </w:rPr>
      </w:pPr>
      <w:r>
        <w:rPr>
          <w:rFonts w:hint="eastAsia" w:ascii="仿宋" w:hAnsi="仿宋" w:eastAsia="仿宋" w:cs="仿宋"/>
          <w:b/>
          <w:sz w:val="24"/>
        </w:rPr>
        <w:t>2. 运维服务系统范围</w:t>
      </w:r>
    </w:p>
    <w:p w14:paraId="2CC2154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采购人委托供应商提供售后运维服务的信息系统，包含但不限于下表所列全部模块、子系统及配套硬件设备，同时覆盖系统与院内 HIS、LIS、PACS、EMR、电子病历、体检系统等现有及未来新增信息系统的接口运维服务，确保系统互联互通。</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4571"/>
        <w:gridCol w:w="4571"/>
      </w:tblGrid>
      <w:tr w14:paraId="4B960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tcMar>
              <w:top w:w="60" w:type="dxa"/>
              <w:left w:w="120" w:type="dxa"/>
              <w:bottom w:w="30" w:type="dxa"/>
              <w:right w:w="120" w:type="dxa"/>
            </w:tcMar>
            <w:vAlign w:val="center"/>
          </w:tcPr>
          <w:p w14:paraId="79FB7F98">
            <w:pPr>
              <w:snapToGrid w:val="0"/>
              <w:spacing w:line="360" w:lineRule="auto"/>
              <w:jc w:val="center"/>
              <w:rPr>
                <w:rFonts w:ascii="仿宋" w:hAnsi="仿宋" w:eastAsia="仿宋" w:cs="仿宋"/>
                <w:b/>
                <w:sz w:val="24"/>
              </w:rPr>
            </w:pPr>
            <w:r>
              <w:rPr>
                <w:rFonts w:hint="eastAsia" w:ascii="仿宋" w:hAnsi="仿宋" w:eastAsia="仿宋" w:cs="仿宋"/>
                <w:b/>
                <w:sz w:val="24"/>
              </w:rPr>
              <w:t>信息系统名称</w:t>
            </w:r>
          </w:p>
        </w:tc>
        <w:tc>
          <w:tcPr>
            <w:tcW w:w="2500" w:type="pct"/>
            <w:tcMar>
              <w:top w:w="60" w:type="dxa"/>
              <w:left w:w="120" w:type="dxa"/>
              <w:bottom w:w="30" w:type="dxa"/>
              <w:right w:w="120" w:type="dxa"/>
            </w:tcMar>
            <w:vAlign w:val="center"/>
          </w:tcPr>
          <w:p w14:paraId="1E73F18F">
            <w:pPr>
              <w:snapToGrid w:val="0"/>
              <w:spacing w:line="360" w:lineRule="auto"/>
              <w:jc w:val="center"/>
              <w:rPr>
                <w:rFonts w:ascii="仿宋" w:hAnsi="仿宋" w:eastAsia="仿宋" w:cs="仿宋"/>
                <w:b/>
                <w:sz w:val="24"/>
              </w:rPr>
            </w:pPr>
            <w:r>
              <w:rPr>
                <w:rFonts w:hint="eastAsia" w:ascii="仿宋" w:hAnsi="仿宋" w:eastAsia="仿宋" w:cs="仿宋"/>
                <w:b/>
                <w:sz w:val="24"/>
              </w:rPr>
              <w:t>子系统名称</w:t>
            </w:r>
          </w:p>
        </w:tc>
      </w:tr>
      <w:tr w14:paraId="067E0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restart"/>
            <w:tcMar>
              <w:top w:w="60" w:type="dxa"/>
              <w:left w:w="120" w:type="dxa"/>
              <w:bottom w:w="30" w:type="dxa"/>
              <w:right w:w="120" w:type="dxa"/>
            </w:tcMar>
            <w:vAlign w:val="center"/>
          </w:tcPr>
          <w:p w14:paraId="68CEE229">
            <w:pPr>
              <w:snapToGrid w:val="0"/>
              <w:spacing w:line="360" w:lineRule="auto"/>
              <w:jc w:val="center"/>
              <w:rPr>
                <w:rFonts w:ascii="仿宋" w:hAnsi="仿宋" w:eastAsia="仿宋" w:cs="仿宋"/>
                <w:sz w:val="24"/>
              </w:rPr>
            </w:pPr>
            <w:r>
              <w:rPr>
                <w:rFonts w:hint="eastAsia" w:ascii="仿宋" w:hAnsi="仿宋" w:eastAsia="仿宋" w:cs="仿宋"/>
                <w:sz w:val="24"/>
              </w:rPr>
              <w:t>心电网络信息管理系统（MEMRS-ECG）</w:t>
            </w:r>
          </w:p>
        </w:tc>
        <w:tc>
          <w:tcPr>
            <w:tcW w:w="2500" w:type="pct"/>
            <w:tcMar>
              <w:top w:w="60" w:type="dxa"/>
              <w:left w:w="120" w:type="dxa"/>
              <w:bottom w:w="30" w:type="dxa"/>
              <w:right w:w="120" w:type="dxa"/>
            </w:tcMar>
          </w:tcPr>
          <w:p w14:paraId="25E67F57">
            <w:pPr>
              <w:snapToGrid w:val="0"/>
              <w:spacing w:line="360" w:lineRule="auto"/>
              <w:jc w:val="left"/>
              <w:rPr>
                <w:rFonts w:ascii="仿宋" w:hAnsi="仿宋" w:eastAsia="仿宋" w:cs="仿宋"/>
                <w:sz w:val="24"/>
              </w:rPr>
            </w:pPr>
            <w:r>
              <w:rPr>
                <w:rFonts w:hint="eastAsia" w:ascii="仿宋" w:hAnsi="仿宋" w:eastAsia="仿宋" w:cs="仿宋"/>
                <w:sz w:val="24"/>
              </w:rPr>
              <w:t>预约登记工作站</w:t>
            </w:r>
          </w:p>
        </w:tc>
      </w:tr>
      <w:tr w14:paraId="6914A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32F795AC">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0B6A187E">
            <w:pPr>
              <w:snapToGrid w:val="0"/>
              <w:spacing w:line="360" w:lineRule="auto"/>
              <w:jc w:val="left"/>
              <w:rPr>
                <w:rFonts w:ascii="仿宋" w:hAnsi="仿宋" w:eastAsia="仿宋" w:cs="仿宋"/>
                <w:sz w:val="24"/>
              </w:rPr>
            </w:pPr>
            <w:r>
              <w:rPr>
                <w:rFonts w:hint="eastAsia" w:ascii="仿宋" w:hAnsi="仿宋" w:eastAsia="仿宋" w:cs="仿宋"/>
                <w:sz w:val="24"/>
              </w:rPr>
              <w:t>排队显示、分诊叫号工作站</w:t>
            </w:r>
          </w:p>
        </w:tc>
      </w:tr>
      <w:tr w14:paraId="6A7F7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5FEFBD7E">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17E83B20">
            <w:pPr>
              <w:snapToGrid w:val="0"/>
              <w:spacing w:line="360" w:lineRule="auto"/>
              <w:jc w:val="left"/>
              <w:rPr>
                <w:rFonts w:ascii="仿宋" w:hAnsi="仿宋" w:eastAsia="仿宋" w:cs="仿宋"/>
                <w:sz w:val="24"/>
              </w:rPr>
            </w:pPr>
            <w:r>
              <w:rPr>
                <w:rFonts w:hint="eastAsia" w:ascii="仿宋" w:hAnsi="仿宋" w:eastAsia="仿宋" w:cs="仿宋"/>
                <w:sz w:val="24"/>
              </w:rPr>
              <w:t>三合一报告工作站</w:t>
            </w:r>
          </w:p>
        </w:tc>
      </w:tr>
      <w:tr w14:paraId="5A8EB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57263EB4">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5FBF3E8D">
            <w:pPr>
              <w:snapToGrid w:val="0"/>
              <w:spacing w:line="360" w:lineRule="auto"/>
              <w:jc w:val="left"/>
              <w:rPr>
                <w:rFonts w:ascii="仿宋" w:hAnsi="仿宋" w:eastAsia="仿宋" w:cs="仿宋"/>
                <w:sz w:val="24"/>
              </w:rPr>
            </w:pPr>
            <w:r>
              <w:rPr>
                <w:rFonts w:hint="eastAsia" w:ascii="仿宋" w:hAnsi="仿宋" w:eastAsia="仿宋" w:cs="仿宋"/>
                <w:sz w:val="24"/>
              </w:rPr>
              <w:t>心电图机接收端工作站</w:t>
            </w:r>
          </w:p>
        </w:tc>
      </w:tr>
      <w:tr w14:paraId="5E502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1BC8B3CC">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4DEB5340">
            <w:pPr>
              <w:snapToGrid w:val="0"/>
              <w:spacing w:line="360" w:lineRule="auto"/>
              <w:jc w:val="left"/>
              <w:rPr>
                <w:rFonts w:ascii="仿宋" w:hAnsi="仿宋" w:eastAsia="仿宋" w:cs="仿宋"/>
                <w:sz w:val="24"/>
              </w:rPr>
            </w:pPr>
            <w:r>
              <w:rPr>
                <w:rFonts w:hint="eastAsia" w:ascii="仿宋" w:hAnsi="仿宋" w:eastAsia="仿宋" w:cs="仿宋"/>
                <w:sz w:val="24"/>
              </w:rPr>
              <w:t>移动心电图机</w:t>
            </w:r>
          </w:p>
        </w:tc>
      </w:tr>
      <w:tr w14:paraId="15DFA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restart"/>
            <w:tcMar>
              <w:top w:w="60" w:type="dxa"/>
              <w:left w:w="120" w:type="dxa"/>
              <w:bottom w:w="30" w:type="dxa"/>
              <w:right w:w="120" w:type="dxa"/>
            </w:tcMar>
            <w:vAlign w:val="center"/>
          </w:tcPr>
          <w:p w14:paraId="3E827B44">
            <w:pPr>
              <w:snapToGrid w:val="0"/>
              <w:spacing w:line="360" w:lineRule="auto"/>
              <w:jc w:val="center"/>
              <w:rPr>
                <w:rFonts w:ascii="仿宋" w:hAnsi="仿宋" w:eastAsia="仿宋" w:cs="仿宋"/>
                <w:sz w:val="24"/>
              </w:rPr>
            </w:pPr>
            <w:r>
              <w:rPr>
                <w:rFonts w:hint="eastAsia" w:ascii="仿宋" w:hAnsi="仿宋" w:eastAsia="仿宋" w:cs="仿宋"/>
                <w:sz w:val="24"/>
              </w:rPr>
              <w:t>外部接口系统</w:t>
            </w:r>
          </w:p>
        </w:tc>
        <w:tc>
          <w:tcPr>
            <w:tcW w:w="2500" w:type="pct"/>
            <w:tcMar>
              <w:top w:w="60" w:type="dxa"/>
              <w:left w:w="120" w:type="dxa"/>
              <w:bottom w:w="30" w:type="dxa"/>
              <w:right w:w="120" w:type="dxa"/>
            </w:tcMar>
          </w:tcPr>
          <w:p w14:paraId="0640F473">
            <w:pPr>
              <w:snapToGrid w:val="0"/>
              <w:spacing w:line="360" w:lineRule="auto"/>
              <w:jc w:val="left"/>
              <w:rPr>
                <w:rFonts w:ascii="仿宋" w:hAnsi="仿宋" w:eastAsia="仿宋" w:cs="仿宋"/>
                <w:sz w:val="24"/>
              </w:rPr>
            </w:pPr>
            <w:r>
              <w:rPr>
                <w:rFonts w:hint="eastAsia" w:ascii="仿宋" w:hAnsi="仿宋" w:eastAsia="仿宋" w:cs="仿宋"/>
                <w:sz w:val="24"/>
              </w:rPr>
              <w:t>HIS 接口</w:t>
            </w:r>
          </w:p>
        </w:tc>
      </w:tr>
      <w:tr w14:paraId="10EAD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64C480FD">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18F9131E">
            <w:pPr>
              <w:snapToGrid w:val="0"/>
              <w:spacing w:line="360" w:lineRule="auto"/>
              <w:jc w:val="left"/>
              <w:rPr>
                <w:rFonts w:ascii="仿宋" w:hAnsi="仿宋" w:eastAsia="仿宋" w:cs="仿宋"/>
                <w:sz w:val="24"/>
              </w:rPr>
            </w:pPr>
            <w:r>
              <w:rPr>
                <w:rFonts w:hint="eastAsia" w:ascii="仿宋" w:hAnsi="仿宋" w:eastAsia="仿宋" w:cs="仿宋"/>
                <w:sz w:val="24"/>
              </w:rPr>
              <w:t>健康体检系统接口</w:t>
            </w:r>
          </w:p>
        </w:tc>
      </w:tr>
      <w:tr w14:paraId="3C264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6B50BFFA">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43532553">
            <w:pPr>
              <w:snapToGrid w:val="0"/>
              <w:spacing w:line="360" w:lineRule="auto"/>
              <w:jc w:val="left"/>
              <w:rPr>
                <w:rFonts w:ascii="仿宋" w:hAnsi="仿宋" w:eastAsia="仿宋" w:cs="仿宋"/>
                <w:sz w:val="24"/>
              </w:rPr>
            </w:pPr>
            <w:r>
              <w:rPr>
                <w:rFonts w:hint="eastAsia" w:ascii="仿宋" w:hAnsi="仿宋" w:eastAsia="仿宋" w:cs="仿宋"/>
                <w:sz w:val="24"/>
              </w:rPr>
              <w:t>PACS 接口</w:t>
            </w:r>
          </w:p>
        </w:tc>
      </w:tr>
      <w:tr w14:paraId="1A144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18F0BD45">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3FDA2B0A">
            <w:pPr>
              <w:snapToGrid w:val="0"/>
              <w:spacing w:line="360" w:lineRule="auto"/>
              <w:jc w:val="left"/>
              <w:rPr>
                <w:rFonts w:ascii="仿宋" w:hAnsi="仿宋" w:eastAsia="仿宋" w:cs="仿宋"/>
                <w:sz w:val="24"/>
              </w:rPr>
            </w:pPr>
            <w:r>
              <w:rPr>
                <w:rFonts w:hint="eastAsia" w:ascii="仿宋" w:hAnsi="仿宋" w:eastAsia="仿宋" w:cs="仿宋"/>
                <w:sz w:val="24"/>
              </w:rPr>
              <w:t>电子病历 / CDR 接口</w:t>
            </w:r>
          </w:p>
        </w:tc>
      </w:tr>
      <w:tr w14:paraId="7C49C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01BA2ABC">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5BAFD209">
            <w:pPr>
              <w:snapToGrid w:val="0"/>
              <w:spacing w:line="360" w:lineRule="auto"/>
              <w:jc w:val="left"/>
              <w:rPr>
                <w:rFonts w:ascii="仿宋" w:hAnsi="仿宋" w:eastAsia="仿宋" w:cs="仿宋"/>
                <w:sz w:val="24"/>
              </w:rPr>
            </w:pPr>
            <w:r>
              <w:rPr>
                <w:rFonts w:hint="eastAsia" w:ascii="仿宋" w:hAnsi="仿宋" w:eastAsia="仿宋" w:cs="仿宋"/>
                <w:sz w:val="24"/>
              </w:rPr>
              <w:t>电生理系统接口</w:t>
            </w:r>
          </w:p>
        </w:tc>
      </w:tr>
      <w:tr w14:paraId="63A67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3A83E9E9">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5DD26C0A">
            <w:pPr>
              <w:snapToGrid w:val="0"/>
              <w:spacing w:line="360" w:lineRule="auto"/>
              <w:jc w:val="left"/>
              <w:rPr>
                <w:rFonts w:ascii="仿宋" w:hAnsi="仿宋" w:eastAsia="仿宋" w:cs="仿宋"/>
                <w:sz w:val="24"/>
              </w:rPr>
            </w:pPr>
            <w:r>
              <w:rPr>
                <w:rFonts w:hint="eastAsia" w:ascii="仿宋" w:hAnsi="仿宋" w:eastAsia="仿宋" w:cs="仿宋"/>
                <w:sz w:val="24"/>
              </w:rPr>
              <w:t>全院 Web 浏览系统</w:t>
            </w:r>
          </w:p>
        </w:tc>
      </w:tr>
      <w:tr w14:paraId="772B1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restart"/>
            <w:tcMar>
              <w:top w:w="60" w:type="dxa"/>
              <w:left w:w="120" w:type="dxa"/>
              <w:bottom w:w="30" w:type="dxa"/>
              <w:right w:w="120" w:type="dxa"/>
            </w:tcMar>
            <w:vAlign w:val="center"/>
          </w:tcPr>
          <w:p w14:paraId="2199DBD3">
            <w:pPr>
              <w:snapToGrid w:val="0"/>
              <w:spacing w:line="360" w:lineRule="auto"/>
              <w:jc w:val="center"/>
              <w:rPr>
                <w:rFonts w:ascii="仿宋" w:hAnsi="仿宋" w:eastAsia="仿宋" w:cs="仿宋"/>
                <w:sz w:val="24"/>
              </w:rPr>
            </w:pPr>
            <w:r>
              <w:rPr>
                <w:rFonts w:hint="eastAsia" w:ascii="仿宋" w:hAnsi="仿宋" w:eastAsia="仿宋" w:cs="仿宋"/>
                <w:sz w:val="24"/>
              </w:rPr>
              <w:t>其他</w:t>
            </w:r>
          </w:p>
        </w:tc>
        <w:tc>
          <w:tcPr>
            <w:tcW w:w="2500" w:type="pct"/>
            <w:tcMar>
              <w:top w:w="60" w:type="dxa"/>
              <w:left w:w="120" w:type="dxa"/>
              <w:bottom w:w="30" w:type="dxa"/>
              <w:right w:w="120" w:type="dxa"/>
            </w:tcMar>
          </w:tcPr>
          <w:p w14:paraId="7CA6E142">
            <w:pPr>
              <w:snapToGrid w:val="0"/>
              <w:spacing w:line="360" w:lineRule="auto"/>
              <w:jc w:val="left"/>
              <w:rPr>
                <w:rFonts w:ascii="仿宋" w:hAnsi="仿宋" w:eastAsia="仿宋" w:cs="仿宋"/>
                <w:sz w:val="24"/>
              </w:rPr>
            </w:pPr>
            <w:r>
              <w:rPr>
                <w:rFonts w:hint="eastAsia" w:ascii="仿宋" w:hAnsi="仿宋" w:eastAsia="仿宋" w:cs="仿宋"/>
                <w:sz w:val="24"/>
              </w:rPr>
              <w:t>收藏管理系统</w:t>
            </w:r>
          </w:p>
        </w:tc>
      </w:tr>
      <w:tr w14:paraId="6B5DC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 w:hRule="atLeast"/>
        </w:trPr>
        <w:tc>
          <w:tcPr>
            <w:tcW w:w="2500" w:type="pct"/>
            <w:vMerge w:val="continue"/>
            <w:tcMar>
              <w:top w:w="60" w:type="dxa"/>
              <w:left w:w="120" w:type="dxa"/>
              <w:bottom w:w="30" w:type="dxa"/>
              <w:right w:w="120" w:type="dxa"/>
            </w:tcMar>
            <w:vAlign w:val="center"/>
          </w:tcPr>
          <w:p w14:paraId="2F3AFB9C">
            <w:pPr>
              <w:snapToGrid w:val="0"/>
              <w:spacing w:line="360" w:lineRule="auto"/>
              <w:jc w:val="center"/>
              <w:rPr>
                <w:rFonts w:ascii="仿宋" w:hAnsi="仿宋" w:eastAsia="仿宋" w:cs="仿宋"/>
                <w:sz w:val="24"/>
              </w:rPr>
            </w:pPr>
          </w:p>
        </w:tc>
        <w:tc>
          <w:tcPr>
            <w:tcW w:w="2500" w:type="pct"/>
            <w:tcMar>
              <w:top w:w="60" w:type="dxa"/>
              <w:left w:w="120" w:type="dxa"/>
              <w:bottom w:w="30" w:type="dxa"/>
              <w:right w:w="120" w:type="dxa"/>
            </w:tcMar>
          </w:tcPr>
          <w:p w14:paraId="7D85D313">
            <w:pPr>
              <w:snapToGrid w:val="0"/>
              <w:spacing w:line="360" w:lineRule="auto"/>
              <w:jc w:val="left"/>
              <w:rPr>
                <w:rFonts w:ascii="仿宋" w:hAnsi="仿宋" w:eastAsia="仿宋" w:cs="仿宋"/>
                <w:sz w:val="24"/>
              </w:rPr>
            </w:pPr>
            <w:r>
              <w:rPr>
                <w:rFonts w:hint="eastAsia" w:ascii="仿宋" w:hAnsi="仿宋" w:eastAsia="仿宋" w:cs="仿宋"/>
                <w:sz w:val="24"/>
              </w:rPr>
              <w:t>随访管理系统</w:t>
            </w:r>
          </w:p>
        </w:tc>
      </w:tr>
    </w:tbl>
    <w:p w14:paraId="5FB181A9">
      <w:pPr>
        <w:snapToGrid w:val="0"/>
        <w:spacing w:line="360" w:lineRule="auto"/>
        <w:jc w:val="left"/>
        <w:rPr>
          <w:rFonts w:ascii="仿宋" w:hAnsi="仿宋" w:eastAsia="仿宋" w:cs="仿宋"/>
          <w:sz w:val="24"/>
        </w:rPr>
      </w:pPr>
      <w:r>
        <w:rPr>
          <w:rFonts w:hint="eastAsia" w:ascii="仿宋" w:hAnsi="仿宋" w:eastAsia="仿宋" w:cs="仿宋"/>
          <w:b/>
          <w:sz w:val="24"/>
        </w:rPr>
        <w:t>3. 故障分级标准及服务级别协议（SLA）要求</w:t>
      </w:r>
    </w:p>
    <w:p w14:paraId="19914BE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结合医疗行业业务连续性要求、《医疗卫生机构网络安全管理办法》事件分级标准，制定四级故障分级与刚性 SLA 要求，服务商须提供 7×24 小时全时段服务，工作日、节假日、夜间执行统一响应与处置标准，具体如下：</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76"/>
        <w:gridCol w:w="1719"/>
        <w:gridCol w:w="3443"/>
        <w:gridCol w:w="3200"/>
      </w:tblGrid>
      <w:tr w14:paraId="2B5B0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6BF8F574">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940" w:type="pct"/>
            <w:tcMar>
              <w:top w:w="60" w:type="dxa"/>
              <w:left w:w="120" w:type="dxa"/>
              <w:bottom w:w="30" w:type="dxa"/>
              <w:right w:w="120" w:type="dxa"/>
            </w:tcMar>
            <w:vAlign w:val="center"/>
          </w:tcPr>
          <w:p w14:paraId="57519631">
            <w:pPr>
              <w:snapToGrid w:val="0"/>
              <w:spacing w:line="360" w:lineRule="auto"/>
              <w:jc w:val="center"/>
              <w:rPr>
                <w:rFonts w:ascii="仿宋" w:hAnsi="仿宋" w:eastAsia="仿宋" w:cs="仿宋"/>
                <w:b/>
                <w:sz w:val="24"/>
              </w:rPr>
            </w:pPr>
            <w:r>
              <w:rPr>
                <w:rFonts w:hint="eastAsia" w:ascii="仿宋" w:hAnsi="仿宋" w:eastAsia="仿宋" w:cs="仿宋"/>
                <w:b/>
                <w:sz w:val="24"/>
              </w:rPr>
              <w:t>故障等级</w:t>
            </w:r>
          </w:p>
        </w:tc>
        <w:tc>
          <w:tcPr>
            <w:tcW w:w="1883" w:type="pct"/>
            <w:tcMar>
              <w:top w:w="60" w:type="dxa"/>
              <w:left w:w="120" w:type="dxa"/>
              <w:bottom w:w="30" w:type="dxa"/>
              <w:right w:w="120" w:type="dxa"/>
            </w:tcMar>
            <w:vAlign w:val="center"/>
          </w:tcPr>
          <w:p w14:paraId="4761B8F3">
            <w:pPr>
              <w:snapToGrid w:val="0"/>
              <w:spacing w:line="360" w:lineRule="auto"/>
              <w:jc w:val="center"/>
              <w:rPr>
                <w:rFonts w:ascii="仿宋" w:hAnsi="仿宋" w:eastAsia="仿宋" w:cs="仿宋"/>
                <w:b/>
                <w:sz w:val="24"/>
              </w:rPr>
            </w:pPr>
            <w:r>
              <w:rPr>
                <w:rFonts w:hint="eastAsia" w:ascii="仿宋" w:hAnsi="仿宋" w:eastAsia="仿宋" w:cs="仿宋"/>
                <w:b/>
                <w:sz w:val="24"/>
              </w:rPr>
              <w:t>故障情况描述</w:t>
            </w:r>
          </w:p>
        </w:tc>
        <w:tc>
          <w:tcPr>
            <w:tcW w:w="1750" w:type="pct"/>
            <w:tcMar>
              <w:top w:w="60" w:type="dxa"/>
              <w:left w:w="120" w:type="dxa"/>
              <w:bottom w:w="30" w:type="dxa"/>
              <w:right w:w="120" w:type="dxa"/>
            </w:tcMar>
            <w:vAlign w:val="center"/>
          </w:tcPr>
          <w:p w14:paraId="0431FC4B">
            <w:pPr>
              <w:snapToGrid w:val="0"/>
              <w:spacing w:line="360" w:lineRule="auto"/>
              <w:jc w:val="center"/>
              <w:rPr>
                <w:rFonts w:ascii="仿宋" w:hAnsi="仿宋" w:eastAsia="仿宋" w:cs="仿宋"/>
                <w:b/>
                <w:sz w:val="24"/>
              </w:rPr>
            </w:pPr>
            <w:r>
              <w:rPr>
                <w:rFonts w:hint="eastAsia" w:ascii="仿宋" w:hAnsi="仿宋" w:eastAsia="仿宋" w:cs="仿宋"/>
                <w:b/>
                <w:sz w:val="24"/>
              </w:rPr>
              <w:t>刚性SLA要求</w:t>
            </w:r>
          </w:p>
        </w:tc>
      </w:tr>
      <w:tr w14:paraId="48B30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1433EC68">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940" w:type="pct"/>
            <w:tcMar>
              <w:top w:w="60" w:type="dxa"/>
              <w:left w:w="120" w:type="dxa"/>
              <w:bottom w:w="30" w:type="dxa"/>
              <w:right w:w="120" w:type="dxa"/>
            </w:tcMar>
            <w:vAlign w:val="center"/>
          </w:tcPr>
          <w:p w14:paraId="67A8C74A">
            <w:pPr>
              <w:snapToGrid w:val="0"/>
              <w:spacing w:line="360" w:lineRule="auto"/>
              <w:jc w:val="center"/>
              <w:rPr>
                <w:rFonts w:ascii="仿宋" w:hAnsi="仿宋" w:eastAsia="仿宋" w:cs="仿宋"/>
                <w:sz w:val="24"/>
              </w:rPr>
            </w:pPr>
            <w:r>
              <w:rPr>
                <w:rFonts w:hint="eastAsia" w:ascii="仿宋" w:hAnsi="仿宋" w:eastAsia="仿宋" w:cs="仿宋"/>
                <w:sz w:val="24"/>
              </w:rPr>
              <w:t>一级故障（重大）</w:t>
            </w:r>
          </w:p>
        </w:tc>
        <w:tc>
          <w:tcPr>
            <w:tcW w:w="1883" w:type="pct"/>
            <w:tcMar>
              <w:top w:w="60" w:type="dxa"/>
              <w:left w:w="120" w:type="dxa"/>
              <w:bottom w:w="30" w:type="dxa"/>
              <w:right w:w="120" w:type="dxa"/>
            </w:tcMar>
          </w:tcPr>
          <w:p w14:paraId="32375C99">
            <w:pPr>
              <w:snapToGrid w:val="0"/>
              <w:spacing w:line="360" w:lineRule="auto"/>
              <w:jc w:val="left"/>
              <w:rPr>
                <w:rFonts w:ascii="仿宋" w:hAnsi="仿宋" w:eastAsia="仿宋" w:cs="仿宋"/>
                <w:sz w:val="24"/>
              </w:rPr>
            </w:pPr>
            <w:r>
              <w:rPr>
                <w:rFonts w:hint="eastAsia" w:ascii="仿宋" w:hAnsi="仿宋" w:eastAsia="仿宋" w:cs="仿宋"/>
                <w:sz w:val="24"/>
              </w:rPr>
              <w:t>1. 系统核心服务瘫痪，导致业务中断，多部门终端无法办理业务，严重影响医院正常医疗秩序；</w:t>
            </w:r>
          </w:p>
          <w:p w14:paraId="7381A9BC">
            <w:pPr>
              <w:snapToGrid w:val="0"/>
              <w:spacing w:line="360" w:lineRule="auto"/>
              <w:jc w:val="left"/>
              <w:rPr>
                <w:rFonts w:ascii="仿宋" w:hAnsi="仿宋" w:eastAsia="仿宋" w:cs="仿宋"/>
                <w:sz w:val="24"/>
              </w:rPr>
            </w:pPr>
            <w:r>
              <w:rPr>
                <w:rFonts w:hint="eastAsia" w:ascii="仿宋" w:hAnsi="仿宋" w:eastAsia="仿宋" w:cs="仿宋"/>
                <w:sz w:val="24"/>
              </w:rPr>
              <w:t>2. 系统与HIS、EMR、PACS等核心系统接口完全中断，导致业务数据无法传输，严重影响医院正常医疗秩序</w:t>
            </w:r>
          </w:p>
          <w:p w14:paraId="570941C8">
            <w:pPr>
              <w:snapToGrid w:val="0"/>
              <w:spacing w:line="360" w:lineRule="auto"/>
              <w:jc w:val="left"/>
              <w:rPr>
                <w:rFonts w:ascii="仿宋" w:hAnsi="仿宋" w:eastAsia="仿宋" w:cs="仿宋"/>
                <w:sz w:val="24"/>
              </w:rPr>
            </w:pPr>
            <w:r>
              <w:rPr>
                <w:rFonts w:hint="eastAsia" w:ascii="仿宋" w:hAnsi="仿宋" w:eastAsia="仿宋" w:cs="仿宋"/>
                <w:sz w:val="24"/>
              </w:rPr>
              <w:t>3.  发生患者个人信息批量泄露、医疗数据被篡改/丢失等重大数据安全事件；</w:t>
            </w:r>
          </w:p>
          <w:p w14:paraId="23B26C93">
            <w:pPr>
              <w:snapToGrid w:val="0"/>
              <w:spacing w:line="360" w:lineRule="auto"/>
              <w:jc w:val="left"/>
              <w:rPr>
                <w:rFonts w:ascii="仿宋" w:hAnsi="仿宋" w:eastAsia="仿宋" w:cs="仿宋"/>
                <w:sz w:val="24"/>
              </w:rPr>
            </w:pPr>
            <w:r>
              <w:rPr>
                <w:rFonts w:hint="eastAsia" w:ascii="仿宋" w:hAnsi="仿宋" w:eastAsia="仿宋" w:cs="仿宋"/>
                <w:sz w:val="24"/>
              </w:rPr>
              <w:t>4. 系统被非法入侵、攻击，出现高危安全漏洞，威胁医院整体网络安全。</w:t>
            </w:r>
          </w:p>
        </w:tc>
        <w:tc>
          <w:tcPr>
            <w:tcW w:w="1750" w:type="pct"/>
            <w:tcMar>
              <w:top w:w="60" w:type="dxa"/>
              <w:left w:w="120" w:type="dxa"/>
              <w:bottom w:w="30" w:type="dxa"/>
              <w:right w:w="120" w:type="dxa"/>
            </w:tcMar>
          </w:tcPr>
          <w:p w14:paraId="655B8F82">
            <w:pPr>
              <w:snapToGrid w:val="0"/>
              <w:spacing w:line="360" w:lineRule="auto"/>
              <w:jc w:val="left"/>
              <w:rPr>
                <w:rFonts w:ascii="仿宋" w:hAnsi="仿宋" w:eastAsia="仿宋" w:cs="仿宋"/>
                <w:sz w:val="24"/>
              </w:rPr>
            </w:pPr>
            <w:r>
              <w:rPr>
                <w:rFonts w:hint="eastAsia" w:ascii="仿宋" w:hAnsi="仿宋" w:eastAsia="仿宋" w:cs="仿宋"/>
                <w:sz w:val="24"/>
              </w:rPr>
              <w:t>1. 10分钟内必须响应，与采购人明确故障情况，出具应急处置方案；</w:t>
            </w:r>
          </w:p>
          <w:p w14:paraId="66D9BCD6">
            <w:pPr>
              <w:snapToGrid w:val="0"/>
              <w:spacing w:line="360" w:lineRule="auto"/>
              <w:jc w:val="left"/>
              <w:rPr>
                <w:rFonts w:ascii="仿宋" w:hAnsi="仿宋" w:eastAsia="仿宋" w:cs="仿宋"/>
                <w:sz w:val="24"/>
              </w:rPr>
            </w:pPr>
            <w:r>
              <w:rPr>
                <w:rFonts w:hint="eastAsia" w:ascii="仿宋" w:hAnsi="仿宋" w:eastAsia="仿宋" w:cs="仿宋"/>
                <w:sz w:val="24"/>
              </w:rPr>
              <w:t>2. 4小时内派驻具备资质的技术人员到达现场；</w:t>
            </w:r>
          </w:p>
          <w:p w14:paraId="0DAFCDA0">
            <w:pPr>
              <w:snapToGrid w:val="0"/>
              <w:spacing w:line="360" w:lineRule="auto"/>
              <w:jc w:val="left"/>
              <w:rPr>
                <w:rFonts w:ascii="仿宋" w:hAnsi="仿宋" w:eastAsia="仿宋" w:cs="仿宋"/>
                <w:sz w:val="24"/>
              </w:rPr>
            </w:pPr>
            <w:r>
              <w:rPr>
                <w:rFonts w:hint="eastAsia" w:ascii="仿宋" w:hAnsi="仿宋" w:eastAsia="仿宋" w:cs="仿宋"/>
                <w:sz w:val="24"/>
              </w:rPr>
              <w:t>3. 6小时内完成故障修复，恢复系统核心业务正常运行；</w:t>
            </w:r>
          </w:p>
          <w:p w14:paraId="6B52AF5C">
            <w:pPr>
              <w:snapToGrid w:val="0"/>
              <w:spacing w:line="360" w:lineRule="auto"/>
              <w:jc w:val="left"/>
              <w:rPr>
                <w:rFonts w:ascii="仿宋" w:hAnsi="仿宋" w:eastAsia="仿宋" w:cs="仿宋"/>
                <w:sz w:val="24"/>
              </w:rPr>
            </w:pPr>
            <w:r>
              <w:rPr>
                <w:rFonts w:hint="eastAsia" w:ascii="仿宋" w:hAnsi="仿宋" w:eastAsia="仿宋" w:cs="仿宋"/>
                <w:sz w:val="24"/>
              </w:rPr>
              <w:t>4. 无法在时限内完全修复的，须提供临时应急方案保障业务连续性，直至系统完全恢复；</w:t>
            </w:r>
          </w:p>
          <w:p w14:paraId="400D762B">
            <w:pPr>
              <w:snapToGrid w:val="0"/>
              <w:spacing w:line="360" w:lineRule="auto"/>
              <w:jc w:val="left"/>
              <w:rPr>
                <w:rFonts w:ascii="仿宋" w:hAnsi="仿宋" w:eastAsia="仿宋" w:cs="仿宋"/>
                <w:sz w:val="24"/>
              </w:rPr>
            </w:pPr>
            <w:r>
              <w:rPr>
                <w:rFonts w:hint="eastAsia" w:ascii="仿宋" w:hAnsi="仿宋" w:eastAsia="仿宋" w:cs="仿宋"/>
                <w:sz w:val="24"/>
              </w:rPr>
              <w:t>5. 故障处置完成后24小时内提交正式故障分析与复盘报告。</w:t>
            </w:r>
          </w:p>
        </w:tc>
      </w:tr>
      <w:tr w14:paraId="6C1C9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032EBDF1">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940" w:type="pct"/>
            <w:tcMar>
              <w:top w:w="60" w:type="dxa"/>
              <w:left w:w="120" w:type="dxa"/>
              <w:bottom w:w="30" w:type="dxa"/>
              <w:right w:w="120" w:type="dxa"/>
            </w:tcMar>
            <w:vAlign w:val="center"/>
          </w:tcPr>
          <w:p w14:paraId="01C5F146">
            <w:pPr>
              <w:snapToGrid w:val="0"/>
              <w:spacing w:line="360" w:lineRule="auto"/>
              <w:jc w:val="center"/>
              <w:rPr>
                <w:rFonts w:ascii="仿宋" w:hAnsi="仿宋" w:eastAsia="仿宋" w:cs="仿宋"/>
                <w:sz w:val="24"/>
              </w:rPr>
            </w:pPr>
            <w:r>
              <w:rPr>
                <w:rFonts w:hint="eastAsia" w:ascii="仿宋" w:hAnsi="仿宋" w:eastAsia="仿宋" w:cs="仿宋"/>
                <w:sz w:val="24"/>
              </w:rPr>
              <w:t>二级故障（严重）</w:t>
            </w:r>
          </w:p>
        </w:tc>
        <w:tc>
          <w:tcPr>
            <w:tcW w:w="1883" w:type="pct"/>
            <w:tcMar>
              <w:top w:w="60" w:type="dxa"/>
              <w:left w:w="120" w:type="dxa"/>
              <w:bottom w:w="30" w:type="dxa"/>
              <w:right w:w="120" w:type="dxa"/>
            </w:tcMar>
          </w:tcPr>
          <w:p w14:paraId="0A5A066C">
            <w:pPr>
              <w:snapToGrid w:val="0"/>
              <w:spacing w:line="360" w:lineRule="auto"/>
              <w:jc w:val="left"/>
              <w:rPr>
                <w:rFonts w:ascii="仿宋" w:hAnsi="仿宋" w:eastAsia="仿宋" w:cs="仿宋"/>
                <w:sz w:val="24"/>
              </w:rPr>
            </w:pPr>
            <w:r>
              <w:rPr>
                <w:rFonts w:hint="eastAsia" w:ascii="仿宋" w:hAnsi="仿宋" w:eastAsia="仿宋" w:cs="仿宋"/>
                <w:sz w:val="24"/>
              </w:rPr>
              <w:t>1. 系统操作性能严重降级，核心功能响应延迟超500%，严重影响医生操作与患者业务办理；</w:t>
            </w:r>
          </w:p>
          <w:p w14:paraId="3310FB86">
            <w:pPr>
              <w:snapToGrid w:val="0"/>
              <w:spacing w:line="360" w:lineRule="auto"/>
              <w:jc w:val="left"/>
              <w:rPr>
                <w:rFonts w:ascii="仿宋" w:hAnsi="仿宋" w:eastAsia="仿宋" w:cs="仿宋"/>
                <w:sz w:val="24"/>
              </w:rPr>
            </w:pPr>
            <w:r>
              <w:rPr>
                <w:rFonts w:hint="eastAsia" w:ascii="仿宋" w:hAnsi="仿宋" w:eastAsia="仿宋" w:cs="仿宋"/>
                <w:sz w:val="24"/>
              </w:rPr>
              <w:t>2. 核心科室、门诊3个及以上科室系统无法正常使用，影响大面积患者就医；</w:t>
            </w:r>
          </w:p>
          <w:p w14:paraId="18F2AA8D">
            <w:pPr>
              <w:snapToGrid w:val="0"/>
              <w:spacing w:line="360" w:lineRule="auto"/>
              <w:jc w:val="left"/>
              <w:rPr>
                <w:rFonts w:ascii="仿宋" w:hAnsi="仿宋" w:eastAsia="仿宋" w:cs="仿宋"/>
                <w:sz w:val="24"/>
              </w:rPr>
            </w:pPr>
            <w:r>
              <w:rPr>
                <w:rFonts w:hint="eastAsia" w:ascii="仿宋" w:hAnsi="仿宋" w:eastAsia="仿宋" w:cs="仿宋"/>
                <w:sz w:val="24"/>
              </w:rPr>
              <w:t>3. 系统出现数据异常、统计错误，影响医疗业务正常开展，存在数据安全隐患。</w:t>
            </w:r>
          </w:p>
        </w:tc>
        <w:tc>
          <w:tcPr>
            <w:tcW w:w="1750" w:type="pct"/>
            <w:tcMar>
              <w:top w:w="60" w:type="dxa"/>
              <w:left w:w="120" w:type="dxa"/>
              <w:bottom w:w="30" w:type="dxa"/>
              <w:right w:w="120" w:type="dxa"/>
            </w:tcMar>
          </w:tcPr>
          <w:p w14:paraId="3631FECE">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30分钟内必须响应，出具初步处置方案；</w:t>
            </w:r>
          </w:p>
          <w:p w14:paraId="07112450">
            <w:pPr>
              <w:snapToGrid w:val="0"/>
              <w:spacing w:line="360" w:lineRule="auto"/>
              <w:jc w:val="left"/>
              <w:rPr>
                <w:rFonts w:ascii="仿宋" w:hAnsi="仿宋" w:eastAsia="仿宋" w:cs="仿宋"/>
                <w:sz w:val="24"/>
              </w:rPr>
            </w:pPr>
            <w:r>
              <w:rPr>
                <w:rFonts w:hint="eastAsia" w:ascii="仿宋" w:hAnsi="仿宋" w:eastAsia="仿宋" w:cs="仿宋"/>
                <w:sz w:val="24"/>
              </w:rPr>
              <w:t>2. 6小时内到达现场或通过安全远程方式完成故障处置；</w:t>
            </w:r>
          </w:p>
          <w:p w14:paraId="78D1E1AC">
            <w:pPr>
              <w:snapToGrid w:val="0"/>
              <w:spacing w:line="360" w:lineRule="auto"/>
              <w:jc w:val="left"/>
              <w:rPr>
                <w:rFonts w:ascii="仿宋" w:hAnsi="仿宋" w:eastAsia="仿宋" w:cs="仿宋"/>
                <w:sz w:val="24"/>
              </w:rPr>
            </w:pPr>
            <w:r>
              <w:rPr>
                <w:rFonts w:hint="eastAsia" w:ascii="仿宋" w:hAnsi="仿宋" w:eastAsia="仿宋" w:cs="仿宋"/>
                <w:sz w:val="24"/>
              </w:rPr>
              <w:t>3. 12小时内完成故障修复，系统恢复正常运行；</w:t>
            </w:r>
          </w:p>
          <w:p w14:paraId="08DA266C">
            <w:pPr>
              <w:snapToGrid w:val="0"/>
              <w:spacing w:line="360" w:lineRule="auto"/>
              <w:jc w:val="left"/>
              <w:rPr>
                <w:rFonts w:ascii="仿宋" w:hAnsi="仿宋" w:eastAsia="仿宋" w:cs="仿宋"/>
                <w:sz w:val="24"/>
              </w:rPr>
            </w:pPr>
            <w:r>
              <w:rPr>
                <w:rFonts w:hint="eastAsia" w:ascii="仿宋" w:hAnsi="仿宋" w:eastAsia="仿宋" w:cs="仿宋"/>
                <w:sz w:val="24"/>
              </w:rPr>
              <w:t>4. 故障处置完成后3个工作日内提交故障分析报告。</w:t>
            </w:r>
          </w:p>
        </w:tc>
      </w:tr>
      <w:tr w14:paraId="089E6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212" w:hRule="atLeast"/>
        </w:trPr>
        <w:tc>
          <w:tcPr>
            <w:tcW w:w="425" w:type="pct"/>
            <w:tcMar>
              <w:top w:w="60" w:type="dxa"/>
              <w:left w:w="120" w:type="dxa"/>
              <w:bottom w:w="30" w:type="dxa"/>
              <w:right w:w="120" w:type="dxa"/>
            </w:tcMar>
            <w:vAlign w:val="center"/>
          </w:tcPr>
          <w:p w14:paraId="0C1694F5">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940" w:type="pct"/>
            <w:tcMar>
              <w:top w:w="60" w:type="dxa"/>
              <w:left w:w="120" w:type="dxa"/>
              <w:bottom w:w="30" w:type="dxa"/>
              <w:right w:w="120" w:type="dxa"/>
            </w:tcMar>
            <w:vAlign w:val="center"/>
          </w:tcPr>
          <w:p w14:paraId="6ED7C18F">
            <w:pPr>
              <w:snapToGrid w:val="0"/>
              <w:spacing w:line="360" w:lineRule="auto"/>
              <w:jc w:val="center"/>
              <w:rPr>
                <w:rFonts w:ascii="仿宋" w:hAnsi="仿宋" w:eastAsia="仿宋" w:cs="仿宋"/>
                <w:sz w:val="24"/>
              </w:rPr>
            </w:pPr>
            <w:r>
              <w:rPr>
                <w:rFonts w:hint="eastAsia" w:ascii="仿宋" w:hAnsi="仿宋" w:eastAsia="仿宋" w:cs="仿宋"/>
                <w:sz w:val="24"/>
              </w:rPr>
              <w:t>三级故障（一般）</w:t>
            </w:r>
          </w:p>
        </w:tc>
        <w:tc>
          <w:tcPr>
            <w:tcW w:w="1883" w:type="pct"/>
            <w:tcMar>
              <w:top w:w="60" w:type="dxa"/>
              <w:left w:w="120" w:type="dxa"/>
              <w:bottom w:w="30" w:type="dxa"/>
              <w:right w:w="120" w:type="dxa"/>
            </w:tcMar>
          </w:tcPr>
          <w:p w14:paraId="23E23CB9">
            <w:pPr>
              <w:snapToGrid w:val="0"/>
              <w:spacing w:line="360" w:lineRule="auto"/>
              <w:jc w:val="left"/>
              <w:rPr>
                <w:rFonts w:ascii="仿宋" w:hAnsi="仿宋" w:eastAsia="仿宋" w:cs="仿宋"/>
                <w:sz w:val="24"/>
              </w:rPr>
            </w:pPr>
            <w:r>
              <w:rPr>
                <w:rFonts w:hint="eastAsia" w:ascii="仿宋" w:hAnsi="仿宋" w:eastAsia="仿宋" w:cs="仿宋"/>
                <w:sz w:val="24"/>
              </w:rPr>
              <w:t>1. 系统非核心功能受损，仅影响单个科室/少量终端使用，医院核心业务可正常开展；</w:t>
            </w:r>
          </w:p>
          <w:p w14:paraId="5EC1073B">
            <w:pPr>
              <w:snapToGrid w:val="0"/>
              <w:spacing w:line="360" w:lineRule="auto"/>
              <w:jc w:val="left"/>
              <w:rPr>
                <w:rFonts w:ascii="仿宋" w:hAnsi="仿宋" w:eastAsia="仿宋" w:cs="仿宋"/>
                <w:sz w:val="24"/>
              </w:rPr>
            </w:pPr>
            <w:r>
              <w:rPr>
                <w:rFonts w:hint="eastAsia" w:ascii="仿宋" w:hAnsi="仿宋" w:eastAsia="仿宋" w:cs="仿宋"/>
                <w:sz w:val="24"/>
              </w:rPr>
              <w:t>2. 系统出现局部数据异常、报表统计偏差，不影响核心业务办理；</w:t>
            </w:r>
          </w:p>
          <w:p w14:paraId="025C4B92">
            <w:pPr>
              <w:snapToGrid w:val="0"/>
              <w:spacing w:line="360" w:lineRule="auto"/>
              <w:jc w:val="left"/>
              <w:rPr>
                <w:rFonts w:ascii="仿宋" w:hAnsi="仿宋" w:eastAsia="仿宋" w:cs="仿宋"/>
                <w:sz w:val="24"/>
              </w:rPr>
            </w:pPr>
            <w:r>
              <w:rPr>
                <w:rFonts w:hint="eastAsia" w:ascii="仿宋" w:hAnsi="仿宋" w:eastAsia="仿宋" w:cs="仿宋"/>
                <w:sz w:val="24"/>
              </w:rPr>
              <w:t>3.配套设备故障，不影响整体业务流程。</w:t>
            </w:r>
          </w:p>
        </w:tc>
        <w:tc>
          <w:tcPr>
            <w:tcW w:w="1750" w:type="pct"/>
            <w:tcMar>
              <w:top w:w="60" w:type="dxa"/>
              <w:left w:w="120" w:type="dxa"/>
              <w:bottom w:w="30" w:type="dxa"/>
              <w:right w:w="120" w:type="dxa"/>
            </w:tcMar>
          </w:tcPr>
          <w:p w14:paraId="0251A97D">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30分钟内必须响应，出具处置方案；</w:t>
            </w:r>
          </w:p>
          <w:p w14:paraId="68D08D46">
            <w:pPr>
              <w:snapToGrid w:val="0"/>
              <w:spacing w:line="360" w:lineRule="auto"/>
              <w:jc w:val="left"/>
              <w:rPr>
                <w:rFonts w:ascii="仿宋" w:hAnsi="仿宋" w:eastAsia="仿宋" w:cs="仿宋"/>
                <w:sz w:val="24"/>
              </w:rPr>
            </w:pPr>
            <w:r>
              <w:rPr>
                <w:rFonts w:hint="eastAsia" w:ascii="仿宋" w:hAnsi="仿宋" w:eastAsia="仿宋" w:cs="仿宋"/>
                <w:sz w:val="24"/>
              </w:rPr>
              <w:t>2. 12小时内到达现场或通过远程方式完成故障处置；</w:t>
            </w:r>
          </w:p>
          <w:p w14:paraId="215B20AA">
            <w:pPr>
              <w:snapToGrid w:val="0"/>
              <w:spacing w:line="360" w:lineRule="auto"/>
              <w:jc w:val="left"/>
              <w:rPr>
                <w:rFonts w:ascii="仿宋" w:hAnsi="仿宋" w:eastAsia="仿宋" w:cs="仿宋"/>
                <w:sz w:val="24"/>
              </w:rPr>
            </w:pPr>
            <w:r>
              <w:rPr>
                <w:rFonts w:hint="eastAsia" w:ascii="仿宋" w:hAnsi="仿宋" w:eastAsia="仿宋" w:cs="仿宋"/>
                <w:sz w:val="24"/>
              </w:rPr>
              <w:t>3. 24小时内完成故障修复，闭环处置问题。</w:t>
            </w:r>
          </w:p>
        </w:tc>
      </w:tr>
      <w:tr w14:paraId="63DBF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77A38F8B">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940" w:type="pct"/>
            <w:tcMar>
              <w:top w:w="60" w:type="dxa"/>
              <w:left w:w="120" w:type="dxa"/>
              <w:bottom w:w="30" w:type="dxa"/>
              <w:right w:w="120" w:type="dxa"/>
            </w:tcMar>
            <w:vAlign w:val="center"/>
          </w:tcPr>
          <w:p w14:paraId="0DC07FE0">
            <w:pPr>
              <w:snapToGrid w:val="0"/>
              <w:spacing w:line="360" w:lineRule="auto"/>
              <w:jc w:val="center"/>
              <w:rPr>
                <w:rFonts w:ascii="仿宋" w:hAnsi="仿宋" w:eastAsia="仿宋" w:cs="仿宋"/>
                <w:sz w:val="24"/>
              </w:rPr>
            </w:pPr>
            <w:r>
              <w:rPr>
                <w:rFonts w:hint="eastAsia" w:ascii="仿宋" w:hAnsi="仿宋" w:eastAsia="仿宋" w:cs="仿宋"/>
                <w:sz w:val="24"/>
              </w:rPr>
              <w:t>四级故障（轻微）</w:t>
            </w:r>
          </w:p>
        </w:tc>
        <w:tc>
          <w:tcPr>
            <w:tcW w:w="1883" w:type="pct"/>
            <w:tcMar>
              <w:top w:w="60" w:type="dxa"/>
              <w:left w:w="120" w:type="dxa"/>
              <w:bottom w:w="30" w:type="dxa"/>
              <w:right w:w="120" w:type="dxa"/>
            </w:tcMar>
          </w:tcPr>
          <w:p w14:paraId="02E318F4">
            <w:pPr>
              <w:snapToGrid w:val="0"/>
              <w:spacing w:line="360" w:lineRule="auto"/>
              <w:jc w:val="left"/>
              <w:rPr>
                <w:rFonts w:ascii="仿宋" w:hAnsi="仿宋" w:eastAsia="仿宋" w:cs="仿宋"/>
                <w:sz w:val="24"/>
              </w:rPr>
            </w:pPr>
            <w:r>
              <w:rPr>
                <w:rFonts w:hint="eastAsia" w:ascii="仿宋" w:hAnsi="仿宋" w:eastAsia="仿宋" w:cs="仿宋"/>
                <w:sz w:val="24"/>
              </w:rPr>
              <w:t>1. 系统出现一般性操作问题、界面显示异常，对患者就医、系统运行几乎无影响；</w:t>
            </w:r>
          </w:p>
          <w:p w14:paraId="42EC894D">
            <w:pPr>
              <w:snapToGrid w:val="0"/>
              <w:spacing w:line="360" w:lineRule="auto"/>
              <w:jc w:val="left"/>
              <w:rPr>
                <w:rFonts w:ascii="仿宋" w:hAnsi="仿宋" w:eastAsia="仿宋" w:cs="仿宋"/>
                <w:sz w:val="24"/>
              </w:rPr>
            </w:pPr>
            <w:r>
              <w:rPr>
                <w:rFonts w:hint="eastAsia" w:ascii="仿宋" w:hAnsi="仿宋" w:eastAsia="仿宋" w:cs="仿宋"/>
                <w:sz w:val="24"/>
              </w:rPr>
              <w:t>2. 医护人员提出的系统操作咨询、功能配置调整等非故障类服务请求。</w:t>
            </w:r>
          </w:p>
        </w:tc>
        <w:tc>
          <w:tcPr>
            <w:tcW w:w="1750" w:type="pct"/>
            <w:tcMar>
              <w:top w:w="60" w:type="dxa"/>
              <w:left w:w="120" w:type="dxa"/>
              <w:bottom w:w="30" w:type="dxa"/>
              <w:right w:w="120" w:type="dxa"/>
            </w:tcMar>
          </w:tcPr>
          <w:p w14:paraId="55922372">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30分钟内必须响应，提供技术指导与解决方案；</w:t>
            </w:r>
          </w:p>
          <w:p w14:paraId="62631550">
            <w:pPr>
              <w:snapToGrid w:val="0"/>
              <w:spacing w:line="360" w:lineRule="auto"/>
              <w:jc w:val="left"/>
              <w:rPr>
                <w:rFonts w:ascii="仿宋" w:hAnsi="仿宋" w:eastAsia="仿宋" w:cs="仿宋"/>
                <w:sz w:val="24"/>
              </w:rPr>
            </w:pPr>
            <w:r>
              <w:rPr>
                <w:rFonts w:hint="eastAsia" w:ascii="仿宋" w:hAnsi="仿宋" w:eastAsia="仿宋" w:cs="仿宋"/>
                <w:sz w:val="24"/>
              </w:rPr>
              <w:t>2. 24小时内通过远程或现场方式完成处置；</w:t>
            </w:r>
          </w:p>
          <w:p w14:paraId="7E0B53A4">
            <w:pPr>
              <w:snapToGrid w:val="0"/>
              <w:spacing w:line="360" w:lineRule="auto"/>
              <w:jc w:val="left"/>
              <w:rPr>
                <w:rFonts w:ascii="仿宋" w:hAnsi="仿宋" w:eastAsia="仿宋" w:cs="仿宋"/>
                <w:sz w:val="24"/>
              </w:rPr>
            </w:pPr>
            <w:r>
              <w:rPr>
                <w:rFonts w:hint="eastAsia" w:ascii="仿宋" w:hAnsi="仿宋" w:eastAsia="仿宋" w:cs="仿宋"/>
                <w:sz w:val="24"/>
              </w:rPr>
              <w:t>3. 48小时内完成问题闭环。</w:t>
            </w:r>
          </w:p>
        </w:tc>
      </w:tr>
    </w:tbl>
    <w:p w14:paraId="02DB1471">
      <w:pPr>
        <w:snapToGrid w:val="0"/>
        <w:spacing w:line="360" w:lineRule="auto"/>
        <w:jc w:val="left"/>
        <w:rPr>
          <w:rFonts w:ascii="仿宋" w:hAnsi="仿宋" w:eastAsia="仿宋" w:cs="仿宋"/>
          <w:sz w:val="24"/>
        </w:rPr>
      </w:pPr>
      <w:r>
        <w:rPr>
          <w:rFonts w:hint="eastAsia" w:ascii="仿宋" w:hAnsi="仿宋" w:eastAsia="仿宋" w:cs="仿宋"/>
          <w:b/>
          <w:sz w:val="24"/>
        </w:rPr>
        <w:t>4. 售后运维服务核心要求</w:t>
      </w:r>
    </w:p>
    <w:p w14:paraId="72D8051E">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服务商须严格按照以下要求提供全流程售后运维服务，可依据自身技术能力提供增值服务，但不得低于以下标准要求，所有服务须留存完整、可追溯的工作记录，接受采购人全程监督。</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554"/>
        <w:gridCol w:w="1123"/>
        <w:gridCol w:w="4848"/>
        <w:gridCol w:w="1229"/>
        <w:gridCol w:w="1384"/>
      </w:tblGrid>
      <w:tr w14:paraId="07EEC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91" w:hRule="atLeast"/>
        </w:trPr>
        <w:tc>
          <w:tcPr>
            <w:tcW w:w="303" w:type="pct"/>
            <w:tcMar>
              <w:top w:w="60" w:type="dxa"/>
              <w:left w:w="120" w:type="dxa"/>
              <w:bottom w:w="30" w:type="dxa"/>
              <w:right w:w="120" w:type="dxa"/>
            </w:tcMar>
            <w:vAlign w:val="center"/>
          </w:tcPr>
          <w:p w14:paraId="545B529B">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614" w:type="pct"/>
            <w:tcMar>
              <w:top w:w="60" w:type="dxa"/>
              <w:left w:w="120" w:type="dxa"/>
              <w:bottom w:w="30" w:type="dxa"/>
              <w:right w:w="120" w:type="dxa"/>
            </w:tcMar>
            <w:vAlign w:val="center"/>
          </w:tcPr>
          <w:p w14:paraId="33A1920D">
            <w:pPr>
              <w:snapToGrid w:val="0"/>
              <w:spacing w:line="360" w:lineRule="auto"/>
              <w:jc w:val="center"/>
              <w:rPr>
                <w:rFonts w:ascii="仿宋" w:hAnsi="仿宋" w:eastAsia="仿宋" w:cs="仿宋"/>
                <w:b/>
                <w:sz w:val="24"/>
              </w:rPr>
            </w:pPr>
            <w:r>
              <w:rPr>
                <w:rFonts w:hint="eastAsia" w:ascii="仿宋" w:hAnsi="仿宋" w:eastAsia="仿宋" w:cs="仿宋"/>
                <w:b/>
                <w:sz w:val="24"/>
              </w:rPr>
              <w:t>服务项目</w:t>
            </w:r>
          </w:p>
        </w:tc>
        <w:tc>
          <w:tcPr>
            <w:tcW w:w="2651" w:type="pct"/>
            <w:tcMar>
              <w:top w:w="60" w:type="dxa"/>
              <w:left w:w="120" w:type="dxa"/>
              <w:bottom w:w="30" w:type="dxa"/>
              <w:right w:w="120" w:type="dxa"/>
            </w:tcMar>
            <w:vAlign w:val="center"/>
          </w:tcPr>
          <w:p w14:paraId="219901B1">
            <w:pPr>
              <w:snapToGrid w:val="0"/>
              <w:spacing w:line="360" w:lineRule="auto"/>
              <w:jc w:val="center"/>
              <w:rPr>
                <w:rFonts w:ascii="仿宋" w:hAnsi="仿宋" w:eastAsia="仿宋" w:cs="仿宋"/>
                <w:b/>
                <w:sz w:val="24"/>
              </w:rPr>
            </w:pPr>
            <w:r>
              <w:rPr>
                <w:rFonts w:hint="eastAsia" w:ascii="仿宋" w:hAnsi="仿宋" w:eastAsia="仿宋" w:cs="仿宋"/>
                <w:b/>
                <w:sz w:val="24"/>
              </w:rPr>
              <w:t>服务内涵</w:t>
            </w:r>
          </w:p>
        </w:tc>
        <w:tc>
          <w:tcPr>
            <w:tcW w:w="672" w:type="pct"/>
            <w:tcMar>
              <w:top w:w="60" w:type="dxa"/>
              <w:left w:w="120" w:type="dxa"/>
              <w:bottom w:w="30" w:type="dxa"/>
              <w:right w:w="120" w:type="dxa"/>
            </w:tcMar>
            <w:vAlign w:val="center"/>
          </w:tcPr>
          <w:p w14:paraId="05334416">
            <w:pPr>
              <w:snapToGrid w:val="0"/>
              <w:spacing w:line="360" w:lineRule="auto"/>
              <w:jc w:val="center"/>
              <w:rPr>
                <w:rFonts w:ascii="仿宋" w:hAnsi="仿宋" w:eastAsia="仿宋" w:cs="仿宋"/>
                <w:b/>
                <w:sz w:val="24"/>
              </w:rPr>
            </w:pPr>
            <w:r>
              <w:rPr>
                <w:rFonts w:hint="eastAsia" w:ascii="仿宋" w:hAnsi="仿宋" w:eastAsia="仿宋" w:cs="仿宋"/>
                <w:b/>
                <w:sz w:val="24"/>
              </w:rPr>
              <w:t>服务方式</w:t>
            </w:r>
          </w:p>
        </w:tc>
        <w:tc>
          <w:tcPr>
            <w:tcW w:w="757" w:type="pct"/>
            <w:tcMar>
              <w:top w:w="60" w:type="dxa"/>
              <w:left w:w="120" w:type="dxa"/>
              <w:bottom w:w="30" w:type="dxa"/>
              <w:right w:w="120" w:type="dxa"/>
            </w:tcMar>
            <w:vAlign w:val="center"/>
          </w:tcPr>
          <w:p w14:paraId="52090B07">
            <w:pPr>
              <w:snapToGrid w:val="0"/>
              <w:spacing w:line="360" w:lineRule="auto"/>
              <w:jc w:val="center"/>
              <w:rPr>
                <w:rFonts w:ascii="仿宋" w:hAnsi="仿宋" w:eastAsia="仿宋" w:cs="仿宋"/>
                <w:b/>
                <w:sz w:val="24"/>
              </w:rPr>
            </w:pPr>
            <w:r>
              <w:rPr>
                <w:rFonts w:hint="eastAsia" w:ascii="仿宋" w:hAnsi="仿宋" w:eastAsia="仿宋" w:cs="仿宋"/>
                <w:b/>
                <w:sz w:val="24"/>
              </w:rPr>
              <w:t>服务频次 / 次数要求</w:t>
            </w:r>
          </w:p>
        </w:tc>
      </w:tr>
      <w:tr w14:paraId="330AB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03" w:type="pct"/>
            <w:tcMar>
              <w:top w:w="60" w:type="dxa"/>
              <w:left w:w="120" w:type="dxa"/>
              <w:bottom w:w="30" w:type="dxa"/>
              <w:right w:w="120" w:type="dxa"/>
            </w:tcMar>
            <w:vAlign w:val="center"/>
          </w:tcPr>
          <w:p w14:paraId="7B7174D2">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614" w:type="pct"/>
            <w:tcMar>
              <w:top w:w="60" w:type="dxa"/>
              <w:left w:w="120" w:type="dxa"/>
              <w:bottom w:w="30" w:type="dxa"/>
              <w:right w:w="120" w:type="dxa"/>
            </w:tcMar>
            <w:vAlign w:val="center"/>
          </w:tcPr>
          <w:p w14:paraId="746C6F63">
            <w:pPr>
              <w:snapToGrid w:val="0"/>
              <w:spacing w:line="360" w:lineRule="auto"/>
              <w:jc w:val="center"/>
              <w:rPr>
                <w:rFonts w:ascii="仿宋" w:hAnsi="仿宋" w:eastAsia="仿宋" w:cs="仿宋"/>
                <w:sz w:val="24"/>
              </w:rPr>
            </w:pPr>
            <w:r>
              <w:rPr>
                <w:rFonts w:hint="eastAsia" w:ascii="仿宋" w:hAnsi="仿宋" w:eastAsia="仿宋" w:cs="仿宋"/>
                <w:sz w:val="24"/>
              </w:rPr>
              <w:t>信息系统基础运维服务</w:t>
            </w:r>
          </w:p>
        </w:tc>
        <w:tc>
          <w:tcPr>
            <w:tcW w:w="2651" w:type="pct"/>
            <w:tcMar>
              <w:top w:w="60" w:type="dxa"/>
              <w:left w:w="120" w:type="dxa"/>
              <w:bottom w:w="30" w:type="dxa"/>
              <w:right w:w="120" w:type="dxa"/>
            </w:tcMar>
            <w:vAlign w:val="center"/>
          </w:tcPr>
          <w:p w14:paraId="3E84E116">
            <w:pPr>
              <w:snapToGrid w:val="0"/>
              <w:spacing w:line="360" w:lineRule="auto"/>
              <w:rPr>
                <w:rFonts w:ascii="仿宋" w:hAnsi="仿宋" w:eastAsia="仿宋" w:cs="仿宋"/>
                <w:sz w:val="24"/>
              </w:rPr>
            </w:pPr>
            <w:r>
              <w:rPr>
                <w:rFonts w:hint="eastAsia" w:ascii="仿宋" w:hAnsi="仿宋" w:eastAsia="仿宋" w:cs="仿宋"/>
                <w:sz w:val="24"/>
              </w:rPr>
              <w:t>1. 上表所列全部系统模块的软件操作指导、故障排查、bug 修复、配置管理服务；</w:t>
            </w:r>
          </w:p>
          <w:p w14:paraId="70254A63">
            <w:pPr>
              <w:snapToGrid w:val="0"/>
              <w:spacing w:line="360" w:lineRule="auto"/>
              <w:rPr>
                <w:rFonts w:ascii="仿宋" w:hAnsi="仿宋" w:eastAsia="仿宋" w:cs="仿宋"/>
                <w:sz w:val="24"/>
              </w:rPr>
            </w:pPr>
            <w:r>
              <w:rPr>
                <w:rFonts w:hint="eastAsia" w:ascii="仿宋" w:hAnsi="仿宋" w:eastAsia="仿宋" w:cs="仿宋"/>
                <w:sz w:val="24"/>
              </w:rPr>
              <w:t>2. 系统死机、数据错误、心电采集异常、报告生成失败等全场景故障处置；</w:t>
            </w:r>
          </w:p>
          <w:p w14:paraId="64C4C9D1">
            <w:pPr>
              <w:snapToGrid w:val="0"/>
              <w:spacing w:line="360" w:lineRule="auto"/>
              <w:rPr>
                <w:rFonts w:ascii="仿宋" w:hAnsi="仿宋" w:eastAsia="仿宋" w:cs="仿宋"/>
                <w:sz w:val="24"/>
              </w:rPr>
            </w:pPr>
            <w:r>
              <w:rPr>
                <w:rFonts w:hint="eastAsia" w:ascii="仿宋" w:hAnsi="仿宋" w:eastAsia="仿宋" w:cs="仿宋"/>
                <w:sz w:val="24"/>
              </w:rPr>
              <w:t>3. 系统运行环境适配、显示异常、运行效率降低等问题的优化处置；</w:t>
            </w:r>
          </w:p>
          <w:p w14:paraId="72B9E6E9">
            <w:pPr>
              <w:snapToGrid w:val="0"/>
              <w:spacing w:line="360" w:lineRule="auto"/>
              <w:rPr>
                <w:rFonts w:ascii="仿宋" w:hAnsi="仿宋" w:eastAsia="仿宋" w:cs="仿宋"/>
                <w:sz w:val="24"/>
              </w:rPr>
            </w:pPr>
            <w:r>
              <w:rPr>
                <w:rFonts w:hint="eastAsia" w:ascii="仿宋" w:hAnsi="仿宋" w:eastAsia="仿宋" w:cs="仿宋"/>
                <w:sz w:val="24"/>
              </w:rPr>
              <w:t>4. 系统与院内其他信息系统的接口运维、适配调整、故障修复；‘</w:t>
            </w:r>
          </w:p>
          <w:p w14:paraId="2A84CB21">
            <w:pPr>
              <w:snapToGrid w:val="0"/>
              <w:spacing w:line="360" w:lineRule="auto"/>
              <w:rPr>
                <w:rFonts w:ascii="仿宋" w:hAnsi="仿宋" w:eastAsia="仿宋" w:cs="仿宋"/>
                <w:sz w:val="24"/>
              </w:rPr>
            </w:pPr>
            <w:r>
              <w:rPr>
                <w:rFonts w:hint="eastAsia" w:ascii="仿宋" w:hAnsi="仿宋" w:eastAsia="仿宋" w:cs="仿宋"/>
                <w:sz w:val="24"/>
              </w:rPr>
              <w:t>5. 系统终端设备、服务器运行状态的定期巡检与隐患排查。</w:t>
            </w:r>
          </w:p>
        </w:tc>
        <w:tc>
          <w:tcPr>
            <w:tcW w:w="672" w:type="pct"/>
            <w:tcMar>
              <w:top w:w="60" w:type="dxa"/>
              <w:left w:w="120" w:type="dxa"/>
              <w:bottom w:w="30" w:type="dxa"/>
              <w:right w:w="120" w:type="dxa"/>
            </w:tcMar>
            <w:vAlign w:val="center"/>
          </w:tcPr>
          <w:p w14:paraId="566C2D67">
            <w:pPr>
              <w:snapToGrid w:val="0"/>
              <w:spacing w:line="360" w:lineRule="auto"/>
              <w:jc w:val="center"/>
              <w:rPr>
                <w:rFonts w:ascii="仿宋" w:hAnsi="仿宋" w:eastAsia="仿宋" w:cs="仿宋"/>
                <w:sz w:val="24"/>
              </w:rPr>
            </w:pPr>
            <w:r>
              <w:rPr>
                <w:rFonts w:hint="eastAsia" w:ascii="仿宋" w:hAnsi="仿宋" w:eastAsia="仿宋" w:cs="仿宋"/>
                <w:sz w:val="24"/>
              </w:rPr>
              <w:t>7×24 小时热线服务、安全远程运维服务、现场驻场 / 上门服务</w:t>
            </w:r>
          </w:p>
        </w:tc>
        <w:tc>
          <w:tcPr>
            <w:tcW w:w="757" w:type="pct"/>
            <w:tcMar>
              <w:top w:w="60" w:type="dxa"/>
              <w:left w:w="120" w:type="dxa"/>
              <w:bottom w:w="30" w:type="dxa"/>
              <w:right w:w="120" w:type="dxa"/>
            </w:tcMar>
            <w:vAlign w:val="center"/>
          </w:tcPr>
          <w:p w14:paraId="1B0FFC53">
            <w:pPr>
              <w:snapToGrid w:val="0"/>
              <w:spacing w:line="360" w:lineRule="auto"/>
              <w:jc w:val="center"/>
              <w:rPr>
                <w:rFonts w:ascii="仿宋" w:hAnsi="仿宋" w:eastAsia="仿宋" w:cs="仿宋"/>
                <w:sz w:val="24"/>
              </w:rPr>
            </w:pPr>
            <w:r>
              <w:rPr>
                <w:rFonts w:hint="eastAsia" w:ascii="仿宋" w:hAnsi="仿宋" w:eastAsia="仿宋" w:cs="仿宋"/>
                <w:sz w:val="24"/>
              </w:rPr>
              <w:t>不限次数，全时段响应</w:t>
            </w:r>
          </w:p>
        </w:tc>
      </w:tr>
      <w:tr w14:paraId="5B314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03" w:type="pct"/>
            <w:tcMar>
              <w:top w:w="60" w:type="dxa"/>
              <w:left w:w="120" w:type="dxa"/>
              <w:bottom w:w="30" w:type="dxa"/>
              <w:right w:w="120" w:type="dxa"/>
            </w:tcMar>
            <w:vAlign w:val="center"/>
          </w:tcPr>
          <w:p w14:paraId="679F56FF">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614" w:type="pct"/>
            <w:tcMar>
              <w:top w:w="60" w:type="dxa"/>
              <w:left w:w="120" w:type="dxa"/>
              <w:bottom w:w="30" w:type="dxa"/>
              <w:right w:w="120" w:type="dxa"/>
            </w:tcMar>
            <w:vAlign w:val="center"/>
          </w:tcPr>
          <w:p w14:paraId="1B9C3A58">
            <w:pPr>
              <w:snapToGrid w:val="0"/>
              <w:spacing w:line="360" w:lineRule="auto"/>
              <w:jc w:val="center"/>
              <w:rPr>
                <w:rFonts w:ascii="仿宋" w:hAnsi="仿宋" w:eastAsia="仿宋" w:cs="仿宋"/>
                <w:sz w:val="24"/>
              </w:rPr>
            </w:pPr>
            <w:r>
              <w:rPr>
                <w:rFonts w:hint="eastAsia" w:ascii="仿宋" w:hAnsi="仿宋" w:eastAsia="仿宋" w:cs="仿宋"/>
                <w:sz w:val="24"/>
              </w:rPr>
              <w:t>数据库专项运维服务</w:t>
            </w:r>
          </w:p>
        </w:tc>
        <w:tc>
          <w:tcPr>
            <w:tcW w:w="2651" w:type="pct"/>
            <w:tcMar>
              <w:top w:w="60" w:type="dxa"/>
              <w:left w:w="120" w:type="dxa"/>
              <w:bottom w:w="30" w:type="dxa"/>
              <w:right w:w="120" w:type="dxa"/>
            </w:tcMar>
            <w:vAlign w:val="center"/>
          </w:tcPr>
          <w:p w14:paraId="58AA4DD2">
            <w:pPr>
              <w:snapToGrid w:val="0"/>
              <w:spacing w:line="360" w:lineRule="auto"/>
              <w:rPr>
                <w:rFonts w:ascii="仿宋" w:hAnsi="仿宋" w:eastAsia="仿宋" w:cs="仿宋"/>
                <w:sz w:val="24"/>
              </w:rPr>
            </w:pPr>
            <w:r>
              <w:rPr>
                <w:rFonts w:hint="eastAsia" w:ascii="仿宋" w:hAnsi="仿宋" w:eastAsia="仿宋" w:cs="仿宋"/>
                <w:sz w:val="24"/>
              </w:rPr>
              <w:t>1. 每月开展数据库全量巡检，检查内容包括服务器系统日志、磁盘空间、CPU / 内存使用率、数据库表空间、数据文件大小、数据库运行日志、异常操作审计日志等，及时发现并处置潜在风险；</w:t>
            </w:r>
          </w:p>
          <w:p w14:paraId="5964F272">
            <w:pPr>
              <w:snapToGrid w:val="0"/>
              <w:spacing w:line="360" w:lineRule="auto"/>
              <w:rPr>
                <w:rFonts w:ascii="仿宋" w:hAnsi="仿宋" w:eastAsia="仿宋" w:cs="仿宋"/>
                <w:sz w:val="24"/>
              </w:rPr>
            </w:pPr>
            <w:r>
              <w:rPr>
                <w:rFonts w:hint="eastAsia" w:ascii="仿宋" w:hAnsi="仿宋" w:eastAsia="仿宋" w:cs="仿宋"/>
                <w:sz w:val="24"/>
              </w:rPr>
              <w:t>2. 每季度完成数据库安全加固、高危漏洞修复，确保数据库符合等保合规要求；</w:t>
            </w:r>
          </w:p>
          <w:p w14:paraId="713BB622">
            <w:pPr>
              <w:snapToGrid w:val="0"/>
              <w:spacing w:line="360" w:lineRule="auto"/>
              <w:rPr>
                <w:rFonts w:ascii="仿宋" w:hAnsi="仿宋" w:eastAsia="仿宋" w:cs="仿宋"/>
                <w:sz w:val="24"/>
              </w:rPr>
            </w:pPr>
            <w:r>
              <w:rPr>
                <w:rFonts w:hint="eastAsia" w:ascii="仿宋" w:hAnsi="仿宋" w:eastAsia="仿宋" w:cs="仿宋"/>
                <w:sz w:val="24"/>
              </w:rPr>
              <w:t>3. 提供同版本数据库迁移、数据备份与恢复服务，配合采购人完成数据备份有效性验证；</w:t>
            </w:r>
          </w:p>
          <w:p w14:paraId="2CA7F013">
            <w:pPr>
              <w:snapToGrid w:val="0"/>
              <w:spacing w:line="360" w:lineRule="auto"/>
              <w:rPr>
                <w:rFonts w:ascii="仿宋" w:hAnsi="仿宋" w:eastAsia="仿宋" w:cs="仿宋"/>
                <w:sz w:val="24"/>
              </w:rPr>
            </w:pPr>
            <w:r>
              <w:rPr>
                <w:rFonts w:hint="eastAsia" w:ascii="仿宋" w:hAnsi="仿宋" w:eastAsia="仿宋" w:cs="仿宋"/>
                <w:sz w:val="24"/>
              </w:rPr>
              <w:t>4. 针对巡检发现的问题，完成数据库性能优化、参数调整，保障数据库持续处于最佳运行状态；</w:t>
            </w:r>
          </w:p>
          <w:p w14:paraId="4469EA03">
            <w:pPr>
              <w:snapToGrid w:val="0"/>
              <w:spacing w:line="360" w:lineRule="auto"/>
              <w:rPr>
                <w:rFonts w:ascii="仿宋" w:hAnsi="仿宋" w:eastAsia="仿宋" w:cs="仿宋"/>
                <w:sz w:val="24"/>
              </w:rPr>
            </w:pPr>
            <w:r>
              <w:rPr>
                <w:rFonts w:hint="eastAsia" w:ascii="仿宋" w:hAnsi="仿宋" w:eastAsia="仿宋" w:cs="仿宋"/>
                <w:sz w:val="24"/>
              </w:rPr>
              <w:t>5. 数据库故障的应急处置，保障心电数据、患者信息不丢失、不泄露、不篡改。</w:t>
            </w:r>
          </w:p>
        </w:tc>
        <w:tc>
          <w:tcPr>
            <w:tcW w:w="672" w:type="pct"/>
            <w:tcMar>
              <w:top w:w="60" w:type="dxa"/>
              <w:left w:w="120" w:type="dxa"/>
              <w:bottom w:w="30" w:type="dxa"/>
              <w:right w:w="120" w:type="dxa"/>
            </w:tcMar>
            <w:vAlign w:val="center"/>
          </w:tcPr>
          <w:p w14:paraId="5076F0D2">
            <w:pPr>
              <w:snapToGrid w:val="0"/>
              <w:spacing w:line="360" w:lineRule="auto"/>
              <w:jc w:val="center"/>
              <w:rPr>
                <w:rFonts w:ascii="仿宋" w:hAnsi="仿宋" w:eastAsia="仿宋" w:cs="仿宋"/>
                <w:sz w:val="24"/>
              </w:rPr>
            </w:pPr>
            <w:r>
              <w:rPr>
                <w:rFonts w:hint="eastAsia" w:ascii="仿宋" w:hAnsi="仿宋" w:eastAsia="仿宋" w:cs="仿宋"/>
                <w:sz w:val="24"/>
              </w:rPr>
              <w:t>热线服务、安全远程服务、现场服务</w:t>
            </w:r>
          </w:p>
        </w:tc>
        <w:tc>
          <w:tcPr>
            <w:tcW w:w="757" w:type="pct"/>
            <w:tcMar>
              <w:top w:w="60" w:type="dxa"/>
              <w:left w:w="120" w:type="dxa"/>
              <w:bottom w:w="30" w:type="dxa"/>
              <w:right w:w="120" w:type="dxa"/>
            </w:tcMar>
            <w:vAlign w:val="center"/>
          </w:tcPr>
          <w:p w14:paraId="5B095E25">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 1 次全量巡检，每季度至少 1 次性能优化，每年至少 2 次备份恢复演练</w:t>
            </w:r>
          </w:p>
        </w:tc>
      </w:tr>
      <w:tr w14:paraId="3A381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03" w:type="pct"/>
            <w:tcMar>
              <w:top w:w="60" w:type="dxa"/>
              <w:left w:w="120" w:type="dxa"/>
              <w:bottom w:w="30" w:type="dxa"/>
              <w:right w:w="120" w:type="dxa"/>
            </w:tcMar>
            <w:vAlign w:val="center"/>
          </w:tcPr>
          <w:p w14:paraId="3666FD33">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614" w:type="pct"/>
            <w:tcMar>
              <w:top w:w="60" w:type="dxa"/>
              <w:left w:w="120" w:type="dxa"/>
              <w:bottom w:w="30" w:type="dxa"/>
              <w:right w:w="120" w:type="dxa"/>
            </w:tcMar>
            <w:vAlign w:val="center"/>
          </w:tcPr>
          <w:p w14:paraId="70857A61">
            <w:pPr>
              <w:snapToGrid w:val="0"/>
              <w:spacing w:line="360" w:lineRule="auto"/>
              <w:jc w:val="center"/>
              <w:rPr>
                <w:rFonts w:ascii="仿宋" w:hAnsi="仿宋" w:eastAsia="仿宋" w:cs="仿宋"/>
                <w:sz w:val="24"/>
              </w:rPr>
            </w:pPr>
            <w:r>
              <w:rPr>
                <w:rFonts w:hint="eastAsia" w:ascii="仿宋" w:hAnsi="仿宋" w:eastAsia="仿宋" w:cs="仿宋"/>
                <w:sz w:val="24"/>
              </w:rPr>
              <w:t>医院心电电生理设备接口开发服务</w:t>
            </w:r>
          </w:p>
        </w:tc>
        <w:tc>
          <w:tcPr>
            <w:tcW w:w="2651" w:type="pct"/>
            <w:tcMar>
              <w:top w:w="60" w:type="dxa"/>
              <w:left w:w="120" w:type="dxa"/>
              <w:bottom w:w="30" w:type="dxa"/>
              <w:right w:w="120" w:type="dxa"/>
            </w:tcMar>
            <w:vAlign w:val="center"/>
          </w:tcPr>
          <w:p w14:paraId="7EF29E15">
            <w:pPr>
              <w:snapToGrid w:val="0"/>
              <w:spacing w:line="360" w:lineRule="auto"/>
              <w:rPr>
                <w:rFonts w:ascii="仿宋" w:hAnsi="仿宋" w:eastAsia="仿宋" w:cs="仿宋"/>
                <w:sz w:val="24"/>
              </w:rPr>
            </w:pPr>
            <w:r>
              <w:rPr>
                <w:rFonts w:hint="eastAsia" w:ascii="仿宋" w:hAnsi="仿宋" w:eastAsia="仿宋" w:cs="仿宋"/>
                <w:sz w:val="24"/>
              </w:rPr>
              <w:t>医院根据自身发展需求新增或调整心电电生理设备，服务商组织专业技术人员为院方提供接口程序的开发、调试服务，保障仪器设备无缝对接相应信息系统。</w:t>
            </w:r>
          </w:p>
        </w:tc>
        <w:tc>
          <w:tcPr>
            <w:tcW w:w="672" w:type="pct"/>
            <w:tcMar>
              <w:top w:w="60" w:type="dxa"/>
              <w:left w:w="120" w:type="dxa"/>
              <w:bottom w:w="30" w:type="dxa"/>
              <w:right w:w="120" w:type="dxa"/>
            </w:tcMar>
            <w:vAlign w:val="center"/>
          </w:tcPr>
          <w:p w14:paraId="193C13DD">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w:t>
            </w:r>
          </w:p>
        </w:tc>
        <w:tc>
          <w:tcPr>
            <w:tcW w:w="757" w:type="pct"/>
            <w:tcMar>
              <w:top w:w="60" w:type="dxa"/>
              <w:left w:w="120" w:type="dxa"/>
              <w:bottom w:w="30" w:type="dxa"/>
              <w:right w:w="120" w:type="dxa"/>
            </w:tcMar>
            <w:vAlign w:val="center"/>
          </w:tcPr>
          <w:p w14:paraId="0FB3CE44">
            <w:pPr>
              <w:snapToGrid w:val="0"/>
              <w:spacing w:line="360" w:lineRule="auto"/>
              <w:jc w:val="center"/>
              <w:rPr>
                <w:rFonts w:ascii="仿宋" w:hAnsi="仿宋" w:eastAsia="仿宋" w:cs="仿宋"/>
                <w:sz w:val="24"/>
              </w:rPr>
            </w:pPr>
            <w:r>
              <w:rPr>
                <w:rFonts w:hint="eastAsia" w:ascii="仿宋" w:hAnsi="仿宋" w:eastAsia="仿宋" w:cs="仿宋"/>
                <w:sz w:val="24"/>
              </w:rPr>
              <w:t>自定义</w:t>
            </w:r>
          </w:p>
        </w:tc>
      </w:tr>
      <w:tr w14:paraId="749F8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03" w:type="pct"/>
            <w:tcMar>
              <w:top w:w="60" w:type="dxa"/>
              <w:left w:w="120" w:type="dxa"/>
              <w:bottom w:w="30" w:type="dxa"/>
              <w:right w:w="120" w:type="dxa"/>
            </w:tcMar>
            <w:vAlign w:val="center"/>
          </w:tcPr>
          <w:p w14:paraId="1AE468AA">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614" w:type="pct"/>
            <w:tcMar>
              <w:top w:w="60" w:type="dxa"/>
              <w:left w:w="120" w:type="dxa"/>
              <w:bottom w:w="30" w:type="dxa"/>
              <w:right w:w="120" w:type="dxa"/>
            </w:tcMar>
            <w:vAlign w:val="center"/>
          </w:tcPr>
          <w:p w14:paraId="0F53E030">
            <w:pPr>
              <w:snapToGrid w:val="0"/>
              <w:spacing w:line="360" w:lineRule="auto"/>
              <w:jc w:val="center"/>
              <w:rPr>
                <w:rFonts w:ascii="仿宋" w:hAnsi="仿宋" w:eastAsia="仿宋" w:cs="仿宋"/>
                <w:sz w:val="24"/>
              </w:rPr>
            </w:pPr>
            <w:r>
              <w:rPr>
                <w:rFonts w:hint="eastAsia" w:ascii="仿宋" w:hAnsi="仿宋" w:eastAsia="仿宋" w:cs="仿宋"/>
                <w:sz w:val="24"/>
              </w:rPr>
              <w:t>信息系统升级更新服务</w:t>
            </w:r>
          </w:p>
        </w:tc>
        <w:tc>
          <w:tcPr>
            <w:tcW w:w="2651" w:type="pct"/>
            <w:tcMar>
              <w:top w:w="60" w:type="dxa"/>
              <w:left w:w="120" w:type="dxa"/>
              <w:bottom w:w="30" w:type="dxa"/>
              <w:right w:w="120" w:type="dxa"/>
            </w:tcMar>
            <w:vAlign w:val="center"/>
          </w:tcPr>
          <w:p w14:paraId="76ADBC9E">
            <w:pPr>
              <w:snapToGrid w:val="0"/>
              <w:spacing w:line="360" w:lineRule="auto"/>
              <w:rPr>
                <w:rFonts w:ascii="仿宋" w:hAnsi="仿宋" w:eastAsia="仿宋" w:cs="仿宋"/>
                <w:sz w:val="24"/>
              </w:rPr>
            </w:pPr>
            <w:r>
              <w:rPr>
                <w:rFonts w:hint="eastAsia" w:ascii="仿宋" w:hAnsi="仿宋" w:eastAsia="仿宋" w:cs="仿宋"/>
                <w:sz w:val="24"/>
              </w:rPr>
              <w:t>1. 依据国家、省、市卫健、医保、网信等部门新增或变更的政策法规、标准规范，免费、及时完成系统的合规性适配与更新服务，确保系统符合最新监管要求；</w:t>
            </w:r>
          </w:p>
          <w:p w14:paraId="06DD60B5">
            <w:pPr>
              <w:snapToGrid w:val="0"/>
              <w:spacing w:line="360" w:lineRule="auto"/>
              <w:rPr>
                <w:rFonts w:ascii="仿宋" w:hAnsi="仿宋" w:eastAsia="仿宋" w:cs="仿宋"/>
                <w:sz w:val="24"/>
              </w:rPr>
            </w:pPr>
            <w:r>
              <w:rPr>
                <w:rFonts w:hint="eastAsia" w:ascii="仿宋" w:hAnsi="仿宋" w:eastAsia="仿宋" w:cs="仿宋"/>
                <w:sz w:val="24"/>
              </w:rPr>
              <w:t>2. 提供系统同版本内的免费升级、功能优化服务，组织专业技术人员完成升级方案制定、测试、上线全流程工作，确保升级过程不影响医院正常业务；</w:t>
            </w:r>
          </w:p>
          <w:p w14:paraId="096547E6">
            <w:pPr>
              <w:snapToGrid w:val="0"/>
              <w:spacing w:line="360" w:lineRule="auto"/>
              <w:rPr>
                <w:rFonts w:ascii="仿宋" w:hAnsi="仿宋" w:eastAsia="仿宋" w:cs="仿宋"/>
                <w:sz w:val="24"/>
              </w:rPr>
            </w:pPr>
            <w:r>
              <w:rPr>
                <w:rFonts w:hint="eastAsia" w:ascii="仿宋" w:hAnsi="仿宋" w:eastAsia="仿宋" w:cs="仿宋"/>
                <w:sz w:val="24"/>
              </w:rPr>
              <w:t>3. 定期完成系统安全补丁、漏洞修复包的安装与调试，每月完成高危漏洞排查与修复。</w:t>
            </w:r>
          </w:p>
        </w:tc>
        <w:tc>
          <w:tcPr>
            <w:tcW w:w="672" w:type="pct"/>
            <w:tcMar>
              <w:top w:w="60" w:type="dxa"/>
              <w:left w:w="120" w:type="dxa"/>
              <w:bottom w:w="30" w:type="dxa"/>
              <w:right w:w="120" w:type="dxa"/>
            </w:tcMar>
            <w:vAlign w:val="center"/>
          </w:tcPr>
          <w:p w14:paraId="4E57BB25">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w:t>
            </w:r>
          </w:p>
        </w:tc>
        <w:tc>
          <w:tcPr>
            <w:tcW w:w="757" w:type="pct"/>
            <w:tcMar>
              <w:top w:w="60" w:type="dxa"/>
              <w:left w:w="120" w:type="dxa"/>
              <w:bottom w:w="30" w:type="dxa"/>
              <w:right w:w="120" w:type="dxa"/>
            </w:tcMar>
            <w:vAlign w:val="center"/>
          </w:tcPr>
          <w:p w14:paraId="7ADE1884">
            <w:pPr>
              <w:snapToGrid w:val="0"/>
              <w:spacing w:line="360" w:lineRule="auto"/>
              <w:jc w:val="center"/>
              <w:rPr>
                <w:rFonts w:ascii="仿宋" w:hAnsi="仿宋" w:eastAsia="仿宋" w:cs="仿宋"/>
                <w:sz w:val="24"/>
              </w:rPr>
            </w:pPr>
            <w:r>
              <w:rPr>
                <w:rFonts w:hint="eastAsia" w:ascii="仿宋" w:hAnsi="仿宋" w:eastAsia="仿宋" w:cs="仿宋"/>
                <w:sz w:val="24"/>
              </w:rPr>
              <w:t>不限次数</w:t>
            </w:r>
          </w:p>
        </w:tc>
      </w:tr>
      <w:tr w14:paraId="1BA19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03" w:type="pct"/>
            <w:tcMar>
              <w:top w:w="60" w:type="dxa"/>
              <w:left w:w="120" w:type="dxa"/>
              <w:bottom w:w="30" w:type="dxa"/>
              <w:right w:w="120" w:type="dxa"/>
            </w:tcMar>
            <w:vAlign w:val="center"/>
          </w:tcPr>
          <w:p w14:paraId="522AAE7C">
            <w:pPr>
              <w:snapToGrid w:val="0"/>
              <w:spacing w:line="360" w:lineRule="auto"/>
              <w:jc w:val="center"/>
              <w:rPr>
                <w:rFonts w:ascii="仿宋" w:hAnsi="仿宋" w:eastAsia="仿宋" w:cs="仿宋"/>
                <w:sz w:val="24"/>
              </w:rPr>
            </w:pPr>
            <w:r>
              <w:rPr>
                <w:rFonts w:hint="eastAsia" w:ascii="仿宋" w:hAnsi="仿宋" w:eastAsia="仿宋" w:cs="仿宋"/>
                <w:sz w:val="24"/>
              </w:rPr>
              <w:t>5</w:t>
            </w:r>
          </w:p>
        </w:tc>
        <w:tc>
          <w:tcPr>
            <w:tcW w:w="614" w:type="pct"/>
            <w:tcMar>
              <w:top w:w="60" w:type="dxa"/>
              <w:left w:w="120" w:type="dxa"/>
              <w:bottom w:w="30" w:type="dxa"/>
              <w:right w:w="120" w:type="dxa"/>
            </w:tcMar>
            <w:vAlign w:val="center"/>
          </w:tcPr>
          <w:p w14:paraId="29D1F9D3">
            <w:pPr>
              <w:snapToGrid w:val="0"/>
              <w:spacing w:line="360" w:lineRule="auto"/>
              <w:jc w:val="center"/>
              <w:rPr>
                <w:rFonts w:ascii="仿宋" w:hAnsi="仿宋" w:eastAsia="仿宋" w:cs="仿宋"/>
                <w:sz w:val="24"/>
              </w:rPr>
            </w:pPr>
            <w:r>
              <w:rPr>
                <w:rFonts w:hint="eastAsia" w:ascii="仿宋" w:hAnsi="仿宋" w:eastAsia="仿宋" w:cs="仿宋"/>
                <w:sz w:val="24"/>
              </w:rPr>
              <w:t>网络安全与数据安全服务</w:t>
            </w:r>
          </w:p>
        </w:tc>
        <w:tc>
          <w:tcPr>
            <w:tcW w:w="2651" w:type="pct"/>
            <w:tcMar>
              <w:top w:w="60" w:type="dxa"/>
              <w:left w:w="120" w:type="dxa"/>
              <w:bottom w:w="30" w:type="dxa"/>
              <w:right w:w="120" w:type="dxa"/>
            </w:tcMar>
            <w:vAlign w:val="center"/>
          </w:tcPr>
          <w:p w14:paraId="313C50A6">
            <w:pPr>
              <w:snapToGrid w:val="0"/>
              <w:spacing w:line="360" w:lineRule="auto"/>
              <w:rPr>
                <w:rFonts w:ascii="仿宋" w:hAnsi="仿宋" w:eastAsia="仿宋" w:cs="仿宋"/>
                <w:sz w:val="24"/>
              </w:rPr>
            </w:pPr>
            <w:r>
              <w:rPr>
                <w:rFonts w:hint="eastAsia" w:ascii="仿宋" w:hAnsi="仿宋" w:eastAsia="仿宋" w:cs="仿宋"/>
                <w:sz w:val="24"/>
              </w:rPr>
              <w:t>1. 严格根据《网络安全法》《数据安全法》《个人信息保护法》及相关法律法规，为医院提供全流程网络安全与数据安全服务；</w:t>
            </w:r>
          </w:p>
          <w:p w14:paraId="26F757C4">
            <w:pPr>
              <w:snapToGrid w:val="0"/>
              <w:spacing w:line="360" w:lineRule="auto"/>
              <w:rPr>
                <w:rFonts w:ascii="仿宋" w:hAnsi="仿宋" w:eastAsia="仿宋" w:cs="仿宋"/>
                <w:sz w:val="24"/>
              </w:rPr>
            </w:pPr>
            <w:r>
              <w:rPr>
                <w:rFonts w:hint="eastAsia" w:ascii="仿宋" w:hAnsi="仿宋" w:eastAsia="仿宋" w:cs="仿宋"/>
                <w:sz w:val="24"/>
              </w:rPr>
              <w:t>2. 网络安全服务包含且不限于：漏洞修复、安全问题整改、安全风险排查、入侵检测与防御等服务；</w:t>
            </w:r>
          </w:p>
          <w:p w14:paraId="725997F2">
            <w:pPr>
              <w:snapToGrid w:val="0"/>
              <w:spacing w:line="360" w:lineRule="auto"/>
              <w:rPr>
                <w:rFonts w:ascii="仿宋" w:hAnsi="仿宋" w:eastAsia="仿宋" w:cs="仿宋"/>
                <w:sz w:val="24"/>
              </w:rPr>
            </w:pPr>
            <w:r>
              <w:rPr>
                <w:rFonts w:hint="eastAsia" w:ascii="仿宋" w:hAnsi="仿宋" w:eastAsia="仿宋" w:cs="仿宋"/>
                <w:sz w:val="24"/>
              </w:rPr>
              <w:t>3. 数据安全服务包含且不限于：数据加密、数据备份与恢复、数据库安全审计、心电数据全生命周期保护等服务；</w:t>
            </w:r>
          </w:p>
          <w:p w14:paraId="33F6017E">
            <w:pPr>
              <w:snapToGrid w:val="0"/>
              <w:spacing w:line="360" w:lineRule="auto"/>
              <w:rPr>
                <w:rFonts w:ascii="仿宋" w:hAnsi="仿宋" w:eastAsia="仿宋" w:cs="仿宋"/>
                <w:sz w:val="24"/>
              </w:rPr>
            </w:pPr>
            <w:r>
              <w:rPr>
                <w:rFonts w:hint="eastAsia" w:ascii="仿宋" w:hAnsi="仿宋" w:eastAsia="仿宋" w:cs="仿宋"/>
                <w:sz w:val="24"/>
              </w:rPr>
              <w:t>4. 配合采购人完成数据安全检查、网络安全审计、等保测评等相关工作。</w:t>
            </w:r>
          </w:p>
        </w:tc>
        <w:tc>
          <w:tcPr>
            <w:tcW w:w="672" w:type="pct"/>
            <w:tcMar>
              <w:top w:w="60" w:type="dxa"/>
              <w:left w:w="120" w:type="dxa"/>
              <w:bottom w:w="30" w:type="dxa"/>
              <w:right w:w="120" w:type="dxa"/>
            </w:tcMar>
            <w:vAlign w:val="center"/>
          </w:tcPr>
          <w:p w14:paraId="3D8B7EF1">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w:t>
            </w:r>
          </w:p>
        </w:tc>
        <w:tc>
          <w:tcPr>
            <w:tcW w:w="757" w:type="pct"/>
            <w:tcMar>
              <w:top w:w="60" w:type="dxa"/>
              <w:left w:w="120" w:type="dxa"/>
              <w:bottom w:w="30" w:type="dxa"/>
              <w:right w:w="120" w:type="dxa"/>
            </w:tcMar>
            <w:vAlign w:val="center"/>
          </w:tcPr>
          <w:p w14:paraId="6C59F752">
            <w:pPr>
              <w:snapToGrid w:val="0"/>
              <w:spacing w:line="360" w:lineRule="auto"/>
              <w:jc w:val="center"/>
              <w:rPr>
                <w:rFonts w:ascii="仿宋" w:hAnsi="仿宋" w:eastAsia="仿宋" w:cs="仿宋"/>
                <w:sz w:val="24"/>
              </w:rPr>
            </w:pPr>
            <w:r>
              <w:rPr>
                <w:rFonts w:hint="eastAsia" w:ascii="仿宋" w:hAnsi="仿宋" w:eastAsia="仿宋" w:cs="仿宋"/>
                <w:sz w:val="24"/>
              </w:rPr>
              <w:t>不限次数</w:t>
            </w:r>
          </w:p>
        </w:tc>
      </w:tr>
      <w:tr w14:paraId="61A7A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03" w:type="pct"/>
            <w:tcMar>
              <w:top w:w="60" w:type="dxa"/>
              <w:left w:w="120" w:type="dxa"/>
              <w:bottom w:w="30" w:type="dxa"/>
              <w:right w:w="120" w:type="dxa"/>
            </w:tcMar>
            <w:vAlign w:val="center"/>
          </w:tcPr>
          <w:p w14:paraId="53F950DA">
            <w:pPr>
              <w:snapToGrid w:val="0"/>
              <w:spacing w:line="360" w:lineRule="auto"/>
              <w:jc w:val="center"/>
              <w:rPr>
                <w:rFonts w:ascii="仿宋" w:hAnsi="仿宋" w:eastAsia="仿宋" w:cs="仿宋"/>
                <w:sz w:val="24"/>
              </w:rPr>
            </w:pPr>
            <w:r>
              <w:rPr>
                <w:rFonts w:hint="eastAsia" w:ascii="仿宋" w:hAnsi="仿宋" w:eastAsia="仿宋" w:cs="仿宋"/>
                <w:sz w:val="24"/>
              </w:rPr>
              <w:t>6</w:t>
            </w:r>
          </w:p>
        </w:tc>
        <w:tc>
          <w:tcPr>
            <w:tcW w:w="614" w:type="pct"/>
            <w:tcMar>
              <w:top w:w="60" w:type="dxa"/>
              <w:left w:w="120" w:type="dxa"/>
              <w:bottom w:w="30" w:type="dxa"/>
              <w:right w:w="120" w:type="dxa"/>
            </w:tcMar>
            <w:vAlign w:val="center"/>
          </w:tcPr>
          <w:p w14:paraId="34CA788D">
            <w:pPr>
              <w:snapToGrid w:val="0"/>
              <w:spacing w:line="360" w:lineRule="auto"/>
              <w:jc w:val="center"/>
              <w:rPr>
                <w:rFonts w:ascii="仿宋" w:hAnsi="仿宋" w:eastAsia="仿宋" w:cs="仿宋"/>
                <w:sz w:val="24"/>
              </w:rPr>
            </w:pPr>
            <w:r>
              <w:rPr>
                <w:rFonts w:hint="eastAsia" w:ascii="仿宋" w:hAnsi="仿宋" w:eastAsia="仿宋" w:cs="仿宋"/>
                <w:sz w:val="24"/>
              </w:rPr>
              <w:t>人员培训服务</w:t>
            </w:r>
          </w:p>
        </w:tc>
        <w:tc>
          <w:tcPr>
            <w:tcW w:w="2651" w:type="pct"/>
            <w:tcMar>
              <w:top w:w="60" w:type="dxa"/>
              <w:left w:w="120" w:type="dxa"/>
              <w:bottom w:w="30" w:type="dxa"/>
              <w:right w:w="120" w:type="dxa"/>
            </w:tcMar>
            <w:vAlign w:val="center"/>
          </w:tcPr>
          <w:p w14:paraId="4DAF56D9">
            <w:pPr>
              <w:snapToGrid w:val="0"/>
              <w:spacing w:line="360" w:lineRule="auto"/>
              <w:rPr>
                <w:rFonts w:ascii="仿宋" w:hAnsi="仿宋" w:eastAsia="仿宋" w:cs="仿宋"/>
                <w:sz w:val="24"/>
              </w:rPr>
            </w:pPr>
            <w:r>
              <w:rPr>
                <w:rFonts w:hint="eastAsia" w:ascii="仿宋" w:hAnsi="仿宋" w:eastAsia="仿宋" w:cs="仿宋"/>
                <w:sz w:val="24"/>
              </w:rPr>
              <w:t>1. 针对医院管理岗、医护操作岗、信息科技术岗，分别制定差异化培训计划，编制标准化培训教材与操作手册；</w:t>
            </w:r>
          </w:p>
          <w:p w14:paraId="7C92C1CD">
            <w:pPr>
              <w:snapToGrid w:val="0"/>
              <w:spacing w:line="360" w:lineRule="auto"/>
              <w:rPr>
                <w:rFonts w:ascii="仿宋" w:hAnsi="仿宋" w:eastAsia="仿宋" w:cs="仿宋"/>
                <w:sz w:val="24"/>
              </w:rPr>
            </w:pPr>
            <w:r>
              <w:rPr>
                <w:rFonts w:hint="eastAsia" w:ascii="仿宋" w:hAnsi="仿宋" w:eastAsia="仿宋" w:cs="仿宋"/>
                <w:sz w:val="24"/>
              </w:rPr>
              <w:t>2. 培训内容包括系统操作规范、常见故障处置、心电报告解读、数据安全与个人信息保护、应急处置流程等；</w:t>
            </w:r>
          </w:p>
          <w:p w14:paraId="38CE6207">
            <w:pPr>
              <w:snapToGrid w:val="0"/>
              <w:spacing w:line="360" w:lineRule="auto"/>
              <w:rPr>
                <w:rFonts w:ascii="仿宋" w:hAnsi="仿宋" w:eastAsia="仿宋" w:cs="仿宋"/>
                <w:sz w:val="24"/>
              </w:rPr>
            </w:pPr>
            <w:r>
              <w:rPr>
                <w:rFonts w:hint="eastAsia" w:ascii="仿宋" w:hAnsi="仿宋" w:eastAsia="仿宋" w:cs="仿宋"/>
                <w:sz w:val="24"/>
              </w:rPr>
              <w:t>3. 培训完成后组织考核，确保参训人员掌握对应技能；</w:t>
            </w:r>
          </w:p>
          <w:p w14:paraId="6D807281">
            <w:pPr>
              <w:snapToGrid w:val="0"/>
              <w:spacing w:line="360" w:lineRule="auto"/>
              <w:rPr>
                <w:rFonts w:ascii="仿宋" w:hAnsi="仿宋" w:eastAsia="仿宋" w:cs="仿宋"/>
                <w:sz w:val="24"/>
              </w:rPr>
            </w:pPr>
            <w:r>
              <w:rPr>
                <w:rFonts w:hint="eastAsia" w:ascii="仿宋" w:hAnsi="仿宋" w:eastAsia="仿宋" w:cs="仿宋"/>
                <w:sz w:val="24"/>
              </w:rPr>
              <w:t>4. 针对系统升级、新功能上线、新员工入职等场景，提供即时专项培训服务。</w:t>
            </w:r>
          </w:p>
        </w:tc>
        <w:tc>
          <w:tcPr>
            <w:tcW w:w="672" w:type="pct"/>
            <w:tcMar>
              <w:top w:w="60" w:type="dxa"/>
              <w:left w:w="120" w:type="dxa"/>
              <w:bottom w:w="30" w:type="dxa"/>
              <w:right w:w="120" w:type="dxa"/>
            </w:tcMar>
            <w:vAlign w:val="center"/>
          </w:tcPr>
          <w:p w14:paraId="26133F2C">
            <w:pPr>
              <w:snapToGrid w:val="0"/>
              <w:spacing w:line="360" w:lineRule="auto"/>
              <w:jc w:val="center"/>
              <w:rPr>
                <w:rFonts w:ascii="仿宋" w:hAnsi="仿宋" w:eastAsia="仿宋" w:cs="仿宋"/>
                <w:sz w:val="24"/>
              </w:rPr>
            </w:pPr>
            <w:r>
              <w:rPr>
                <w:rFonts w:hint="eastAsia" w:ascii="仿宋" w:hAnsi="仿宋" w:eastAsia="仿宋" w:cs="仿宋"/>
                <w:sz w:val="24"/>
              </w:rPr>
              <w:t>现场培训、远程线上培训</w:t>
            </w:r>
          </w:p>
        </w:tc>
        <w:tc>
          <w:tcPr>
            <w:tcW w:w="757" w:type="pct"/>
            <w:tcMar>
              <w:top w:w="60" w:type="dxa"/>
              <w:left w:w="120" w:type="dxa"/>
              <w:bottom w:w="30" w:type="dxa"/>
              <w:right w:w="120" w:type="dxa"/>
            </w:tcMar>
            <w:vAlign w:val="center"/>
          </w:tcPr>
          <w:p w14:paraId="4452B723">
            <w:pPr>
              <w:snapToGrid w:val="0"/>
              <w:spacing w:line="360" w:lineRule="auto"/>
              <w:jc w:val="center"/>
              <w:rPr>
                <w:rFonts w:ascii="仿宋" w:hAnsi="仿宋" w:eastAsia="仿宋" w:cs="仿宋"/>
                <w:sz w:val="24"/>
              </w:rPr>
            </w:pPr>
            <w:r>
              <w:rPr>
                <w:rFonts w:hint="eastAsia" w:ascii="仿宋" w:hAnsi="仿宋" w:eastAsia="仿宋" w:cs="仿宋"/>
                <w:sz w:val="24"/>
              </w:rPr>
              <w:t>全年累计培训不少于 20 学时，集中培训不少于 2 次，专项培训不限次数</w:t>
            </w:r>
          </w:p>
        </w:tc>
      </w:tr>
      <w:tr w14:paraId="39D4C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03" w:type="pct"/>
            <w:tcMar>
              <w:top w:w="60" w:type="dxa"/>
              <w:left w:w="120" w:type="dxa"/>
              <w:bottom w:w="30" w:type="dxa"/>
              <w:right w:w="120" w:type="dxa"/>
            </w:tcMar>
            <w:vAlign w:val="center"/>
          </w:tcPr>
          <w:p w14:paraId="38229796">
            <w:pPr>
              <w:snapToGrid w:val="0"/>
              <w:spacing w:line="360" w:lineRule="auto"/>
              <w:jc w:val="center"/>
              <w:rPr>
                <w:rFonts w:ascii="仿宋" w:hAnsi="仿宋" w:eastAsia="仿宋" w:cs="仿宋"/>
                <w:sz w:val="24"/>
              </w:rPr>
            </w:pPr>
            <w:r>
              <w:rPr>
                <w:rFonts w:hint="eastAsia" w:ascii="仿宋" w:hAnsi="仿宋" w:eastAsia="仿宋" w:cs="仿宋"/>
                <w:sz w:val="24"/>
              </w:rPr>
              <w:t>7</w:t>
            </w:r>
          </w:p>
        </w:tc>
        <w:tc>
          <w:tcPr>
            <w:tcW w:w="614" w:type="pct"/>
            <w:tcMar>
              <w:top w:w="60" w:type="dxa"/>
              <w:left w:w="120" w:type="dxa"/>
              <w:bottom w:w="30" w:type="dxa"/>
              <w:right w:w="120" w:type="dxa"/>
            </w:tcMar>
            <w:vAlign w:val="center"/>
          </w:tcPr>
          <w:p w14:paraId="67197464">
            <w:pPr>
              <w:snapToGrid w:val="0"/>
              <w:spacing w:line="360" w:lineRule="auto"/>
              <w:jc w:val="center"/>
              <w:rPr>
                <w:rFonts w:ascii="仿宋" w:hAnsi="仿宋" w:eastAsia="仿宋" w:cs="仿宋"/>
                <w:sz w:val="24"/>
              </w:rPr>
            </w:pPr>
            <w:r>
              <w:rPr>
                <w:rFonts w:hint="eastAsia" w:ascii="仿宋" w:hAnsi="仿宋" w:eastAsia="仿宋" w:cs="仿宋"/>
                <w:sz w:val="24"/>
              </w:rPr>
              <w:t>报表开发服务</w:t>
            </w:r>
          </w:p>
        </w:tc>
        <w:tc>
          <w:tcPr>
            <w:tcW w:w="2651" w:type="pct"/>
            <w:tcMar>
              <w:top w:w="60" w:type="dxa"/>
              <w:left w:w="120" w:type="dxa"/>
              <w:bottom w:w="30" w:type="dxa"/>
              <w:right w:w="120" w:type="dxa"/>
            </w:tcMar>
            <w:vAlign w:val="center"/>
          </w:tcPr>
          <w:p w14:paraId="322A37D7">
            <w:pPr>
              <w:snapToGrid w:val="0"/>
              <w:spacing w:line="360" w:lineRule="auto"/>
              <w:rPr>
                <w:rFonts w:ascii="仿宋" w:hAnsi="仿宋" w:eastAsia="仿宋" w:cs="仿宋"/>
                <w:sz w:val="24"/>
              </w:rPr>
            </w:pPr>
            <w:r>
              <w:rPr>
                <w:rFonts w:hint="eastAsia" w:ascii="仿宋" w:hAnsi="仿宋" w:eastAsia="仿宋" w:cs="仿宋"/>
                <w:sz w:val="24"/>
              </w:rPr>
              <w:t>服务商为院方提供新增报表开发、现有报表优化调整服务，报表开发需符合心电 / 电生理质控要求，确保数据准确、可追溯。</w:t>
            </w:r>
          </w:p>
        </w:tc>
        <w:tc>
          <w:tcPr>
            <w:tcW w:w="672" w:type="pct"/>
            <w:tcMar>
              <w:top w:w="60" w:type="dxa"/>
              <w:left w:w="120" w:type="dxa"/>
              <w:bottom w:w="30" w:type="dxa"/>
              <w:right w:w="120" w:type="dxa"/>
            </w:tcMar>
            <w:vAlign w:val="center"/>
          </w:tcPr>
          <w:p w14:paraId="41B2FE36">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w:t>
            </w:r>
          </w:p>
        </w:tc>
        <w:tc>
          <w:tcPr>
            <w:tcW w:w="757" w:type="pct"/>
            <w:tcMar>
              <w:top w:w="60" w:type="dxa"/>
              <w:left w:w="120" w:type="dxa"/>
              <w:bottom w:w="30" w:type="dxa"/>
              <w:right w:w="120" w:type="dxa"/>
            </w:tcMar>
            <w:vAlign w:val="center"/>
          </w:tcPr>
          <w:p w14:paraId="2D880721">
            <w:pPr>
              <w:snapToGrid w:val="0"/>
              <w:spacing w:line="360" w:lineRule="auto"/>
              <w:jc w:val="center"/>
              <w:rPr>
                <w:rFonts w:ascii="仿宋" w:hAnsi="仿宋" w:eastAsia="仿宋" w:cs="仿宋"/>
                <w:sz w:val="24"/>
              </w:rPr>
            </w:pPr>
            <w:r>
              <w:rPr>
                <w:rFonts w:hint="eastAsia" w:ascii="仿宋" w:hAnsi="仿宋" w:eastAsia="仿宋" w:cs="仿宋"/>
                <w:sz w:val="24"/>
              </w:rPr>
              <w:t>自定义</w:t>
            </w:r>
          </w:p>
        </w:tc>
      </w:tr>
      <w:tr w14:paraId="42629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03" w:type="pct"/>
            <w:tcMar>
              <w:top w:w="60" w:type="dxa"/>
              <w:left w:w="120" w:type="dxa"/>
              <w:bottom w:w="30" w:type="dxa"/>
              <w:right w:w="120" w:type="dxa"/>
            </w:tcMar>
            <w:vAlign w:val="center"/>
          </w:tcPr>
          <w:p w14:paraId="39F5DEC8">
            <w:pPr>
              <w:snapToGrid w:val="0"/>
              <w:spacing w:line="360" w:lineRule="auto"/>
              <w:jc w:val="center"/>
              <w:rPr>
                <w:rFonts w:ascii="仿宋" w:hAnsi="仿宋" w:eastAsia="仿宋" w:cs="仿宋"/>
                <w:sz w:val="24"/>
              </w:rPr>
            </w:pPr>
            <w:r>
              <w:rPr>
                <w:rFonts w:hint="eastAsia" w:ascii="仿宋" w:hAnsi="仿宋" w:eastAsia="仿宋" w:cs="仿宋"/>
                <w:sz w:val="24"/>
              </w:rPr>
              <w:t>8</w:t>
            </w:r>
          </w:p>
        </w:tc>
        <w:tc>
          <w:tcPr>
            <w:tcW w:w="614" w:type="pct"/>
            <w:tcMar>
              <w:top w:w="60" w:type="dxa"/>
              <w:left w:w="120" w:type="dxa"/>
              <w:bottom w:w="30" w:type="dxa"/>
              <w:right w:w="120" w:type="dxa"/>
            </w:tcMar>
            <w:vAlign w:val="center"/>
          </w:tcPr>
          <w:p w14:paraId="228A02F2">
            <w:pPr>
              <w:snapToGrid w:val="0"/>
              <w:spacing w:line="360" w:lineRule="auto"/>
              <w:jc w:val="center"/>
              <w:rPr>
                <w:rFonts w:ascii="仿宋" w:hAnsi="仿宋" w:eastAsia="仿宋" w:cs="仿宋"/>
                <w:sz w:val="24"/>
              </w:rPr>
            </w:pPr>
            <w:r>
              <w:rPr>
                <w:rFonts w:hint="eastAsia" w:ascii="仿宋" w:hAnsi="仿宋" w:eastAsia="仿宋" w:cs="仿宋"/>
                <w:sz w:val="24"/>
              </w:rPr>
              <w:t>应急保障服务</w:t>
            </w:r>
          </w:p>
        </w:tc>
        <w:tc>
          <w:tcPr>
            <w:tcW w:w="2651" w:type="pct"/>
            <w:tcMar>
              <w:top w:w="60" w:type="dxa"/>
              <w:left w:w="120" w:type="dxa"/>
              <w:bottom w:w="30" w:type="dxa"/>
              <w:right w:w="120" w:type="dxa"/>
            </w:tcMar>
            <w:vAlign w:val="center"/>
          </w:tcPr>
          <w:p w14:paraId="26E17454">
            <w:pPr>
              <w:snapToGrid w:val="0"/>
              <w:spacing w:line="360" w:lineRule="auto"/>
              <w:rPr>
                <w:rFonts w:ascii="仿宋" w:hAnsi="仿宋" w:eastAsia="仿宋" w:cs="仿宋"/>
                <w:sz w:val="24"/>
              </w:rPr>
            </w:pPr>
            <w:r>
              <w:rPr>
                <w:rFonts w:hint="eastAsia" w:ascii="仿宋" w:hAnsi="仿宋" w:eastAsia="仿宋" w:cs="仿宋"/>
                <w:sz w:val="24"/>
              </w:rPr>
              <w:t>1. 针对系统瘫痪、重大数据安全事件、网络攻击等突发场景，制定专项应急预案，明确应急处置流程、责任人员、处置方案；</w:t>
            </w:r>
          </w:p>
          <w:p w14:paraId="5A31A64D">
            <w:pPr>
              <w:snapToGrid w:val="0"/>
              <w:spacing w:line="360" w:lineRule="auto"/>
              <w:rPr>
                <w:rFonts w:ascii="仿宋" w:hAnsi="仿宋" w:eastAsia="仿宋" w:cs="仿宋"/>
                <w:sz w:val="24"/>
              </w:rPr>
            </w:pPr>
            <w:r>
              <w:rPr>
                <w:rFonts w:hint="eastAsia" w:ascii="仿宋" w:hAnsi="仿宋" w:eastAsia="仿宋" w:cs="仿宋"/>
                <w:sz w:val="24"/>
              </w:rPr>
              <w:t>2. 每年联合采购人组织不少于 2 次应急演练，优化应急预案；</w:t>
            </w:r>
          </w:p>
          <w:p w14:paraId="7C58698D">
            <w:pPr>
              <w:snapToGrid w:val="0"/>
              <w:spacing w:line="360" w:lineRule="auto"/>
              <w:rPr>
                <w:rFonts w:ascii="仿宋" w:hAnsi="仿宋" w:eastAsia="仿宋" w:cs="仿宋"/>
                <w:sz w:val="24"/>
              </w:rPr>
            </w:pPr>
            <w:r>
              <w:rPr>
                <w:rFonts w:hint="eastAsia" w:ascii="仿宋" w:hAnsi="仿宋" w:eastAsia="仿宋" w:cs="仿宋"/>
                <w:sz w:val="24"/>
              </w:rPr>
              <w:t>3. 医院就诊高峰、节假日、重大医疗活动等特殊时段，提供专属驻场保障服务，提前完成系统巡检，全程值守保障系统稳定运行。</w:t>
            </w:r>
          </w:p>
        </w:tc>
        <w:tc>
          <w:tcPr>
            <w:tcW w:w="672" w:type="pct"/>
            <w:tcMar>
              <w:top w:w="60" w:type="dxa"/>
              <w:left w:w="120" w:type="dxa"/>
              <w:bottom w:w="30" w:type="dxa"/>
              <w:right w:w="120" w:type="dxa"/>
            </w:tcMar>
            <w:vAlign w:val="center"/>
          </w:tcPr>
          <w:p w14:paraId="6A808AAD">
            <w:pPr>
              <w:snapToGrid w:val="0"/>
              <w:spacing w:line="360" w:lineRule="auto"/>
              <w:jc w:val="center"/>
              <w:rPr>
                <w:rFonts w:ascii="仿宋" w:hAnsi="仿宋" w:eastAsia="仿宋" w:cs="仿宋"/>
                <w:sz w:val="24"/>
              </w:rPr>
            </w:pPr>
            <w:r>
              <w:rPr>
                <w:rFonts w:hint="eastAsia" w:ascii="仿宋" w:hAnsi="仿宋" w:eastAsia="仿宋" w:cs="仿宋"/>
                <w:sz w:val="24"/>
              </w:rPr>
              <w:t>现场驻场服务、7×24 小时应急响应</w:t>
            </w:r>
          </w:p>
        </w:tc>
        <w:tc>
          <w:tcPr>
            <w:tcW w:w="757" w:type="pct"/>
            <w:tcMar>
              <w:top w:w="60" w:type="dxa"/>
              <w:left w:w="120" w:type="dxa"/>
              <w:bottom w:w="30" w:type="dxa"/>
              <w:right w:w="120" w:type="dxa"/>
            </w:tcMar>
            <w:vAlign w:val="center"/>
          </w:tcPr>
          <w:p w14:paraId="7079F225">
            <w:pPr>
              <w:snapToGrid w:val="0"/>
              <w:spacing w:line="360" w:lineRule="auto"/>
              <w:jc w:val="center"/>
              <w:rPr>
                <w:rFonts w:ascii="仿宋" w:hAnsi="仿宋" w:eastAsia="仿宋" w:cs="仿宋"/>
                <w:sz w:val="24"/>
              </w:rPr>
            </w:pPr>
            <w:r>
              <w:rPr>
                <w:rFonts w:hint="eastAsia" w:ascii="仿宋" w:hAnsi="仿宋" w:eastAsia="仿宋" w:cs="仿宋"/>
                <w:sz w:val="24"/>
              </w:rPr>
              <w:t>每年不少于 2 次应急演练，特殊时段按需提供驻场保障</w:t>
            </w:r>
          </w:p>
        </w:tc>
      </w:tr>
      <w:tr w14:paraId="49414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03" w:type="pct"/>
            <w:tcMar>
              <w:top w:w="60" w:type="dxa"/>
              <w:left w:w="120" w:type="dxa"/>
              <w:bottom w:w="30" w:type="dxa"/>
              <w:right w:w="120" w:type="dxa"/>
            </w:tcMar>
            <w:vAlign w:val="center"/>
          </w:tcPr>
          <w:p w14:paraId="1D982E6E">
            <w:pPr>
              <w:snapToGrid w:val="0"/>
              <w:spacing w:line="360" w:lineRule="auto"/>
              <w:jc w:val="center"/>
              <w:rPr>
                <w:rFonts w:ascii="仿宋" w:hAnsi="仿宋" w:eastAsia="仿宋" w:cs="仿宋"/>
                <w:sz w:val="24"/>
              </w:rPr>
            </w:pPr>
            <w:r>
              <w:rPr>
                <w:rFonts w:hint="eastAsia" w:ascii="仿宋" w:hAnsi="仿宋" w:eastAsia="仿宋" w:cs="仿宋"/>
                <w:sz w:val="24"/>
              </w:rPr>
              <w:t>9</w:t>
            </w:r>
          </w:p>
        </w:tc>
        <w:tc>
          <w:tcPr>
            <w:tcW w:w="614" w:type="pct"/>
            <w:tcMar>
              <w:top w:w="60" w:type="dxa"/>
              <w:left w:w="120" w:type="dxa"/>
              <w:bottom w:w="30" w:type="dxa"/>
              <w:right w:w="120" w:type="dxa"/>
            </w:tcMar>
            <w:vAlign w:val="center"/>
          </w:tcPr>
          <w:p w14:paraId="1AC16F59">
            <w:pPr>
              <w:snapToGrid w:val="0"/>
              <w:spacing w:line="360" w:lineRule="auto"/>
              <w:jc w:val="center"/>
              <w:rPr>
                <w:rFonts w:ascii="仿宋" w:hAnsi="仿宋" w:eastAsia="仿宋" w:cs="仿宋"/>
                <w:sz w:val="24"/>
              </w:rPr>
            </w:pPr>
            <w:r>
              <w:rPr>
                <w:rFonts w:hint="eastAsia" w:ascii="仿宋" w:hAnsi="仿宋" w:eastAsia="仿宋" w:cs="仿宋"/>
                <w:sz w:val="24"/>
              </w:rPr>
              <w:t>服务器端国产化替代专项技术服务</w:t>
            </w:r>
          </w:p>
        </w:tc>
        <w:tc>
          <w:tcPr>
            <w:tcW w:w="2651" w:type="pct"/>
            <w:tcMar>
              <w:top w:w="60" w:type="dxa"/>
              <w:left w:w="120" w:type="dxa"/>
              <w:bottom w:w="30" w:type="dxa"/>
              <w:right w:w="120" w:type="dxa"/>
            </w:tcMar>
            <w:vAlign w:val="center"/>
          </w:tcPr>
          <w:p w14:paraId="3C2696B7">
            <w:pPr>
              <w:snapToGrid w:val="0"/>
              <w:spacing w:line="360" w:lineRule="auto"/>
              <w:rPr>
                <w:rFonts w:ascii="仿宋" w:hAnsi="仿宋" w:eastAsia="仿宋" w:cs="仿宋"/>
                <w:sz w:val="24"/>
              </w:rPr>
            </w:pPr>
            <w:r>
              <w:rPr>
                <w:rFonts w:hint="eastAsia" w:ascii="仿宋" w:hAnsi="仿宋" w:eastAsia="仿宋" w:cs="仿宋"/>
                <w:sz w:val="24"/>
              </w:rPr>
              <w:t>1. 国产化适配前置评估：针对采购人服务器端国产化替代建设需求，完成现有《电生理信息管理系统》全模块、全功能的国产化环境兼容性评估，覆盖国产服务器硬件、操作系统、数据库、中间件的全栈适配性分析，出具完整评估与实施方案；</w:t>
            </w:r>
          </w:p>
          <w:p w14:paraId="5BFBC9C0">
            <w:pPr>
              <w:snapToGrid w:val="0"/>
              <w:spacing w:line="360" w:lineRule="auto"/>
              <w:rPr>
                <w:rFonts w:ascii="仿宋" w:hAnsi="仿宋" w:eastAsia="仿宋" w:cs="仿宋"/>
                <w:sz w:val="24"/>
              </w:rPr>
            </w:pPr>
            <w:r>
              <w:rPr>
                <w:rFonts w:hint="eastAsia" w:ascii="仿宋" w:hAnsi="仿宋" w:eastAsia="仿宋" w:cs="仿宋"/>
                <w:sz w:val="24"/>
              </w:rPr>
              <w:t>2. 原厂级适配改造开发：针对评估发现的兼容性问题，提供系统源代码级的适配改造、功能优化、接口重构服务，确保系统在国产化服务器环境下全功能正常运行、业务流程无断点、数据交互无异常，同时保障系统与院内HIS、LIS、PACS、EMR等现有及新增信创/非信创系统的互联互通，适配改造后系统性能不低于原有非国产化环境水平；</w:t>
            </w:r>
          </w:p>
          <w:p w14:paraId="5B6B2F91">
            <w:pPr>
              <w:snapToGrid w:val="0"/>
              <w:spacing w:line="360" w:lineRule="auto"/>
              <w:rPr>
                <w:rFonts w:ascii="仿宋" w:hAnsi="仿宋" w:eastAsia="仿宋" w:cs="仿宋"/>
                <w:sz w:val="24"/>
              </w:rPr>
            </w:pPr>
            <w:r>
              <w:rPr>
                <w:rFonts w:hint="eastAsia" w:ascii="仿宋" w:hAnsi="仿宋" w:eastAsia="仿宋" w:cs="仿宋"/>
                <w:sz w:val="24"/>
              </w:rPr>
              <w:t>1. 国产化适配前置评估：针对采购人服务器端国产化替代建设需求，完成现有《体检导检系统》《门诊叫号系统》全模块、全功能的国产化环境兼容性评估，覆盖国产服务器硬件、操作系统、数据库、中间件的全栈适配性分析，出具完整评估与实施方案；</w:t>
            </w:r>
          </w:p>
          <w:p w14:paraId="1BCA5E1D">
            <w:pPr>
              <w:snapToGrid w:val="0"/>
              <w:spacing w:line="360" w:lineRule="auto"/>
              <w:rPr>
                <w:rFonts w:ascii="仿宋" w:hAnsi="仿宋" w:eastAsia="仿宋" w:cs="仿宋"/>
                <w:sz w:val="24"/>
              </w:rPr>
            </w:pPr>
            <w:r>
              <w:rPr>
                <w:rFonts w:hint="eastAsia" w:ascii="仿宋" w:hAnsi="仿宋" w:eastAsia="仿宋" w:cs="仿宋"/>
                <w:sz w:val="24"/>
              </w:rPr>
              <w:t>2. 原厂级适配改造开发：针对评估发现的兼容性问题，提供系统源代码级的适配改造、功能优化、接口重构服务，确保系统在国产化服务器环境下全功能正常运行、业务流程无断点、数据交互无异常，同时保障系统与院内HIS、LIS、PACS、EMR等现有及新增信创/非信创系统的互联互通，适配改造后系统性能不低于原有非国产化环境水平；</w:t>
            </w:r>
          </w:p>
          <w:p w14:paraId="434FD90F">
            <w:pPr>
              <w:snapToGrid w:val="0"/>
              <w:spacing w:line="360" w:lineRule="auto"/>
              <w:rPr>
                <w:rFonts w:ascii="仿宋" w:hAnsi="仿宋" w:eastAsia="仿宋" w:cs="仿宋"/>
                <w:sz w:val="24"/>
              </w:rPr>
            </w:pPr>
            <w:r>
              <w:rPr>
                <w:rFonts w:hint="eastAsia" w:ascii="仿宋" w:hAnsi="仿宋" w:eastAsia="仿宋" w:cs="仿宋"/>
                <w:sz w:val="24"/>
              </w:rPr>
              <w:t>3. 国产化迁移与割接实施：配合采购人完成国产化测试环境搭建、全量功能测试、压力测试、兼容性测试、安全测试，制定分阶段、零风险的业务割接方案，割接操作安排在非业务高峰时段（夜间、节假日），全程派驻技术人员现场值守，保障迁移过程医疗数据零丢失、零泄露、零篡改，业务中断时长符合医院医疗安全管理要求，如出现异常立即启动回滚预案，保障业务连续性；</w:t>
            </w:r>
          </w:p>
          <w:p w14:paraId="55BF0936">
            <w:pPr>
              <w:snapToGrid w:val="0"/>
              <w:spacing w:line="360" w:lineRule="auto"/>
              <w:rPr>
                <w:rFonts w:ascii="仿宋" w:hAnsi="仿宋" w:eastAsia="仿宋" w:cs="仿宋"/>
                <w:sz w:val="24"/>
              </w:rPr>
            </w:pPr>
            <w:r>
              <w:rPr>
                <w:rFonts w:hint="eastAsia" w:ascii="仿宋" w:hAnsi="仿宋" w:eastAsia="仿宋" w:cs="仿宋"/>
                <w:sz w:val="24"/>
              </w:rPr>
              <w:t>4. 国产化环境专项运维保障：系统迁移至国产化服务器环境后，提供专属专项运维服务，包括国产化环境下系统日常巡检、性能优化、故障排查处置、安全补丁适配、漏洞修复、合规性升级，建立国产化环境专属运维台账，针对国产化平台特性优化运维流程，保障系统在国产化服务器环境下持续稳定运行；</w:t>
            </w:r>
          </w:p>
          <w:p w14:paraId="09D316E5">
            <w:pPr>
              <w:snapToGrid w:val="0"/>
              <w:spacing w:line="360" w:lineRule="auto"/>
              <w:rPr>
                <w:rFonts w:ascii="仿宋" w:hAnsi="仿宋" w:eastAsia="仿宋" w:cs="仿宋"/>
                <w:sz w:val="24"/>
              </w:rPr>
            </w:pPr>
            <w:r>
              <w:rPr>
                <w:rFonts w:hint="eastAsia" w:ascii="仿宋" w:hAnsi="仿宋" w:eastAsia="仿宋" w:cs="仿宋"/>
                <w:sz w:val="24"/>
              </w:rPr>
              <w:t>5. 合规适配与测评支撑：配合采购人完成信创建设合规验收、网络安全等级保护测评、医院信息互联互通标准化成熟度测评等相关工作，提供系统国产化适配证明、测试报告、技术支撑及整改服务，确保系统符合国家及地方交通、卫健、网信部门关于医疗信息化信创建设的最新政策要求；</w:t>
            </w:r>
          </w:p>
          <w:p w14:paraId="11CDD649">
            <w:pPr>
              <w:snapToGrid w:val="0"/>
              <w:spacing w:line="360" w:lineRule="auto"/>
              <w:rPr>
                <w:rFonts w:ascii="仿宋" w:hAnsi="仿宋" w:eastAsia="仿宋" w:cs="仿宋"/>
                <w:sz w:val="24"/>
              </w:rPr>
            </w:pPr>
            <w:r>
              <w:rPr>
                <w:rFonts w:hint="eastAsia" w:ascii="仿宋" w:hAnsi="仿宋" w:eastAsia="仿宋" w:cs="仿宋"/>
                <w:sz w:val="24"/>
              </w:rPr>
              <w:t>6. 国产化专项培训：针对国产化服务器环境下的系统运维、操作使用、故障应急处置，为采购人信息科技术人员、医护操作岗、管理岗人员提供专项定制化培训，编制专属培训教材，确保参训人员掌握对应技能。</w:t>
            </w:r>
          </w:p>
        </w:tc>
        <w:tc>
          <w:tcPr>
            <w:tcW w:w="672" w:type="pct"/>
            <w:tcMar>
              <w:top w:w="60" w:type="dxa"/>
              <w:left w:w="120" w:type="dxa"/>
              <w:bottom w:w="30" w:type="dxa"/>
              <w:right w:w="120" w:type="dxa"/>
            </w:tcMar>
            <w:vAlign w:val="center"/>
          </w:tcPr>
          <w:p w14:paraId="3B2E3ACC">
            <w:pPr>
              <w:snapToGrid w:val="0"/>
              <w:spacing w:line="360" w:lineRule="auto"/>
              <w:jc w:val="center"/>
              <w:rPr>
                <w:rFonts w:ascii="仿宋" w:hAnsi="仿宋" w:eastAsia="仿宋" w:cs="仿宋"/>
                <w:sz w:val="24"/>
              </w:rPr>
            </w:pPr>
            <w:r>
              <w:rPr>
                <w:rFonts w:hint="eastAsia" w:ascii="仿宋" w:hAnsi="仿宋" w:eastAsia="仿宋" w:cs="仿宋"/>
                <w:sz w:val="24"/>
              </w:rPr>
              <w:t>现场服务为主、远程辅助服务、专项驻场服务</w:t>
            </w:r>
          </w:p>
        </w:tc>
        <w:tc>
          <w:tcPr>
            <w:tcW w:w="757" w:type="pct"/>
            <w:tcMar>
              <w:top w:w="60" w:type="dxa"/>
              <w:left w:w="120" w:type="dxa"/>
              <w:bottom w:w="30" w:type="dxa"/>
              <w:right w:w="120" w:type="dxa"/>
            </w:tcMar>
            <w:vAlign w:val="center"/>
          </w:tcPr>
          <w:p w14:paraId="3BFDAF79">
            <w:pPr>
              <w:snapToGrid w:val="0"/>
              <w:spacing w:line="360" w:lineRule="auto"/>
              <w:jc w:val="center"/>
              <w:rPr>
                <w:rFonts w:ascii="仿宋" w:hAnsi="仿宋" w:eastAsia="仿宋" w:cs="仿宋"/>
                <w:sz w:val="24"/>
              </w:rPr>
            </w:pPr>
            <w:r>
              <w:rPr>
                <w:rFonts w:hint="eastAsia" w:ascii="仿宋" w:hAnsi="仿宋" w:eastAsia="仿宋" w:cs="仿宋"/>
                <w:sz w:val="24"/>
              </w:rPr>
              <w:t>按需提供全流程服务，服务期内不限响应次数；迁移完成后每月至少1次国产化环境专项巡检，每季度至少1次性能优化</w:t>
            </w:r>
          </w:p>
        </w:tc>
      </w:tr>
      <w:tr w14:paraId="51FCA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03" w:type="pct"/>
            <w:tcMar>
              <w:top w:w="60" w:type="dxa"/>
              <w:left w:w="120" w:type="dxa"/>
              <w:bottom w:w="30" w:type="dxa"/>
              <w:right w:w="120" w:type="dxa"/>
            </w:tcMar>
            <w:vAlign w:val="center"/>
          </w:tcPr>
          <w:p w14:paraId="76A3E348">
            <w:pPr>
              <w:snapToGrid w:val="0"/>
              <w:spacing w:line="360" w:lineRule="auto"/>
              <w:jc w:val="center"/>
              <w:rPr>
                <w:rFonts w:ascii="仿宋" w:hAnsi="仿宋" w:eastAsia="仿宋" w:cs="仿宋"/>
                <w:sz w:val="24"/>
              </w:rPr>
            </w:pPr>
            <w:r>
              <w:rPr>
                <w:rFonts w:hint="eastAsia" w:ascii="仿宋" w:hAnsi="仿宋" w:eastAsia="仿宋" w:cs="仿宋"/>
                <w:sz w:val="24"/>
              </w:rPr>
              <w:t>10</w:t>
            </w:r>
          </w:p>
        </w:tc>
        <w:tc>
          <w:tcPr>
            <w:tcW w:w="614" w:type="pct"/>
            <w:tcMar>
              <w:top w:w="60" w:type="dxa"/>
              <w:left w:w="120" w:type="dxa"/>
              <w:bottom w:w="30" w:type="dxa"/>
              <w:right w:w="120" w:type="dxa"/>
            </w:tcMar>
            <w:vAlign w:val="center"/>
          </w:tcPr>
          <w:p w14:paraId="7A35F794">
            <w:pPr>
              <w:snapToGrid w:val="0"/>
              <w:spacing w:line="360" w:lineRule="auto"/>
              <w:jc w:val="center"/>
              <w:rPr>
                <w:rFonts w:ascii="仿宋" w:hAnsi="仿宋" w:eastAsia="仿宋" w:cs="仿宋"/>
                <w:sz w:val="24"/>
              </w:rPr>
            </w:pPr>
            <w:r>
              <w:rPr>
                <w:rFonts w:hint="eastAsia" w:ascii="仿宋" w:hAnsi="仿宋" w:eastAsia="仿宋" w:cs="仿宋"/>
                <w:sz w:val="24"/>
              </w:rPr>
              <w:t>运维报告服务</w:t>
            </w:r>
          </w:p>
        </w:tc>
        <w:tc>
          <w:tcPr>
            <w:tcW w:w="2651" w:type="pct"/>
            <w:tcMar>
              <w:top w:w="60" w:type="dxa"/>
              <w:left w:w="120" w:type="dxa"/>
              <w:bottom w:w="30" w:type="dxa"/>
              <w:right w:w="120" w:type="dxa"/>
            </w:tcMar>
            <w:vAlign w:val="center"/>
          </w:tcPr>
          <w:p w14:paraId="3A1E2D6C">
            <w:pPr>
              <w:snapToGrid w:val="0"/>
              <w:spacing w:line="360" w:lineRule="auto"/>
              <w:rPr>
                <w:rFonts w:ascii="仿宋" w:hAnsi="仿宋" w:eastAsia="仿宋" w:cs="仿宋"/>
                <w:sz w:val="24"/>
              </w:rPr>
            </w:pPr>
            <w:r>
              <w:rPr>
                <w:rFonts w:hint="eastAsia" w:ascii="仿宋" w:hAnsi="仿宋" w:eastAsia="仿宋" w:cs="仿宋"/>
                <w:sz w:val="24"/>
              </w:rPr>
              <w:t>1. 每季度、每年提交阶段性运维报告，年度报告须包含全年服务总结、系统运行评估、安全合规情况、下一年度运维优化方案等；</w:t>
            </w:r>
          </w:p>
          <w:p w14:paraId="74215CC9">
            <w:pPr>
              <w:snapToGrid w:val="0"/>
              <w:spacing w:line="360" w:lineRule="auto"/>
              <w:rPr>
                <w:rFonts w:ascii="仿宋" w:hAnsi="仿宋" w:eastAsia="仿宋" w:cs="仿宋"/>
                <w:sz w:val="24"/>
              </w:rPr>
            </w:pPr>
            <w:r>
              <w:rPr>
                <w:rFonts w:hint="eastAsia" w:ascii="仿宋" w:hAnsi="仿宋" w:eastAsia="仿宋" w:cs="仿宋"/>
                <w:sz w:val="24"/>
              </w:rPr>
              <w:t>2. 重大故障、专项工作单独提交专项报告。</w:t>
            </w:r>
          </w:p>
        </w:tc>
        <w:tc>
          <w:tcPr>
            <w:tcW w:w="672" w:type="pct"/>
            <w:tcMar>
              <w:top w:w="60" w:type="dxa"/>
              <w:left w:w="120" w:type="dxa"/>
              <w:bottom w:w="30" w:type="dxa"/>
              <w:right w:w="120" w:type="dxa"/>
            </w:tcMar>
            <w:vAlign w:val="center"/>
          </w:tcPr>
          <w:p w14:paraId="6EA7D083">
            <w:pPr>
              <w:snapToGrid w:val="0"/>
              <w:spacing w:line="360" w:lineRule="auto"/>
              <w:jc w:val="center"/>
              <w:rPr>
                <w:rFonts w:ascii="仿宋" w:hAnsi="仿宋" w:eastAsia="仿宋" w:cs="仿宋"/>
                <w:sz w:val="24"/>
              </w:rPr>
            </w:pPr>
            <w:r>
              <w:rPr>
                <w:rFonts w:hint="eastAsia" w:ascii="仿宋" w:hAnsi="仿宋" w:eastAsia="仿宋" w:cs="仿宋"/>
                <w:sz w:val="24"/>
              </w:rPr>
              <w:t>书面盖章报告、电子文档</w:t>
            </w:r>
          </w:p>
        </w:tc>
        <w:tc>
          <w:tcPr>
            <w:tcW w:w="757" w:type="pct"/>
            <w:tcMar>
              <w:top w:w="60" w:type="dxa"/>
              <w:left w:w="120" w:type="dxa"/>
              <w:bottom w:w="30" w:type="dxa"/>
              <w:right w:w="120" w:type="dxa"/>
            </w:tcMar>
            <w:vAlign w:val="center"/>
          </w:tcPr>
          <w:p w14:paraId="5C3873A7">
            <w:pPr>
              <w:snapToGrid w:val="0"/>
              <w:spacing w:line="360" w:lineRule="auto"/>
              <w:jc w:val="center"/>
              <w:rPr>
                <w:rFonts w:ascii="仿宋" w:hAnsi="仿宋" w:eastAsia="仿宋" w:cs="仿宋"/>
                <w:sz w:val="24"/>
              </w:rPr>
            </w:pPr>
            <w:r>
              <w:rPr>
                <w:rFonts w:hint="eastAsia" w:ascii="仿宋" w:hAnsi="仿宋" w:eastAsia="仿宋" w:cs="仿宋"/>
                <w:sz w:val="24"/>
              </w:rPr>
              <w:t>每季度1次季报，每年1次年报，专项报告按需提交</w:t>
            </w:r>
          </w:p>
        </w:tc>
      </w:tr>
    </w:tbl>
    <w:p w14:paraId="67D5A989">
      <w:pPr>
        <w:snapToGrid w:val="0"/>
        <w:spacing w:line="360" w:lineRule="auto"/>
        <w:jc w:val="left"/>
        <w:rPr>
          <w:rFonts w:ascii="仿宋" w:hAnsi="仿宋" w:eastAsia="仿宋" w:cs="仿宋"/>
          <w:sz w:val="24"/>
        </w:rPr>
      </w:pPr>
      <w:r>
        <w:rPr>
          <w:rFonts w:hint="eastAsia" w:ascii="仿宋" w:hAnsi="仿宋" w:eastAsia="仿宋" w:cs="仿宋"/>
          <w:b/>
          <w:sz w:val="24"/>
        </w:rPr>
        <w:t>5. 售后服务方案与技术能力要求</w:t>
      </w:r>
    </w:p>
    <w:p w14:paraId="540C21F0">
      <w:pPr>
        <w:snapToGrid w:val="0"/>
        <w:spacing w:line="360" w:lineRule="auto"/>
        <w:jc w:val="left"/>
        <w:rPr>
          <w:rFonts w:ascii="仿宋" w:hAnsi="仿宋" w:eastAsia="仿宋" w:cs="仿宋"/>
          <w:sz w:val="24"/>
        </w:rPr>
      </w:pPr>
      <w:r>
        <w:rPr>
          <w:rFonts w:hint="eastAsia" w:ascii="仿宋" w:hAnsi="仿宋" w:eastAsia="仿宋" w:cs="仿宋"/>
          <w:b/>
          <w:sz w:val="24"/>
        </w:rPr>
        <w:t>5.1 售后服务方案要求</w:t>
      </w:r>
    </w:p>
    <w:p w14:paraId="72F36E2F">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服务商须根据采购人信息化建设现状、系统使用情况、业务运行特点，制定详尽、可落地的售后服务方案，方案须至少包含以下内容：</w:t>
      </w:r>
    </w:p>
    <w:p w14:paraId="2F38072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5.1.1 售后运维服务的整体承诺、服务级别保障承诺；</w:t>
      </w:r>
    </w:p>
    <w:p w14:paraId="2E43D8B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5.1.2 售后运维服务的详细内容、实施流程、操作规范；</w:t>
      </w:r>
    </w:p>
    <w:p w14:paraId="75178FC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5.1.3 各故障等级的应急处置措施、业务连续性保障方案；</w:t>
      </w:r>
    </w:p>
    <w:p w14:paraId="17E0DD5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5.1.4 售后运维服务全流程管理制度、质量管控体系；</w:t>
      </w:r>
    </w:p>
    <w:p w14:paraId="25B3F31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5.1.5 数据安全事件、系统瘫痪等突发场景的专项应急预案；</w:t>
      </w:r>
    </w:p>
    <w:p w14:paraId="2AE4BF9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5.1.6 运维服务人员的岗位职责、考核方案、奖惩机制；</w:t>
      </w:r>
    </w:p>
    <w:p w14:paraId="2F417A4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5.1.7 合规性保障方案、等保合规配合方案、个人信息保护专项方案；</w:t>
      </w:r>
    </w:p>
    <w:p w14:paraId="23A7CC8E">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5.1.8 服务器端国产化替代专项服务方案与专项应急预案。</w:t>
      </w:r>
    </w:p>
    <w:p w14:paraId="75A5415B">
      <w:pPr>
        <w:snapToGrid w:val="0"/>
        <w:spacing w:line="360" w:lineRule="auto"/>
        <w:jc w:val="left"/>
        <w:rPr>
          <w:rFonts w:ascii="仿宋" w:hAnsi="仿宋" w:eastAsia="仿宋" w:cs="仿宋"/>
          <w:sz w:val="24"/>
        </w:rPr>
      </w:pPr>
      <w:r>
        <w:rPr>
          <w:rFonts w:hint="eastAsia" w:ascii="仿宋" w:hAnsi="仿宋" w:eastAsia="仿宋" w:cs="仿宋"/>
          <w:b/>
          <w:sz w:val="24"/>
        </w:rPr>
        <w:t>5.2 技术能力与人员要求</w:t>
      </w:r>
    </w:p>
    <w:p w14:paraId="3CA95CD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5.2.1 服务商须提供本项目售后服务专属团队组织架构，明确项目负责人、技术负责人、现场运维人员、安全专项人员、应急保障人员的岗位职责与联系方式，确保 7×24 小时可联系。</w:t>
      </w:r>
    </w:p>
    <w:p w14:paraId="71034E6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5.2.2 本项目专属技术团队人员不少于 5 名，团队人员须满足以下资质要求：</w:t>
      </w:r>
    </w:p>
    <w:p w14:paraId="7F822E40">
      <w:pPr>
        <w:pStyle w:val="34"/>
        <w:numPr>
          <w:ilvl w:val="0"/>
          <w:numId w:val="5"/>
        </w:numPr>
        <w:snapToGrid w:val="0"/>
        <w:spacing w:line="360" w:lineRule="auto"/>
        <w:ind w:left="0" w:firstLine="480"/>
        <w:jc w:val="left"/>
        <w:rPr>
          <w:rFonts w:ascii="仿宋" w:hAnsi="仿宋" w:eastAsia="仿宋" w:cs="仿宋"/>
          <w:sz w:val="24"/>
        </w:rPr>
      </w:pPr>
      <w:r>
        <w:rPr>
          <w:rFonts w:hint="eastAsia" w:ascii="仿宋" w:hAnsi="仿宋" w:eastAsia="仿宋" w:cs="仿宋"/>
          <w:sz w:val="24"/>
        </w:rPr>
        <w:t>项目负责人须具备 3 年以上医疗信息化系统运维项目管理经验；</w:t>
      </w:r>
    </w:p>
    <w:p w14:paraId="5314F9D9">
      <w:pPr>
        <w:pStyle w:val="34"/>
        <w:numPr>
          <w:ilvl w:val="0"/>
          <w:numId w:val="5"/>
        </w:numPr>
        <w:snapToGrid w:val="0"/>
        <w:spacing w:line="360" w:lineRule="auto"/>
        <w:ind w:left="0" w:firstLine="480"/>
        <w:jc w:val="left"/>
        <w:rPr>
          <w:rFonts w:ascii="仿宋" w:hAnsi="仿宋" w:eastAsia="仿宋" w:cs="仿宋"/>
          <w:sz w:val="24"/>
        </w:rPr>
      </w:pPr>
      <w:r>
        <w:rPr>
          <w:rFonts w:hint="eastAsia" w:ascii="仿宋" w:hAnsi="仿宋" w:eastAsia="仿宋" w:cs="仿宋"/>
          <w:sz w:val="24"/>
        </w:rPr>
        <w:t>技术团队须包含至少 1 名数据库工程师、1 名网络安全工程师，所有运维人员须具备对应系统的原厂运维认证资质；</w:t>
      </w:r>
    </w:p>
    <w:p w14:paraId="5D5EDE03">
      <w:pPr>
        <w:pStyle w:val="34"/>
        <w:numPr>
          <w:ilvl w:val="0"/>
          <w:numId w:val="5"/>
        </w:numPr>
        <w:snapToGrid w:val="0"/>
        <w:spacing w:line="360" w:lineRule="auto"/>
        <w:ind w:left="0" w:firstLine="480"/>
        <w:jc w:val="left"/>
        <w:rPr>
          <w:rFonts w:ascii="仿宋" w:hAnsi="仿宋" w:eastAsia="仿宋" w:cs="仿宋"/>
          <w:sz w:val="24"/>
        </w:rPr>
      </w:pPr>
      <w:r>
        <w:rPr>
          <w:rFonts w:hint="eastAsia" w:ascii="仿宋" w:hAnsi="仿宋" w:eastAsia="仿宋" w:cs="仿宋"/>
          <w:sz w:val="24"/>
        </w:rPr>
        <w:t>提供团队所有人员近 3 个月的社保缴纳证明材料，确保人员稳定，未经采购人书面同意，不得擅自更换项目核心人员。</w:t>
      </w:r>
    </w:p>
    <w:p w14:paraId="792095F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5.2.3 服务商须具备完善的技术支撑体系，具备原厂级研发与维护能力，可提供系统源代码级的故障修复、功能适配服务，具备本地化服务能力，确保应急处置时效。</w:t>
      </w:r>
    </w:p>
    <w:p w14:paraId="12931906">
      <w:pPr>
        <w:snapToGrid w:val="0"/>
        <w:spacing w:line="360" w:lineRule="auto"/>
        <w:jc w:val="left"/>
        <w:rPr>
          <w:rFonts w:ascii="仿宋" w:hAnsi="仿宋" w:eastAsia="仿宋" w:cs="仿宋"/>
          <w:sz w:val="24"/>
        </w:rPr>
      </w:pPr>
      <w:r>
        <w:rPr>
          <w:rFonts w:hint="eastAsia" w:ascii="仿宋" w:hAnsi="仿宋" w:eastAsia="仿宋" w:cs="仿宋"/>
          <w:b/>
          <w:sz w:val="24"/>
        </w:rPr>
        <w:t>6. 数据安全与信息保密要求</w:t>
      </w:r>
    </w:p>
    <w:p w14:paraId="5EA3E4B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本条款严格遵循《数据安全法》《个人信息保护法》《医疗卫生机构网络安全管理办法》《医疗卫生数据安全指南》制定，为项目刚性要求，具体如下：</w:t>
      </w:r>
    </w:p>
    <w:p w14:paraId="6392B8D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6.1 服务商须建立完善的数据安全管理制度、全生命周期数据保护体系、个人信息保护管理制度，符合国家医疗数据分类分级保护相关要求，明确数据安全责任部门与专职技术人员，提供专职人员近 3 年的社保缴纳证明材料。</w:t>
      </w:r>
    </w:p>
    <w:p w14:paraId="64D5B57E">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6.2 服务商须与采购人签订专项数据安全与保密协议，同时与所有参与本项目的服务人员签订保密协议，明确保密义务、保密范围、保密期限（含在职期间及离职后终身保密）与违约责任，相关协议文本须提交采购人备案。</w:t>
      </w:r>
    </w:p>
    <w:p w14:paraId="3BB2C53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6.3 服务商须严格遵守国家法律法规，对服务过程中接触、获取的所有医疗数据、患者个人信息、生命体征数据、医院业务数据、涉密信息等，仅可用于本项目运维服务工作，不得擅自复制、存储、泄露、转让、篡改、销毁，不得用于任何商业用途或其他未经授权的用途。</w:t>
      </w:r>
    </w:p>
    <w:p w14:paraId="6C5EFC2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6.4 服务商的远程运维操作须经过采购人书面审批，采用加密安全接入方式，全程留痕，审计日志留存不少于 6 个月；严禁未经授权的远程操作，严禁将系统接入公共互联网进行运维操作。</w:t>
      </w:r>
    </w:p>
    <w:p w14:paraId="0883E3F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6.5 服务商须建立数据安全事件应急处置机制，发生数据泄露、篡改、丢失等安全事件时，须 10 分钟内响应，第一时间通知采购人，同步启动应急预案，采取处置措施防止事件扩大，配合采购人完成监管上报、事件调查等工作，并承担全部法律责任与经济损失。</w:t>
      </w:r>
    </w:p>
    <w:p w14:paraId="5CAFB9C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6.6 国产化迁移实施过程中，须严格遵循采购人数据安全管理规定，制定专项数据迁移安全方案，全程加密传输数据，做好全量数据备份与一致性校验，确保迁移过程数据全生命周期安全。</w:t>
      </w:r>
    </w:p>
    <w:p w14:paraId="2A15A9F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6.7 服务期结束后，服务商须将所有运维相关数据、文档、材料完整移交采购人，彻底删除所持有的采购人全部数据，不得留存任何副本，并向采购人出具数据删除承诺书。</w:t>
      </w:r>
    </w:p>
    <w:p w14:paraId="608039C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6.8 服务商须配合采购人完成数据安全检查、网络安全审计、等保测评等相关工作，提供对应的技术支撑与整改服务。</w:t>
      </w:r>
    </w:p>
    <w:p w14:paraId="1F133ADB">
      <w:pPr>
        <w:snapToGrid w:val="0"/>
        <w:spacing w:line="360" w:lineRule="auto"/>
        <w:jc w:val="left"/>
        <w:rPr>
          <w:rFonts w:ascii="仿宋" w:hAnsi="仿宋" w:eastAsia="仿宋" w:cs="仿宋"/>
          <w:sz w:val="24"/>
        </w:rPr>
      </w:pPr>
      <w:r>
        <w:rPr>
          <w:rFonts w:hint="eastAsia" w:ascii="仿宋" w:hAnsi="仿宋" w:eastAsia="仿宋" w:cs="仿宋"/>
          <w:b/>
          <w:sz w:val="24"/>
        </w:rPr>
        <w:t>三、商务要求</w:t>
      </w:r>
    </w:p>
    <w:p w14:paraId="4F6605B0">
      <w:pPr>
        <w:snapToGrid w:val="0"/>
        <w:spacing w:line="360" w:lineRule="auto"/>
        <w:jc w:val="left"/>
        <w:rPr>
          <w:rFonts w:ascii="仿宋" w:hAnsi="仿宋" w:eastAsia="仿宋" w:cs="仿宋"/>
          <w:sz w:val="24"/>
        </w:rPr>
      </w:pPr>
      <w:r>
        <w:rPr>
          <w:rFonts w:hint="eastAsia" w:ascii="仿宋" w:hAnsi="仿宋" w:eastAsia="仿宋" w:cs="仿宋"/>
          <w:b/>
          <w:sz w:val="24"/>
        </w:rPr>
        <w:t>1. 合同核心内容</w:t>
      </w:r>
    </w:p>
    <w:p w14:paraId="4DFF95AF">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合同标的为成交供应商提供的本文件约定的全部运维服务、服务器端国产化替代专项技术服务，合同内容包含采购文件、成交供应商的响应文件、采购协商记录、服务承诺、成交通知书、合同文本等全部文件，成交总金额为合同固定总价，包含服务期内完成全部服务所需的人工、材料、设备、开发、测试、税费、培训、应急保障等所有费用，采购人无需额外支付任何费用。</w:t>
      </w:r>
    </w:p>
    <w:p w14:paraId="66E03DAF">
      <w:pPr>
        <w:snapToGrid w:val="0"/>
        <w:spacing w:line="360" w:lineRule="auto"/>
        <w:jc w:val="left"/>
        <w:rPr>
          <w:rFonts w:ascii="仿宋" w:hAnsi="仿宋" w:eastAsia="仿宋" w:cs="仿宋"/>
          <w:sz w:val="24"/>
        </w:rPr>
      </w:pPr>
      <w:r>
        <w:rPr>
          <w:rFonts w:hint="eastAsia" w:ascii="仿宋" w:hAnsi="仿宋" w:eastAsia="仿宋" w:cs="仿宋"/>
          <w:b/>
          <w:sz w:val="24"/>
        </w:rPr>
        <w:t>2. 服务地点</w:t>
      </w:r>
    </w:p>
    <w:p w14:paraId="38337BF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陕西省交通医院本部及所有分院区、采购人指定的其他服务场所。</w:t>
      </w:r>
    </w:p>
    <w:p w14:paraId="6FB72234">
      <w:pPr>
        <w:snapToGrid w:val="0"/>
        <w:spacing w:line="360" w:lineRule="auto"/>
        <w:jc w:val="left"/>
        <w:rPr>
          <w:rFonts w:ascii="仿宋" w:hAnsi="仿宋" w:eastAsia="仿宋" w:cs="仿宋"/>
          <w:sz w:val="24"/>
        </w:rPr>
      </w:pPr>
      <w:r>
        <w:rPr>
          <w:rFonts w:hint="eastAsia" w:ascii="仿宋" w:hAnsi="仿宋" w:eastAsia="仿宋" w:cs="仿宋"/>
          <w:b/>
          <w:sz w:val="24"/>
        </w:rPr>
        <w:t>3. 服务期限</w:t>
      </w:r>
    </w:p>
    <w:p w14:paraId="573D484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本项目服务期限为 1 年，自合同签订之日起计算。服务期内，服务商服务质量持续不达标，采购人有权提前终止合同。</w:t>
      </w:r>
    </w:p>
    <w:p w14:paraId="6E399A67">
      <w:pPr>
        <w:snapToGrid w:val="0"/>
        <w:spacing w:line="360" w:lineRule="auto"/>
        <w:jc w:val="left"/>
        <w:rPr>
          <w:rFonts w:ascii="仿宋" w:hAnsi="仿宋" w:eastAsia="仿宋" w:cs="仿宋"/>
          <w:sz w:val="24"/>
        </w:rPr>
      </w:pPr>
      <w:r>
        <w:rPr>
          <w:rFonts w:hint="eastAsia" w:ascii="仿宋" w:hAnsi="仿宋" w:eastAsia="仿宋" w:cs="仿宋"/>
          <w:b/>
          <w:sz w:val="24"/>
        </w:rPr>
        <w:t>4. 项目考核与验收</w:t>
      </w:r>
    </w:p>
    <w:p w14:paraId="19AF8A4C">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1</w:t>
      </w:r>
    </w:p>
    <w:p w14:paraId="046D0F25">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2</w:t>
      </w:r>
    </w:p>
    <w:p w14:paraId="28B8DA1C">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3</w:t>
      </w:r>
    </w:p>
    <w:p w14:paraId="705ED895">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4</w:t>
      </w:r>
    </w:p>
    <w:p w14:paraId="358D8645">
      <w:pPr>
        <w:pStyle w:val="34"/>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4.1本项目采用年度总验收的方式，由采购人信息科牵头，联合医务科、内一科、财务科等相关部门，或邀请外部专家开展考核评价与验收工作，成交供应商须无条件配合，并提供全部所需的运维记录、报告等资料。</w:t>
      </w:r>
    </w:p>
    <w:p w14:paraId="104E2019">
      <w:pPr>
        <w:pStyle w:val="34"/>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4.2考核标准：严格按照本文件附件《信息系统售后运维服务质量评价标准》执行，评分满分 100 分。90 分（含）-100 分为优秀，70 分（含）-89 分为合格，70 分以下为不合格。</w:t>
      </w:r>
    </w:p>
    <w:p w14:paraId="275ECA09">
      <w:pPr>
        <w:pStyle w:val="34"/>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4.3验收依据：本采购文件、成交供应商响应文件、合同文本、国家及行业现行相关标准规范、考核记录、运维服务报告、服务满意度调查结果、项目考核汇总表等。</w:t>
      </w:r>
    </w:p>
    <w:p w14:paraId="1D6FDC19">
      <w:pPr>
        <w:pStyle w:val="34"/>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4.4年度验收合格的前提：服务期内无重大数据安全事件、无重大服务质量投诉、无因服务商责任导致的医疗业务重大中断事故，年度考核评分≥70 分。</w:t>
      </w:r>
    </w:p>
    <w:p w14:paraId="2B76A904">
      <w:pPr>
        <w:snapToGrid w:val="0"/>
        <w:spacing w:line="360" w:lineRule="auto"/>
        <w:jc w:val="left"/>
        <w:rPr>
          <w:rFonts w:ascii="仿宋" w:hAnsi="仿宋" w:eastAsia="仿宋" w:cs="仿宋"/>
          <w:sz w:val="24"/>
        </w:rPr>
      </w:pPr>
      <w:r>
        <w:rPr>
          <w:rFonts w:hint="eastAsia" w:ascii="仿宋" w:hAnsi="仿宋" w:eastAsia="仿宋" w:cs="仿宋"/>
          <w:b/>
          <w:sz w:val="24"/>
        </w:rPr>
        <w:t>5. 结算与付款方式</w:t>
      </w:r>
    </w:p>
    <w:p w14:paraId="56B7FB80">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1</w:t>
      </w:r>
    </w:p>
    <w:p w14:paraId="54921DFE">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2</w:t>
      </w:r>
    </w:p>
    <w:p w14:paraId="2AF09E59">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3</w:t>
      </w:r>
    </w:p>
    <w:p w14:paraId="111AEF1E">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4</w:t>
      </w:r>
    </w:p>
    <w:p w14:paraId="337C800E">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5</w:t>
      </w:r>
    </w:p>
    <w:p w14:paraId="7D5F5089">
      <w:pPr>
        <w:pStyle w:val="34"/>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5.1结算主体为采购人，结算前，成交供应商须向采购人开具合法、等额、有效的发票，采购人收到发票后按以下约定付款，因供应商发票开具不合规导致的付款延误，由供应商自行承担全部责任。</w:t>
      </w:r>
    </w:p>
    <w:p w14:paraId="561AD253">
      <w:pPr>
        <w:pStyle w:val="34"/>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5.2付款方式：</w:t>
      </w:r>
    </w:p>
    <w:p w14:paraId="57A247F5">
      <w:pPr>
        <w:pStyle w:val="34"/>
        <w:snapToGrid w:val="0"/>
        <w:spacing w:line="360" w:lineRule="auto"/>
        <w:ind w:left="420" w:leftChars="200" w:firstLine="0" w:firstLineChars="0"/>
        <w:jc w:val="left"/>
        <w:rPr>
          <w:rFonts w:ascii="仿宋" w:hAnsi="仿宋" w:eastAsia="仿宋" w:cs="仿宋"/>
          <w:sz w:val="24"/>
        </w:rPr>
      </w:pPr>
      <w:r>
        <w:rPr>
          <w:rFonts w:hint="eastAsia" w:ascii="仿宋" w:hAnsi="仿宋" w:eastAsia="仿宋" w:cs="仿宋"/>
          <w:sz w:val="24"/>
        </w:rPr>
        <w:t>第一笔款项：双方签订合同后 5 日内付合同价款的 50%；</w:t>
      </w:r>
    </w:p>
    <w:p w14:paraId="44DE38AA">
      <w:pPr>
        <w:pStyle w:val="34"/>
        <w:snapToGrid w:val="0"/>
        <w:spacing w:line="360" w:lineRule="auto"/>
        <w:ind w:left="420" w:leftChars="200" w:firstLine="0" w:firstLineChars="0"/>
        <w:jc w:val="left"/>
        <w:rPr>
          <w:rFonts w:ascii="仿宋" w:hAnsi="仿宋" w:eastAsia="仿宋" w:cs="仿宋"/>
          <w:sz w:val="24"/>
        </w:rPr>
      </w:pPr>
      <w:r>
        <w:rPr>
          <w:rFonts w:hint="eastAsia" w:ascii="仿宋" w:hAnsi="仿宋" w:eastAsia="仿宋" w:cs="仿宋"/>
          <w:sz w:val="24"/>
        </w:rPr>
        <w:t>第二笔款项：服务期满后，采购人组织完成年度考核验收后 7 个工作日内，根据考核结果支付剩余合同价款：</w:t>
      </w:r>
    </w:p>
    <w:p w14:paraId="4B125E68">
      <w:pPr>
        <w:pStyle w:val="34"/>
        <w:snapToGrid w:val="0"/>
        <w:spacing w:line="360" w:lineRule="auto"/>
        <w:ind w:firstLine="48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 50% 价款；</w:t>
      </w:r>
    </w:p>
    <w:p w14:paraId="355935AE">
      <w:pPr>
        <w:pStyle w:val="34"/>
        <w:snapToGrid w:val="0"/>
        <w:spacing w:line="360" w:lineRule="auto"/>
        <w:ind w:firstLine="48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 10% 作为违约金，支付合同剩余 40% 价款；</w:t>
      </w:r>
    </w:p>
    <w:p w14:paraId="31C365B3">
      <w:pPr>
        <w:pStyle w:val="34"/>
        <w:snapToGrid w:val="0"/>
        <w:spacing w:line="360" w:lineRule="auto"/>
        <w:ind w:firstLine="48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 50% 价款，同时保留追究供应商违约责任的权利。</w:t>
      </w:r>
    </w:p>
    <w:p w14:paraId="50A59DF3">
      <w:pPr>
        <w:snapToGrid w:val="0"/>
        <w:spacing w:line="360" w:lineRule="auto"/>
        <w:jc w:val="left"/>
        <w:rPr>
          <w:rFonts w:ascii="仿宋" w:hAnsi="仿宋" w:eastAsia="仿宋" w:cs="仿宋"/>
          <w:sz w:val="24"/>
        </w:rPr>
      </w:pPr>
      <w:r>
        <w:rPr>
          <w:rFonts w:hint="eastAsia" w:ascii="仿宋" w:hAnsi="仿宋" w:eastAsia="仿宋" w:cs="仿宋"/>
          <w:b/>
          <w:sz w:val="24"/>
        </w:rPr>
        <w:t>6. 知识产权条款</w:t>
      </w:r>
    </w:p>
    <w:p w14:paraId="23FE6CAF">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6.1 供应商须保证，其提供的运维服务、软件更新、升级服务及相关技术成果，不会出现任何第三方提出侵犯其专利权、商标权、著作权或其他知识产权的主张或诉讼，如发生前述情形，由供应商承担全部法律责任，并赔偿采购人因此遭受的全部经济损失。</w:t>
      </w:r>
    </w:p>
    <w:p w14:paraId="166A43E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6.2 本项目涉及系统的软件著作权、知识产权归原权利人所有，供应商仅可基于本项目运维服务目的，在采购人授权范围内使用相关软件及技术资料，不得擅自复制、分发、转让、反编译、反向工程，不得用于任何其他用途。</w:t>
      </w:r>
    </w:p>
    <w:p w14:paraId="16D2DD0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6.3 服务期内，采购人基于系统使用产生的全部医疗数据、业务数据、患者个人信息、生命体征数据等所有数据的所有权、使用权均归采购人所有，供应商不得主张任何权利，不得擅自使用。</w:t>
      </w:r>
    </w:p>
    <w:p w14:paraId="17EB9B6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6.4 供应商为采购人提供的定制化功能开发、政策适配升级、技术方案等成果，知识产权归采购人所有，供应商仅可保留非商业用途的技术使用权。</w:t>
      </w:r>
    </w:p>
    <w:p w14:paraId="112FADA4">
      <w:pPr>
        <w:snapToGrid w:val="0"/>
        <w:spacing w:line="360" w:lineRule="auto"/>
        <w:jc w:val="left"/>
        <w:rPr>
          <w:rFonts w:ascii="仿宋" w:hAnsi="仿宋" w:eastAsia="仿宋" w:cs="仿宋"/>
          <w:sz w:val="24"/>
        </w:rPr>
      </w:pPr>
      <w:r>
        <w:rPr>
          <w:rFonts w:hint="eastAsia" w:ascii="仿宋" w:hAnsi="仿宋" w:eastAsia="仿宋" w:cs="仿宋"/>
          <w:b/>
          <w:sz w:val="24"/>
        </w:rPr>
        <w:t>7. 违约责任</w:t>
      </w:r>
    </w:p>
    <w:p w14:paraId="4E7008F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7.1 本合同违约责任严格按照《中华人民共和国民法典》相关条款执行。</w:t>
      </w:r>
    </w:p>
    <w:p w14:paraId="00DA99D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7.2 供应商未按合同约定提供服务，或服务质量、响应时效、技术能力不满足合同要求，采购人有权按《服务质量评价标准》扣除对应款项，并要求供应商限期整改；整改后仍无法满足合同要求的，采购人有权扣除对应合同款项，直至单方面解除合同，供应商须承担采购人因此遭受的全部损失。</w:t>
      </w:r>
    </w:p>
    <w:p w14:paraId="4213BB0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7.3 供应商未按故障 SLA 要求完成响应与故障处置的，每出现一次一级故障超时，扣除合同总价款的 5%；每出现一次二级故障超时，扣除合同总价款的 2%；三级、四级故障超时，按评价标准扣除对应分值，并累计扣除合同款项。因供应商故障处置不及时导致医院业务中断、产生医疗纠纷或监管处罚的，全部责任与经济损失由供应商承担。</w:t>
      </w:r>
    </w:p>
    <w:p w14:paraId="71B9757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7.4 供应商违反数据安全与保密约定，发生数据泄露、篡改、丢失等事件，或擅自使用、转让采购人数据的，采购人有权立即解除合同，不予支付剩余全部合同款项，供应商须支付合同总价款 30% 的违约金，同时承担全部法律责任，赔偿采购人因此遭受的全部经济损失（含监管处罚、民事赔偿、商誉损失等）。</w:t>
      </w:r>
    </w:p>
    <w:p w14:paraId="6A3784AE">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7.5 供应商未经采购人同意，擅自更换项目核心人员、转包 / 分包本项目服务的，采购人有权扣除合同总价款的 10% 作为违约金，情节严重的，有权解除合同。</w:t>
      </w:r>
    </w:p>
    <w:p w14:paraId="6E4BBC20">
      <w:pPr>
        <w:snapToGrid w:val="0"/>
        <w:spacing w:line="360" w:lineRule="auto"/>
        <w:jc w:val="left"/>
        <w:rPr>
          <w:rFonts w:ascii="仿宋" w:hAnsi="仿宋" w:eastAsia="仿宋" w:cs="仿宋"/>
          <w:sz w:val="24"/>
        </w:rPr>
      </w:pPr>
      <w:r>
        <w:rPr>
          <w:rFonts w:hint="eastAsia" w:ascii="仿宋" w:hAnsi="仿宋" w:eastAsia="仿宋" w:cs="仿宋"/>
          <w:b/>
          <w:sz w:val="24"/>
        </w:rPr>
        <w:t>8. 其他约定</w:t>
      </w:r>
    </w:p>
    <w:p w14:paraId="57D2672F">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8.1 本项目技术要求与商务要求为合同核心条款，不允许任何负偏离，供应商响应文件须对所有条款作出完全响应承诺，负偏离响应将按无效响应处理。</w:t>
      </w:r>
    </w:p>
    <w:p w14:paraId="30AA362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8.2 服务期内，如遇国家政策法规、行业标准发生重大调整，采购人有权对服务内容与要求进行合规性调整，供应商须无条件配合，不得额外收取费用。</w:t>
      </w:r>
    </w:p>
    <w:p w14:paraId="5C6983C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8.3 本文件未尽事宜，由双方在合同中另行约定，约定内容不得违反本文件的核心要求与国家相关法律法规。</w:t>
      </w:r>
    </w:p>
    <w:p w14:paraId="25289939">
      <w:pPr>
        <w:rPr>
          <w:rFonts w:ascii="仿宋" w:hAnsi="仿宋" w:eastAsia="仿宋" w:cs="仿宋"/>
          <w:b/>
          <w:bCs/>
          <w:sz w:val="24"/>
        </w:rPr>
      </w:pPr>
    </w:p>
    <w:p w14:paraId="32B296C5">
      <w:pPr>
        <w:rPr>
          <w:rFonts w:ascii="仿宋" w:hAnsi="仿宋" w:eastAsia="仿宋" w:cs="仿宋"/>
          <w:b/>
          <w:bCs/>
          <w:sz w:val="24"/>
        </w:rPr>
        <w:sectPr>
          <w:headerReference r:id="rId16" w:type="default"/>
          <w:footerReference r:id="rId17" w:type="default"/>
          <w:pgSz w:w="11906" w:h="16838"/>
          <w:pgMar w:top="1440" w:right="1417" w:bottom="1440" w:left="1587" w:header="850" w:footer="992" w:gutter="0"/>
          <w:cols w:space="720" w:num="1"/>
          <w:docGrid w:type="lines" w:linePitch="317" w:charSpace="0"/>
        </w:sectPr>
      </w:pPr>
    </w:p>
    <w:p w14:paraId="4B11B0D5">
      <w:pPr>
        <w:pStyle w:val="3"/>
        <w:spacing w:line="360" w:lineRule="auto"/>
        <w:jc w:val="both"/>
        <w:rPr>
          <w:rFonts w:ascii="仿宋" w:hAnsi="仿宋" w:eastAsia="仿宋" w:cs="仿宋"/>
          <w:b/>
          <w:bCs/>
          <w:sz w:val="24"/>
          <w:szCs w:val="24"/>
          <w:lang w:eastAsia="zh-CN"/>
        </w:rPr>
      </w:pPr>
      <w:r>
        <w:rPr>
          <w:rFonts w:hint="eastAsia" w:ascii="仿宋" w:hAnsi="仿宋" w:eastAsia="仿宋" w:cs="仿宋"/>
          <w:b/>
          <w:bCs/>
          <w:sz w:val="24"/>
          <w:szCs w:val="24"/>
          <w:lang w:eastAsia="zh-CN"/>
        </w:rPr>
        <w:t>合同包6-采购需求（医院感染实时监测信息系统售后服务）</w:t>
      </w:r>
    </w:p>
    <w:p w14:paraId="4CF4F87A">
      <w:pPr>
        <w:snapToGrid w:val="0"/>
        <w:spacing w:line="360" w:lineRule="auto"/>
        <w:jc w:val="left"/>
        <w:rPr>
          <w:rFonts w:ascii="仿宋" w:hAnsi="仿宋" w:eastAsia="仿宋" w:cs="仿宋"/>
          <w:sz w:val="24"/>
        </w:rPr>
      </w:pPr>
      <w:r>
        <w:rPr>
          <w:rFonts w:hint="eastAsia" w:ascii="仿宋" w:hAnsi="仿宋" w:eastAsia="仿宋" w:cs="仿宋"/>
          <w:b/>
          <w:sz w:val="24"/>
        </w:rPr>
        <w:t>一、项目概述</w:t>
      </w:r>
    </w:p>
    <w:p w14:paraId="5AA4F97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采购人自2020年5月启用《院内感染监测系统》以来，该系统用于医院感染实时监测、预警、上报、统计分析，包括病例监测、多重耐药菌监测、抗菌药物监测、报表上报等核心业务，现委托具备原厂维护授权、专业医疗信息化运维服务能力的供应商，提供全流程售后运维与技术支持服务，完善运维管理体系，提升系统稳定性、安全性与合规性。</w:t>
      </w:r>
    </w:p>
    <w:p w14:paraId="0D95CA3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项目为单一来源采购项目，服务商须为系统原软件厂商，或取得原厂商针对本项目出具的唯一专项授权文件，具备系统源代码级维护、原厂补丁更新、合规性升级的完整技术能力，确保服务的合法性、连续性与技术匹配性。</w:t>
      </w:r>
    </w:p>
    <w:p w14:paraId="33AB3161">
      <w:pPr>
        <w:snapToGrid w:val="0"/>
        <w:spacing w:line="360" w:lineRule="auto"/>
        <w:jc w:val="left"/>
        <w:rPr>
          <w:rFonts w:ascii="仿宋" w:hAnsi="仿宋" w:eastAsia="仿宋" w:cs="仿宋"/>
          <w:sz w:val="24"/>
        </w:rPr>
      </w:pPr>
      <w:r>
        <w:rPr>
          <w:rFonts w:hint="eastAsia" w:ascii="仿宋" w:hAnsi="仿宋" w:eastAsia="仿宋" w:cs="仿宋"/>
          <w:b/>
          <w:sz w:val="24"/>
        </w:rPr>
        <w:t>二、技术要求</w:t>
      </w:r>
    </w:p>
    <w:p w14:paraId="53A20798">
      <w:pPr>
        <w:snapToGrid w:val="0"/>
        <w:spacing w:line="360" w:lineRule="auto"/>
        <w:jc w:val="left"/>
        <w:rPr>
          <w:rFonts w:ascii="仿宋" w:hAnsi="仿宋" w:eastAsia="仿宋" w:cs="仿宋"/>
          <w:sz w:val="24"/>
        </w:rPr>
      </w:pPr>
      <w:r>
        <w:rPr>
          <w:rFonts w:hint="eastAsia" w:ascii="仿宋" w:hAnsi="仿宋" w:eastAsia="仿宋" w:cs="仿宋"/>
          <w:b/>
          <w:sz w:val="24"/>
        </w:rPr>
        <w:t>1. 名词解释</w:t>
      </w:r>
    </w:p>
    <w:p w14:paraId="1D7A439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本文件所涉及名词定义严格遵循国家信息技术服务标准（ITSS）、医疗信息化行业规范及相关法律法规，具体如下：</w:t>
      </w:r>
    </w:p>
    <w:p w14:paraId="70839A1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1.1 </w:t>
      </w:r>
      <w:r>
        <w:rPr>
          <w:rFonts w:hint="eastAsia" w:ascii="仿宋" w:hAnsi="仿宋" w:eastAsia="仿宋" w:cs="仿宋"/>
          <w:b/>
          <w:sz w:val="24"/>
        </w:rPr>
        <w:t>维护</w:t>
      </w:r>
      <w:r>
        <w:rPr>
          <w:rFonts w:hint="eastAsia" w:ascii="仿宋" w:hAnsi="仿宋" w:eastAsia="仿宋" w:cs="仿宋"/>
          <w:sz w:val="24"/>
        </w:rPr>
        <w:t>：指服务供应商为采购人提供许可软件的全生命周期技术支撑，包括但不限于故障排查与修复、技术指导、运行优化、合规适配、安全加固等服务工作的总称。</w:t>
      </w:r>
    </w:p>
    <w:p w14:paraId="6B4ADB4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1.2 </w:t>
      </w:r>
      <w:r>
        <w:rPr>
          <w:rFonts w:hint="eastAsia" w:ascii="仿宋" w:hAnsi="仿宋" w:eastAsia="仿宋" w:cs="仿宋"/>
          <w:b/>
          <w:sz w:val="24"/>
        </w:rPr>
        <w:t>现场</w:t>
      </w:r>
      <w:r>
        <w:rPr>
          <w:rFonts w:hint="eastAsia" w:ascii="仿宋" w:hAnsi="仿宋" w:eastAsia="仿宋" w:cs="仿宋"/>
          <w:sz w:val="24"/>
        </w:rPr>
        <w:t>：指采购人许可系统部署、使用的全部场所，含医院本部院区、各分院区、社区服务点等所有系统终端部署点位。</w:t>
      </w:r>
    </w:p>
    <w:p w14:paraId="5AB3C25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1.3 </w:t>
      </w:r>
      <w:r>
        <w:rPr>
          <w:rFonts w:hint="eastAsia" w:ascii="仿宋" w:hAnsi="仿宋" w:eastAsia="仿宋" w:cs="仿宋"/>
          <w:b/>
          <w:sz w:val="24"/>
        </w:rPr>
        <w:t>现场维护</w:t>
      </w:r>
      <w:r>
        <w:rPr>
          <w:rFonts w:hint="eastAsia" w:ascii="仿宋" w:hAnsi="仿宋" w:eastAsia="仿宋" w:cs="仿宋"/>
          <w:sz w:val="24"/>
        </w:rPr>
        <w:t>：指服务供应商针对采购人提出的技术服务请求，派遣具备对应资质的技术人员到采购人指定现场，完成问题处置、技术服务的全过程。</w:t>
      </w:r>
    </w:p>
    <w:p w14:paraId="6321F2D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1.4 </w:t>
      </w:r>
      <w:r>
        <w:rPr>
          <w:rFonts w:hint="eastAsia" w:ascii="仿宋" w:hAnsi="仿宋" w:eastAsia="仿宋" w:cs="仿宋"/>
          <w:b/>
          <w:sz w:val="24"/>
        </w:rPr>
        <w:t>远程维护</w:t>
      </w:r>
      <w:r>
        <w:rPr>
          <w:rFonts w:hint="eastAsia" w:ascii="仿宋" w:hAnsi="仿宋" w:eastAsia="仿宋" w:cs="仿宋"/>
          <w:sz w:val="24"/>
        </w:rPr>
        <w:t>：指服务供应商针对采购人提出的技术服务请求，通过加密专线、安全远程接入方式，向采购人提供问题解答、技术指导、远程故障排查与修复的服务过程，远程操作须全程留痕、符合医院网络安全管理规定。</w:t>
      </w:r>
    </w:p>
    <w:p w14:paraId="7826CD2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1.5 </w:t>
      </w:r>
      <w:r>
        <w:rPr>
          <w:rFonts w:hint="eastAsia" w:ascii="仿宋" w:hAnsi="仿宋" w:eastAsia="仿宋" w:cs="仿宋"/>
          <w:b/>
          <w:sz w:val="24"/>
        </w:rPr>
        <w:t>软件更新</w:t>
      </w:r>
      <w:r>
        <w:rPr>
          <w:rFonts w:hint="eastAsia" w:ascii="仿宋" w:hAnsi="仿宋" w:eastAsia="仿宋" w:cs="仿宋"/>
          <w:sz w:val="24"/>
        </w:rPr>
        <w:t>：指为保障系统合规性、安全性、功能性，对许可软件进行的安全补丁更新、故障优化、版本迭代、政策适配性升级、功能完善的全过程，不限于仅故障场景。</w:t>
      </w:r>
    </w:p>
    <w:p w14:paraId="255359DE">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1.6 </w:t>
      </w:r>
      <w:r>
        <w:rPr>
          <w:rFonts w:hint="eastAsia" w:ascii="仿宋" w:hAnsi="仿宋" w:eastAsia="仿宋" w:cs="仿宋"/>
          <w:b/>
          <w:sz w:val="24"/>
        </w:rPr>
        <w:t>技术支持</w:t>
      </w:r>
      <w:r>
        <w:rPr>
          <w:rFonts w:hint="eastAsia" w:ascii="仿宋" w:hAnsi="仿宋" w:eastAsia="仿宋" w:cs="仿宋"/>
          <w:sz w:val="24"/>
        </w:rPr>
        <w:t>：指服务供应商为保障许可软件和系统持续稳定运行，在服务期内通过电话、互联网、现场服务等方式，向采购人提供的7×24小时技术援助、操作指导与问题处置服务。</w:t>
      </w:r>
    </w:p>
    <w:p w14:paraId="72E4C74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1.7 </w:t>
      </w:r>
      <w:r>
        <w:rPr>
          <w:rFonts w:hint="eastAsia" w:ascii="仿宋" w:hAnsi="仿宋" w:eastAsia="仿宋" w:cs="仿宋"/>
          <w:b/>
          <w:sz w:val="24"/>
        </w:rPr>
        <w:t>热线支持</w:t>
      </w:r>
      <w:r>
        <w:rPr>
          <w:rFonts w:hint="eastAsia" w:ascii="仿宋" w:hAnsi="仿宋" w:eastAsia="仿宋" w:cs="仿宋"/>
          <w:sz w:val="24"/>
        </w:rPr>
        <w:t>：指服务供应商客户服务中心通过专属服务热线，7×24小时向采购人提供技术问题解答、服务请求受理、故障派单的服务过程。</w:t>
      </w:r>
    </w:p>
    <w:p w14:paraId="1D04EF5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1.8 </w:t>
      </w:r>
      <w:r>
        <w:rPr>
          <w:rFonts w:hint="eastAsia" w:ascii="仿宋" w:hAnsi="仿宋" w:eastAsia="仿宋" w:cs="仿宋"/>
          <w:b/>
          <w:sz w:val="24"/>
        </w:rPr>
        <w:t>在线技术支持</w:t>
      </w:r>
      <w:r>
        <w:rPr>
          <w:rFonts w:hint="eastAsia" w:ascii="仿宋" w:hAnsi="仿宋" w:eastAsia="仿宋" w:cs="仿宋"/>
          <w:sz w:val="24"/>
        </w:rPr>
        <w:t>：指服务供应商客户服务中心通过安全在线支持系统，接收、解答采购人问题，发布相关技术解决方案、操作指引的服务过程。</w:t>
      </w:r>
    </w:p>
    <w:p w14:paraId="0796C4B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1.9 </w:t>
      </w:r>
      <w:r>
        <w:rPr>
          <w:rFonts w:hint="eastAsia" w:ascii="仿宋" w:hAnsi="仿宋" w:eastAsia="仿宋" w:cs="仿宋"/>
          <w:b/>
          <w:sz w:val="24"/>
        </w:rPr>
        <w:t>响应时间</w:t>
      </w:r>
      <w:r>
        <w:rPr>
          <w:rFonts w:hint="eastAsia" w:ascii="仿宋" w:hAnsi="仿宋" w:eastAsia="仿宋" w:cs="仿宋"/>
          <w:sz w:val="24"/>
        </w:rPr>
        <w:t>：指服务供应商接到采购人正式服务请求后，到与采购人完成沟通、明确故障情况、出具服务承诺与初步处置方案的时间。</w:t>
      </w:r>
    </w:p>
    <w:p w14:paraId="3B8CDFB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1.10 </w:t>
      </w:r>
      <w:r>
        <w:rPr>
          <w:rFonts w:hint="eastAsia" w:ascii="仿宋" w:hAnsi="仿宋" w:eastAsia="仿宋" w:cs="仿宋"/>
          <w:b/>
          <w:sz w:val="24"/>
        </w:rPr>
        <w:t>解决时间</w:t>
      </w:r>
      <w:r>
        <w:rPr>
          <w:rFonts w:hint="eastAsia" w:ascii="仿宋" w:hAnsi="仿宋" w:eastAsia="仿宋" w:cs="仿宋"/>
          <w:sz w:val="24"/>
        </w:rPr>
        <w:t>：指服务供应商从接到服务请求起，到系统故障完全修复、业务恢复正常运行、问题闭环处置的时间。</w:t>
      </w:r>
    </w:p>
    <w:p w14:paraId="2E9E1C4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1.11 </w:t>
      </w:r>
      <w:r>
        <w:rPr>
          <w:rFonts w:hint="eastAsia" w:ascii="仿宋" w:hAnsi="仿宋" w:eastAsia="仿宋" w:cs="仿宋"/>
          <w:b/>
          <w:sz w:val="24"/>
        </w:rPr>
        <w:t>数据安全事件</w:t>
      </w:r>
      <w:r>
        <w:rPr>
          <w:rFonts w:hint="eastAsia" w:ascii="仿宋" w:hAnsi="仿宋" w:eastAsia="仿宋" w:cs="仿宋"/>
          <w:sz w:val="24"/>
        </w:rPr>
        <w:t>：指系统运行过程中发生的，可能或已经导致医疗数据、患者个人信息泄露、损毁、篡改、丢失，以及系统被非法入侵、攻击等影响数据安全的事件。</w:t>
      </w:r>
    </w:p>
    <w:p w14:paraId="302E2CB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1.12 </w:t>
      </w:r>
      <w:r>
        <w:rPr>
          <w:rFonts w:hint="eastAsia" w:ascii="仿宋" w:hAnsi="仿宋" w:eastAsia="仿宋" w:cs="仿宋"/>
          <w:b/>
          <w:sz w:val="24"/>
        </w:rPr>
        <w:t>等保合规</w:t>
      </w:r>
      <w:r>
        <w:rPr>
          <w:rFonts w:hint="eastAsia" w:ascii="仿宋" w:hAnsi="仿宋" w:eastAsia="仿宋" w:cs="仿宋"/>
          <w:sz w:val="24"/>
        </w:rPr>
        <w:t>：指系统运行与运维服务须符合国家网络安全等级保护2.0标准对应级别的全部要求。</w:t>
      </w:r>
    </w:p>
    <w:p w14:paraId="793ABEE2">
      <w:pPr>
        <w:snapToGrid w:val="0"/>
        <w:spacing w:line="360" w:lineRule="auto"/>
        <w:jc w:val="left"/>
        <w:rPr>
          <w:rFonts w:ascii="仿宋" w:hAnsi="仿宋" w:eastAsia="仿宋" w:cs="仿宋"/>
          <w:sz w:val="24"/>
        </w:rPr>
      </w:pPr>
      <w:r>
        <w:rPr>
          <w:rFonts w:hint="eastAsia" w:ascii="仿宋" w:hAnsi="仿宋" w:eastAsia="仿宋" w:cs="仿宋"/>
          <w:b/>
          <w:sz w:val="24"/>
        </w:rPr>
        <w:t>2. 运维服务系统范围</w:t>
      </w:r>
    </w:p>
    <w:p w14:paraId="75BE03F2">
      <w:pPr>
        <w:snapToGrid w:val="0"/>
        <w:spacing w:line="360" w:lineRule="auto"/>
        <w:ind w:firstLine="480" w:firstLineChars="200"/>
        <w:jc w:val="left"/>
        <w:rPr>
          <w:rFonts w:ascii="仿宋" w:hAnsi="仿宋" w:eastAsia="仿宋" w:cs="仿宋"/>
          <w:sz w:val="24"/>
        </w:rPr>
      </w:pPr>
      <w:bookmarkStart w:id="50" w:name="OLE_LINK16"/>
      <w:bookmarkStart w:id="51" w:name="OLE_LINK17"/>
      <w:r>
        <w:rPr>
          <w:rFonts w:hint="eastAsia" w:ascii="仿宋" w:hAnsi="仿宋" w:eastAsia="仿宋" w:cs="仿宋"/>
          <w:sz w:val="24"/>
        </w:rPr>
        <w:t>采购人委托供应商提供售后运维服务的信息系统，包含但不限于下表所列全部模块、子系统及配套硬件设备，同时覆盖系统与院内HIS、LIS、PACS、EMR、医保结算系统、互联网医院平台等现有及未来新增信息系统的接口运维服务，确保系统互联互通。</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226"/>
        <w:gridCol w:w="6916"/>
      </w:tblGrid>
      <w:tr w14:paraId="5292D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tcMar>
              <w:top w:w="120" w:type="dxa"/>
              <w:left w:w="120" w:type="dxa"/>
              <w:bottom w:w="120" w:type="dxa"/>
              <w:right w:w="120" w:type="dxa"/>
            </w:tcMar>
            <w:vAlign w:val="center"/>
          </w:tcPr>
          <w:p w14:paraId="38DE1F2C">
            <w:pPr>
              <w:widowControl/>
              <w:snapToGrid w:val="0"/>
              <w:spacing w:line="360" w:lineRule="auto"/>
              <w:jc w:val="center"/>
              <w:rPr>
                <w:rFonts w:ascii="仿宋" w:hAnsi="仿宋" w:eastAsia="仿宋" w:cs="仿宋"/>
                <w:b/>
                <w:bCs/>
                <w:kern w:val="0"/>
                <w:sz w:val="24"/>
              </w:rPr>
            </w:pPr>
            <w:r>
              <w:rPr>
                <w:rFonts w:hint="eastAsia" w:ascii="仿宋" w:hAnsi="仿宋" w:eastAsia="仿宋" w:cs="仿宋"/>
                <w:b/>
                <w:bCs/>
                <w:kern w:val="0"/>
                <w:sz w:val="24"/>
              </w:rPr>
              <w:t>系统名称</w:t>
            </w:r>
          </w:p>
        </w:tc>
        <w:tc>
          <w:tcPr>
            <w:tcW w:w="0" w:type="auto"/>
            <w:tcMar>
              <w:top w:w="120" w:type="dxa"/>
              <w:left w:w="120" w:type="dxa"/>
              <w:bottom w:w="120" w:type="dxa"/>
              <w:right w:w="120" w:type="dxa"/>
            </w:tcMar>
            <w:vAlign w:val="center"/>
          </w:tcPr>
          <w:p w14:paraId="49805779">
            <w:pPr>
              <w:widowControl/>
              <w:snapToGrid w:val="0"/>
              <w:spacing w:line="360" w:lineRule="auto"/>
              <w:jc w:val="center"/>
              <w:rPr>
                <w:rFonts w:ascii="仿宋" w:hAnsi="仿宋" w:eastAsia="仿宋" w:cs="仿宋"/>
                <w:b/>
                <w:bCs/>
                <w:kern w:val="0"/>
                <w:sz w:val="24"/>
              </w:rPr>
            </w:pPr>
            <w:r>
              <w:rPr>
                <w:rFonts w:hint="eastAsia" w:ascii="仿宋" w:hAnsi="仿宋" w:eastAsia="仿宋" w:cs="仿宋"/>
                <w:b/>
                <w:bCs/>
                <w:kern w:val="0"/>
                <w:sz w:val="24"/>
              </w:rPr>
              <w:t>子系统 / 模块</w:t>
            </w:r>
          </w:p>
        </w:tc>
      </w:tr>
      <w:tr w14:paraId="7377B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vMerge w:val="restart"/>
            <w:tcMar>
              <w:top w:w="120" w:type="dxa"/>
              <w:left w:w="120" w:type="dxa"/>
              <w:bottom w:w="120" w:type="dxa"/>
              <w:right w:w="120" w:type="dxa"/>
            </w:tcMar>
            <w:vAlign w:val="center"/>
          </w:tcPr>
          <w:p w14:paraId="42CE9BA3">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院感管理系统</w:t>
            </w:r>
          </w:p>
          <w:p w14:paraId="79FB5AAE">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（NIS）</w:t>
            </w:r>
          </w:p>
        </w:tc>
        <w:tc>
          <w:tcPr>
            <w:tcW w:w="0" w:type="auto"/>
            <w:tcBorders>
              <w:top w:val="nil"/>
              <w:left w:val="single" w:color="auto" w:sz="4" w:space="0"/>
              <w:bottom w:val="single" w:color="auto" w:sz="4" w:space="0"/>
              <w:right w:val="single" w:color="auto" w:sz="4" w:space="0"/>
            </w:tcBorders>
            <w:tcMar>
              <w:top w:w="120" w:type="dxa"/>
              <w:left w:w="120" w:type="dxa"/>
              <w:bottom w:w="120" w:type="dxa"/>
              <w:right w:w="120" w:type="dxa"/>
            </w:tcMar>
            <w:vAlign w:val="center"/>
          </w:tcPr>
          <w:p w14:paraId="7EB62B54">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疑似感染病例预警监测</w:t>
            </w:r>
          </w:p>
        </w:tc>
      </w:tr>
      <w:tr w14:paraId="4EDED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vMerge w:val="continue"/>
            <w:tcMar>
              <w:top w:w="120" w:type="dxa"/>
              <w:left w:w="120" w:type="dxa"/>
              <w:bottom w:w="120" w:type="dxa"/>
              <w:right w:w="120" w:type="dxa"/>
            </w:tcMar>
            <w:vAlign w:val="center"/>
          </w:tcPr>
          <w:p w14:paraId="001B3432">
            <w:pPr>
              <w:widowControl/>
              <w:snapToGrid w:val="0"/>
              <w:spacing w:line="360" w:lineRule="auto"/>
              <w:jc w:val="center"/>
              <w:rPr>
                <w:rFonts w:ascii="仿宋" w:hAnsi="仿宋" w:eastAsia="仿宋" w:cs="仿宋"/>
                <w:kern w:val="0"/>
                <w:sz w:val="24"/>
              </w:rPr>
            </w:pPr>
          </w:p>
        </w:tc>
        <w:tc>
          <w:tcPr>
            <w:tcW w:w="0" w:type="auto"/>
            <w:tcBorders>
              <w:top w:val="nil"/>
              <w:left w:val="single" w:color="auto" w:sz="4" w:space="0"/>
              <w:bottom w:val="single" w:color="auto" w:sz="4" w:space="0"/>
              <w:right w:val="single" w:color="auto" w:sz="4" w:space="0"/>
            </w:tcBorders>
            <w:tcMar>
              <w:top w:w="120" w:type="dxa"/>
              <w:left w:w="120" w:type="dxa"/>
              <w:bottom w:w="120" w:type="dxa"/>
              <w:right w:w="120" w:type="dxa"/>
            </w:tcMar>
            <w:vAlign w:val="center"/>
          </w:tcPr>
          <w:p w14:paraId="3449DA37">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环境卫生学监测</w:t>
            </w:r>
          </w:p>
        </w:tc>
      </w:tr>
      <w:tr w14:paraId="53EEC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vMerge w:val="continue"/>
            <w:tcMar>
              <w:top w:w="120" w:type="dxa"/>
              <w:left w:w="120" w:type="dxa"/>
              <w:bottom w:w="120" w:type="dxa"/>
              <w:right w:w="120" w:type="dxa"/>
            </w:tcMar>
            <w:vAlign w:val="center"/>
          </w:tcPr>
          <w:p w14:paraId="39F40513">
            <w:pPr>
              <w:widowControl/>
              <w:snapToGrid w:val="0"/>
              <w:spacing w:line="360" w:lineRule="auto"/>
              <w:jc w:val="center"/>
              <w:rPr>
                <w:rFonts w:ascii="仿宋" w:hAnsi="仿宋" w:eastAsia="仿宋" w:cs="仿宋"/>
                <w:kern w:val="0"/>
                <w:sz w:val="24"/>
              </w:rPr>
            </w:pPr>
          </w:p>
        </w:tc>
        <w:tc>
          <w:tcPr>
            <w:tcW w:w="0" w:type="auto"/>
            <w:tcBorders>
              <w:top w:val="nil"/>
              <w:left w:val="single" w:color="auto" w:sz="4" w:space="0"/>
              <w:bottom w:val="single" w:color="auto" w:sz="4" w:space="0"/>
              <w:right w:val="single" w:color="auto" w:sz="4" w:space="0"/>
            </w:tcBorders>
            <w:tcMar>
              <w:top w:w="120" w:type="dxa"/>
              <w:left w:w="120" w:type="dxa"/>
              <w:bottom w:w="120" w:type="dxa"/>
              <w:right w:w="120" w:type="dxa"/>
            </w:tcMar>
            <w:vAlign w:val="center"/>
          </w:tcPr>
          <w:p w14:paraId="35B25BAC">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手卫生调查统计管理</w:t>
            </w:r>
          </w:p>
        </w:tc>
      </w:tr>
      <w:tr w14:paraId="1A405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vMerge w:val="continue"/>
            <w:tcMar>
              <w:top w:w="120" w:type="dxa"/>
              <w:left w:w="120" w:type="dxa"/>
              <w:bottom w:w="120" w:type="dxa"/>
              <w:right w:w="120" w:type="dxa"/>
            </w:tcMar>
            <w:vAlign w:val="center"/>
          </w:tcPr>
          <w:p w14:paraId="14BE44EA">
            <w:pPr>
              <w:widowControl/>
              <w:snapToGrid w:val="0"/>
              <w:spacing w:line="360" w:lineRule="auto"/>
              <w:jc w:val="center"/>
              <w:rPr>
                <w:rFonts w:ascii="仿宋" w:hAnsi="仿宋" w:eastAsia="仿宋" w:cs="仿宋"/>
                <w:kern w:val="0"/>
                <w:sz w:val="24"/>
              </w:rPr>
            </w:pPr>
          </w:p>
        </w:tc>
        <w:tc>
          <w:tcPr>
            <w:tcW w:w="0" w:type="auto"/>
            <w:tcBorders>
              <w:top w:val="nil"/>
              <w:left w:val="single" w:color="auto" w:sz="4" w:space="0"/>
              <w:bottom w:val="single" w:color="auto" w:sz="4" w:space="0"/>
              <w:right w:val="single" w:color="auto" w:sz="4" w:space="0"/>
            </w:tcBorders>
            <w:tcMar>
              <w:top w:w="120" w:type="dxa"/>
              <w:left w:w="120" w:type="dxa"/>
              <w:bottom w:w="120" w:type="dxa"/>
              <w:right w:w="120" w:type="dxa"/>
            </w:tcMar>
            <w:vAlign w:val="center"/>
          </w:tcPr>
          <w:p w14:paraId="5A92A87C">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多重耐药菌、手术、icu三管使用等目标性监测</w:t>
            </w:r>
          </w:p>
        </w:tc>
      </w:tr>
      <w:tr w14:paraId="1838A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vMerge w:val="continue"/>
            <w:tcMar>
              <w:top w:w="120" w:type="dxa"/>
              <w:left w:w="120" w:type="dxa"/>
              <w:bottom w:w="120" w:type="dxa"/>
              <w:right w:w="120" w:type="dxa"/>
            </w:tcMar>
            <w:vAlign w:val="center"/>
          </w:tcPr>
          <w:p w14:paraId="094744B2">
            <w:pPr>
              <w:widowControl/>
              <w:snapToGrid w:val="0"/>
              <w:spacing w:line="360" w:lineRule="auto"/>
              <w:jc w:val="center"/>
              <w:rPr>
                <w:rFonts w:ascii="仿宋" w:hAnsi="仿宋" w:eastAsia="仿宋" w:cs="仿宋"/>
                <w:kern w:val="0"/>
                <w:sz w:val="24"/>
              </w:rPr>
            </w:pPr>
          </w:p>
        </w:tc>
        <w:tc>
          <w:tcPr>
            <w:tcW w:w="0" w:type="auto"/>
            <w:tcBorders>
              <w:top w:val="nil"/>
              <w:left w:val="single" w:color="auto" w:sz="4" w:space="0"/>
              <w:bottom w:val="single" w:color="auto" w:sz="4" w:space="0"/>
              <w:right w:val="single" w:color="auto" w:sz="4" w:space="0"/>
            </w:tcBorders>
            <w:tcMar>
              <w:top w:w="120" w:type="dxa"/>
              <w:left w:w="120" w:type="dxa"/>
              <w:bottom w:w="120" w:type="dxa"/>
              <w:right w:w="120" w:type="dxa"/>
            </w:tcMar>
            <w:vAlign w:val="center"/>
          </w:tcPr>
          <w:p w14:paraId="6661659D">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医院感染要求监管指标数据统计分析</w:t>
            </w:r>
          </w:p>
        </w:tc>
      </w:tr>
      <w:tr w14:paraId="33216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vMerge w:val="continue"/>
            <w:tcMar>
              <w:top w:w="120" w:type="dxa"/>
              <w:left w:w="120" w:type="dxa"/>
              <w:bottom w:w="120" w:type="dxa"/>
              <w:right w:w="120" w:type="dxa"/>
            </w:tcMar>
            <w:vAlign w:val="center"/>
          </w:tcPr>
          <w:p w14:paraId="69A8B242">
            <w:pPr>
              <w:widowControl/>
              <w:snapToGrid w:val="0"/>
              <w:spacing w:line="360" w:lineRule="auto"/>
              <w:jc w:val="center"/>
              <w:rPr>
                <w:rFonts w:ascii="仿宋" w:hAnsi="仿宋" w:eastAsia="仿宋" w:cs="仿宋"/>
                <w:kern w:val="0"/>
                <w:sz w:val="24"/>
              </w:rPr>
            </w:pPr>
          </w:p>
        </w:tc>
        <w:tc>
          <w:tcPr>
            <w:tcW w:w="0" w:type="auto"/>
            <w:tcBorders>
              <w:top w:val="nil"/>
              <w:left w:val="single" w:color="auto" w:sz="4" w:space="0"/>
              <w:bottom w:val="single" w:color="auto" w:sz="4" w:space="0"/>
              <w:right w:val="single" w:color="auto" w:sz="4" w:space="0"/>
            </w:tcBorders>
            <w:tcMar>
              <w:top w:w="120" w:type="dxa"/>
              <w:left w:w="120" w:type="dxa"/>
              <w:bottom w:w="120" w:type="dxa"/>
              <w:right w:w="120" w:type="dxa"/>
            </w:tcMar>
            <w:vAlign w:val="center"/>
          </w:tcPr>
          <w:p w14:paraId="08A91CE2">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职业暴漏登记</w:t>
            </w:r>
          </w:p>
        </w:tc>
      </w:tr>
      <w:tr w14:paraId="111AC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tcMar>
              <w:top w:w="120" w:type="dxa"/>
              <w:left w:w="120" w:type="dxa"/>
              <w:bottom w:w="120" w:type="dxa"/>
              <w:right w:w="120" w:type="dxa"/>
            </w:tcMar>
            <w:vAlign w:val="center"/>
          </w:tcPr>
          <w:p w14:paraId="0437A8BC">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外部接口系统</w:t>
            </w:r>
          </w:p>
        </w:tc>
        <w:tc>
          <w:tcPr>
            <w:tcW w:w="0" w:type="auto"/>
            <w:tcMar>
              <w:top w:w="120" w:type="dxa"/>
              <w:left w:w="120" w:type="dxa"/>
              <w:bottom w:w="120" w:type="dxa"/>
              <w:right w:w="120" w:type="dxa"/>
            </w:tcMar>
            <w:vAlign w:val="center"/>
          </w:tcPr>
          <w:p w14:paraId="6C654C0F">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HIS/LIS/PACS/ 电生理 / 检验 / 影像接口</w:t>
            </w:r>
          </w:p>
        </w:tc>
      </w:tr>
      <w:bookmarkEnd w:id="50"/>
      <w:bookmarkEnd w:id="51"/>
    </w:tbl>
    <w:p w14:paraId="3D09EEA7">
      <w:pPr>
        <w:snapToGrid w:val="0"/>
        <w:spacing w:line="360" w:lineRule="auto"/>
        <w:jc w:val="left"/>
        <w:rPr>
          <w:rFonts w:ascii="仿宋" w:hAnsi="仿宋" w:eastAsia="仿宋" w:cs="仿宋"/>
          <w:sz w:val="24"/>
        </w:rPr>
      </w:pPr>
      <w:r>
        <w:rPr>
          <w:rFonts w:hint="eastAsia" w:ascii="仿宋" w:hAnsi="仿宋" w:eastAsia="仿宋" w:cs="仿宋"/>
          <w:b/>
          <w:sz w:val="24"/>
        </w:rPr>
        <w:t>3. 故障分级标准及服务级别协议（SLA）要求</w:t>
      </w:r>
    </w:p>
    <w:p w14:paraId="729ED30A">
      <w:pPr>
        <w:snapToGrid w:val="0"/>
        <w:spacing w:line="360" w:lineRule="auto"/>
        <w:ind w:firstLine="480" w:firstLineChars="200"/>
        <w:jc w:val="left"/>
        <w:rPr>
          <w:rFonts w:ascii="仿宋" w:hAnsi="仿宋" w:eastAsia="仿宋" w:cs="仿宋"/>
          <w:sz w:val="24"/>
        </w:rPr>
      </w:pPr>
      <w:bookmarkStart w:id="52" w:name="OLE_LINK19"/>
      <w:bookmarkStart w:id="53" w:name="OLE_LINK18"/>
      <w:r>
        <w:rPr>
          <w:rFonts w:hint="eastAsia" w:ascii="仿宋" w:hAnsi="仿宋" w:eastAsia="仿宋" w:cs="仿宋"/>
          <w:sz w:val="24"/>
        </w:rPr>
        <w:t>结合医疗行业业务连续性要求与《医疗卫生机构网络安全管理办法》事件分级标准，制定四级故障分级与刚性SLA要求，服务商须提供7×24小时全时段服务，工作日、节假日、夜间执行统一响应与处置标准，具体如下：</w:t>
      </w:r>
    </w:p>
    <w:bookmarkEnd w:id="52"/>
    <w:bookmarkEnd w:id="53"/>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76"/>
        <w:gridCol w:w="1719"/>
        <w:gridCol w:w="3443"/>
        <w:gridCol w:w="3200"/>
      </w:tblGrid>
      <w:tr w14:paraId="21449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32E0CB0D">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940" w:type="pct"/>
            <w:tcMar>
              <w:top w:w="60" w:type="dxa"/>
              <w:left w:w="120" w:type="dxa"/>
              <w:bottom w:w="30" w:type="dxa"/>
              <w:right w:w="120" w:type="dxa"/>
            </w:tcMar>
            <w:vAlign w:val="center"/>
          </w:tcPr>
          <w:p w14:paraId="410DD144">
            <w:pPr>
              <w:snapToGrid w:val="0"/>
              <w:spacing w:line="360" w:lineRule="auto"/>
              <w:jc w:val="center"/>
              <w:rPr>
                <w:rFonts w:ascii="仿宋" w:hAnsi="仿宋" w:eastAsia="仿宋" w:cs="仿宋"/>
                <w:b/>
                <w:sz w:val="24"/>
              </w:rPr>
            </w:pPr>
            <w:r>
              <w:rPr>
                <w:rFonts w:hint="eastAsia" w:ascii="仿宋" w:hAnsi="仿宋" w:eastAsia="仿宋" w:cs="仿宋"/>
                <w:b/>
                <w:sz w:val="24"/>
              </w:rPr>
              <w:t>故障等级</w:t>
            </w:r>
          </w:p>
        </w:tc>
        <w:tc>
          <w:tcPr>
            <w:tcW w:w="1883" w:type="pct"/>
            <w:tcMar>
              <w:top w:w="60" w:type="dxa"/>
              <w:left w:w="120" w:type="dxa"/>
              <w:bottom w:w="30" w:type="dxa"/>
              <w:right w:w="120" w:type="dxa"/>
            </w:tcMar>
            <w:vAlign w:val="center"/>
          </w:tcPr>
          <w:p w14:paraId="3F950CE1">
            <w:pPr>
              <w:snapToGrid w:val="0"/>
              <w:spacing w:line="360" w:lineRule="auto"/>
              <w:jc w:val="center"/>
              <w:rPr>
                <w:rFonts w:ascii="仿宋" w:hAnsi="仿宋" w:eastAsia="仿宋" w:cs="仿宋"/>
                <w:b/>
                <w:sz w:val="24"/>
              </w:rPr>
            </w:pPr>
            <w:r>
              <w:rPr>
                <w:rFonts w:hint="eastAsia" w:ascii="仿宋" w:hAnsi="仿宋" w:eastAsia="仿宋" w:cs="仿宋"/>
                <w:b/>
                <w:sz w:val="24"/>
              </w:rPr>
              <w:t>故障情况描述</w:t>
            </w:r>
          </w:p>
        </w:tc>
        <w:tc>
          <w:tcPr>
            <w:tcW w:w="1750" w:type="pct"/>
            <w:tcMar>
              <w:top w:w="60" w:type="dxa"/>
              <w:left w:w="120" w:type="dxa"/>
              <w:bottom w:w="30" w:type="dxa"/>
              <w:right w:w="120" w:type="dxa"/>
            </w:tcMar>
            <w:vAlign w:val="center"/>
          </w:tcPr>
          <w:p w14:paraId="2F021C73">
            <w:pPr>
              <w:snapToGrid w:val="0"/>
              <w:spacing w:line="360" w:lineRule="auto"/>
              <w:jc w:val="center"/>
              <w:rPr>
                <w:rFonts w:ascii="仿宋" w:hAnsi="仿宋" w:eastAsia="仿宋" w:cs="仿宋"/>
                <w:b/>
                <w:sz w:val="24"/>
              </w:rPr>
            </w:pPr>
            <w:r>
              <w:rPr>
                <w:rFonts w:hint="eastAsia" w:ascii="仿宋" w:hAnsi="仿宋" w:eastAsia="仿宋" w:cs="仿宋"/>
                <w:b/>
                <w:sz w:val="24"/>
              </w:rPr>
              <w:t>刚性SLA要求</w:t>
            </w:r>
          </w:p>
        </w:tc>
      </w:tr>
      <w:tr w14:paraId="25413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177B84C4">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940" w:type="pct"/>
            <w:tcMar>
              <w:top w:w="60" w:type="dxa"/>
              <w:left w:w="120" w:type="dxa"/>
              <w:bottom w:w="30" w:type="dxa"/>
              <w:right w:w="120" w:type="dxa"/>
            </w:tcMar>
            <w:vAlign w:val="center"/>
          </w:tcPr>
          <w:p w14:paraId="11539A50">
            <w:pPr>
              <w:snapToGrid w:val="0"/>
              <w:spacing w:line="360" w:lineRule="auto"/>
              <w:jc w:val="center"/>
              <w:rPr>
                <w:rFonts w:ascii="仿宋" w:hAnsi="仿宋" w:eastAsia="仿宋" w:cs="仿宋"/>
                <w:sz w:val="24"/>
              </w:rPr>
            </w:pPr>
            <w:r>
              <w:rPr>
                <w:rFonts w:hint="eastAsia" w:ascii="仿宋" w:hAnsi="仿宋" w:eastAsia="仿宋" w:cs="仿宋"/>
                <w:sz w:val="24"/>
              </w:rPr>
              <w:t>一级故障（重大）</w:t>
            </w:r>
          </w:p>
        </w:tc>
        <w:tc>
          <w:tcPr>
            <w:tcW w:w="1883" w:type="pct"/>
            <w:tcMar>
              <w:top w:w="60" w:type="dxa"/>
              <w:left w:w="120" w:type="dxa"/>
              <w:bottom w:w="30" w:type="dxa"/>
              <w:right w:w="120" w:type="dxa"/>
            </w:tcMar>
          </w:tcPr>
          <w:p w14:paraId="5FFF1DB0">
            <w:pPr>
              <w:snapToGrid w:val="0"/>
              <w:spacing w:line="360" w:lineRule="auto"/>
              <w:jc w:val="left"/>
              <w:rPr>
                <w:rFonts w:ascii="仿宋" w:hAnsi="仿宋" w:eastAsia="仿宋" w:cs="仿宋"/>
                <w:sz w:val="24"/>
              </w:rPr>
            </w:pPr>
            <w:r>
              <w:rPr>
                <w:rFonts w:hint="eastAsia" w:ascii="仿宋" w:hAnsi="仿宋" w:eastAsia="仿宋" w:cs="仿宋"/>
                <w:sz w:val="24"/>
              </w:rPr>
              <w:t>1. 系统核心服务瘫痪，导致业务中断，多部门终端无法办理业务，严重影响医院正常医疗秩序；</w:t>
            </w:r>
          </w:p>
          <w:p w14:paraId="05701CEB">
            <w:pPr>
              <w:snapToGrid w:val="0"/>
              <w:spacing w:line="360" w:lineRule="auto"/>
              <w:jc w:val="left"/>
              <w:rPr>
                <w:rFonts w:ascii="仿宋" w:hAnsi="仿宋" w:eastAsia="仿宋" w:cs="仿宋"/>
                <w:sz w:val="24"/>
              </w:rPr>
            </w:pPr>
            <w:r>
              <w:rPr>
                <w:rFonts w:hint="eastAsia" w:ascii="仿宋" w:hAnsi="仿宋" w:eastAsia="仿宋" w:cs="仿宋"/>
                <w:sz w:val="24"/>
              </w:rPr>
              <w:t>2. 系统与HIS、EMR、PACS等核心系统接口完全中断，导致业务数据无法传输，严重影响医院正常医疗秩序</w:t>
            </w:r>
          </w:p>
          <w:p w14:paraId="331BB43C">
            <w:pPr>
              <w:snapToGrid w:val="0"/>
              <w:spacing w:line="360" w:lineRule="auto"/>
              <w:jc w:val="left"/>
              <w:rPr>
                <w:rFonts w:ascii="仿宋" w:hAnsi="仿宋" w:eastAsia="仿宋" w:cs="仿宋"/>
                <w:sz w:val="24"/>
              </w:rPr>
            </w:pPr>
            <w:r>
              <w:rPr>
                <w:rFonts w:hint="eastAsia" w:ascii="仿宋" w:hAnsi="仿宋" w:eastAsia="仿宋" w:cs="仿宋"/>
                <w:sz w:val="24"/>
              </w:rPr>
              <w:t>3.  发生患者个人信息批量泄露、医疗数据被篡改/丢失等重大数据安全事件；</w:t>
            </w:r>
          </w:p>
          <w:p w14:paraId="037B650C">
            <w:pPr>
              <w:snapToGrid w:val="0"/>
              <w:spacing w:line="360" w:lineRule="auto"/>
              <w:jc w:val="left"/>
              <w:rPr>
                <w:rFonts w:ascii="仿宋" w:hAnsi="仿宋" w:eastAsia="仿宋" w:cs="仿宋"/>
                <w:sz w:val="24"/>
              </w:rPr>
            </w:pPr>
            <w:r>
              <w:rPr>
                <w:rFonts w:hint="eastAsia" w:ascii="仿宋" w:hAnsi="仿宋" w:eastAsia="仿宋" w:cs="仿宋"/>
                <w:sz w:val="24"/>
              </w:rPr>
              <w:t>4. 系统被非法入侵、攻击，出现高危安全漏洞，威胁医院整体网络安全。</w:t>
            </w:r>
          </w:p>
        </w:tc>
        <w:tc>
          <w:tcPr>
            <w:tcW w:w="1750" w:type="pct"/>
            <w:tcMar>
              <w:top w:w="60" w:type="dxa"/>
              <w:left w:w="120" w:type="dxa"/>
              <w:bottom w:w="30" w:type="dxa"/>
              <w:right w:w="120" w:type="dxa"/>
            </w:tcMar>
          </w:tcPr>
          <w:p w14:paraId="4FC23227">
            <w:pPr>
              <w:snapToGrid w:val="0"/>
              <w:spacing w:line="360" w:lineRule="auto"/>
              <w:jc w:val="left"/>
              <w:rPr>
                <w:rFonts w:ascii="仿宋" w:hAnsi="仿宋" w:eastAsia="仿宋" w:cs="仿宋"/>
                <w:sz w:val="24"/>
              </w:rPr>
            </w:pPr>
            <w:r>
              <w:rPr>
                <w:rFonts w:hint="eastAsia" w:ascii="仿宋" w:hAnsi="仿宋" w:eastAsia="仿宋" w:cs="仿宋"/>
                <w:sz w:val="24"/>
              </w:rPr>
              <w:t>1. 10分钟内必须响应，与采购人明确故障情况，出具应急处置方案；</w:t>
            </w:r>
          </w:p>
          <w:p w14:paraId="59BAFD72">
            <w:pPr>
              <w:snapToGrid w:val="0"/>
              <w:spacing w:line="360" w:lineRule="auto"/>
              <w:jc w:val="left"/>
              <w:rPr>
                <w:rFonts w:ascii="仿宋" w:hAnsi="仿宋" w:eastAsia="仿宋" w:cs="仿宋"/>
                <w:sz w:val="24"/>
              </w:rPr>
            </w:pPr>
            <w:r>
              <w:rPr>
                <w:rFonts w:hint="eastAsia" w:ascii="仿宋" w:hAnsi="仿宋" w:eastAsia="仿宋" w:cs="仿宋"/>
                <w:sz w:val="24"/>
              </w:rPr>
              <w:t>2. 4小时内派驻具备资质的技术人员到达现场；</w:t>
            </w:r>
          </w:p>
          <w:p w14:paraId="0B022780">
            <w:pPr>
              <w:snapToGrid w:val="0"/>
              <w:spacing w:line="360" w:lineRule="auto"/>
              <w:jc w:val="left"/>
              <w:rPr>
                <w:rFonts w:ascii="仿宋" w:hAnsi="仿宋" w:eastAsia="仿宋" w:cs="仿宋"/>
                <w:sz w:val="24"/>
              </w:rPr>
            </w:pPr>
            <w:r>
              <w:rPr>
                <w:rFonts w:hint="eastAsia" w:ascii="仿宋" w:hAnsi="仿宋" w:eastAsia="仿宋" w:cs="仿宋"/>
                <w:sz w:val="24"/>
              </w:rPr>
              <w:t>3. 6小时内完成故障修复，恢复系统核心业务正常运行；</w:t>
            </w:r>
          </w:p>
          <w:p w14:paraId="0F2A08FB">
            <w:pPr>
              <w:snapToGrid w:val="0"/>
              <w:spacing w:line="360" w:lineRule="auto"/>
              <w:jc w:val="left"/>
              <w:rPr>
                <w:rFonts w:ascii="仿宋" w:hAnsi="仿宋" w:eastAsia="仿宋" w:cs="仿宋"/>
                <w:sz w:val="24"/>
              </w:rPr>
            </w:pPr>
            <w:r>
              <w:rPr>
                <w:rFonts w:hint="eastAsia" w:ascii="仿宋" w:hAnsi="仿宋" w:eastAsia="仿宋" w:cs="仿宋"/>
                <w:sz w:val="24"/>
              </w:rPr>
              <w:t>4. 无法在时限内完全修复的，须提供临时应急方案保障业务连续性，直至系统完全恢复；</w:t>
            </w:r>
          </w:p>
          <w:p w14:paraId="73BA1610">
            <w:pPr>
              <w:snapToGrid w:val="0"/>
              <w:spacing w:line="360" w:lineRule="auto"/>
              <w:jc w:val="left"/>
              <w:rPr>
                <w:rFonts w:ascii="仿宋" w:hAnsi="仿宋" w:eastAsia="仿宋" w:cs="仿宋"/>
                <w:sz w:val="24"/>
              </w:rPr>
            </w:pPr>
            <w:r>
              <w:rPr>
                <w:rFonts w:hint="eastAsia" w:ascii="仿宋" w:hAnsi="仿宋" w:eastAsia="仿宋" w:cs="仿宋"/>
                <w:sz w:val="24"/>
              </w:rPr>
              <w:t>5. 故障处置完成后24小时内提交正式故障分析与复盘报告。</w:t>
            </w:r>
          </w:p>
        </w:tc>
      </w:tr>
      <w:tr w14:paraId="5BD96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428D2B78">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940" w:type="pct"/>
            <w:tcMar>
              <w:top w:w="60" w:type="dxa"/>
              <w:left w:w="120" w:type="dxa"/>
              <w:bottom w:w="30" w:type="dxa"/>
              <w:right w:w="120" w:type="dxa"/>
            </w:tcMar>
            <w:vAlign w:val="center"/>
          </w:tcPr>
          <w:p w14:paraId="2FEA79D7">
            <w:pPr>
              <w:snapToGrid w:val="0"/>
              <w:spacing w:line="360" w:lineRule="auto"/>
              <w:jc w:val="center"/>
              <w:rPr>
                <w:rFonts w:ascii="仿宋" w:hAnsi="仿宋" w:eastAsia="仿宋" w:cs="仿宋"/>
                <w:sz w:val="24"/>
              </w:rPr>
            </w:pPr>
            <w:r>
              <w:rPr>
                <w:rFonts w:hint="eastAsia" w:ascii="仿宋" w:hAnsi="仿宋" w:eastAsia="仿宋" w:cs="仿宋"/>
                <w:sz w:val="24"/>
              </w:rPr>
              <w:t>二级故障（严重）</w:t>
            </w:r>
          </w:p>
        </w:tc>
        <w:tc>
          <w:tcPr>
            <w:tcW w:w="1883" w:type="pct"/>
            <w:tcMar>
              <w:top w:w="60" w:type="dxa"/>
              <w:left w:w="120" w:type="dxa"/>
              <w:bottom w:w="30" w:type="dxa"/>
              <w:right w:w="120" w:type="dxa"/>
            </w:tcMar>
          </w:tcPr>
          <w:p w14:paraId="7F3714CA">
            <w:pPr>
              <w:snapToGrid w:val="0"/>
              <w:spacing w:line="360" w:lineRule="auto"/>
              <w:jc w:val="left"/>
              <w:rPr>
                <w:rFonts w:ascii="仿宋" w:hAnsi="仿宋" w:eastAsia="仿宋" w:cs="仿宋"/>
                <w:sz w:val="24"/>
              </w:rPr>
            </w:pPr>
            <w:r>
              <w:rPr>
                <w:rFonts w:hint="eastAsia" w:ascii="仿宋" w:hAnsi="仿宋" w:eastAsia="仿宋" w:cs="仿宋"/>
                <w:sz w:val="24"/>
              </w:rPr>
              <w:t>1. 系统操作性能严重降级，核心功能响应延迟超500%，严重影响医生操作与患者业务办理；</w:t>
            </w:r>
          </w:p>
          <w:p w14:paraId="0A04AA68">
            <w:pPr>
              <w:snapToGrid w:val="0"/>
              <w:spacing w:line="360" w:lineRule="auto"/>
              <w:jc w:val="left"/>
              <w:rPr>
                <w:rFonts w:ascii="仿宋" w:hAnsi="仿宋" w:eastAsia="仿宋" w:cs="仿宋"/>
                <w:sz w:val="24"/>
              </w:rPr>
            </w:pPr>
            <w:r>
              <w:rPr>
                <w:rFonts w:hint="eastAsia" w:ascii="仿宋" w:hAnsi="仿宋" w:eastAsia="仿宋" w:cs="仿宋"/>
                <w:sz w:val="24"/>
              </w:rPr>
              <w:t>2. 核心科室、门诊3个及以上科室系统无法正常使用，影响大面积患者就医；</w:t>
            </w:r>
          </w:p>
          <w:p w14:paraId="1B458051">
            <w:pPr>
              <w:snapToGrid w:val="0"/>
              <w:spacing w:line="360" w:lineRule="auto"/>
              <w:jc w:val="left"/>
              <w:rPr>
                <w:rFonts w:ascii="仿宋" w:hAnsi="仿宋" w:eastAsia="仿宋" w:cs="仿宋"/>
                <w:sz w:val="24"/>
              </w:rPr>
            </w:pPr>
            <w:r>
              <w:rPr>
                <w:rFonts w:hint="eastAsia" w:ascii="仿宋" w:hAnsi="仿宋" w:eastAsia="仿宋" w:cs="仿宋"/>
                <w:sz w:val="24"/>
              </w:rPr>
              <w:t>3. 系统出现数据异常、统计错误，影响医疗业务正常开展，存在数据安全隐患。</w:t>
            </w:r>
          </w:p>
        </w:tc>
        <w:tc>
          <w:tcPr>
            <w:tcW w:w="1750" w:type="pct"/>
            <w:tcMar>
              <w:top w:w="60" w:type="dxa"/>
              <w:left w:w="120" w:type="dxa"/>
              <w:bottom w:w="30" w:type="dxa"/>
              <w:right w:w="120" w:type="dxa"/>
            </w:tcMar>
          </w:tcPr>
          <w:p w14:paraId="090A4B0C">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30分钟内必须响应，出具初步处置方案；</w:t>
            </w:r>
          </w:p>
          <w:p w14:paraId="59E2827F">
            <w:pPr>
              <w:snapToGrid w:val="0"/>
              <w:spacing w:line="360" w:lineRule="auto"/>
              <w:jc w:val="left"/>
              <w:rPr>
                <w:rFonts w:ascii="仿宋" w:hAnsi="仿宋" w:eastAsia="仿宋" w:cs="仿宋"/>
                <w:sz w:val="24"/>
              </w:rPr>
            </w:pPr>
            <w:r>
              <w:rPr>
                <w:rFonts w:hint="eastAsia" w:ascii="仿宋" w:hAnsi="仿宋" w:eastAsia="仿宋" w:cs="仿宋"/>
                <w:sz w:val="24"/>
              </w:rPr>
              <w:t>2. 6小时内到达现场或通过安全远程方式完成故障处置；</w:t>
            </w:r>
          </w:p>
          <w:p w14:paraId="710897D5">
            <w:pPr>
              <w:snapToGrid w:val="0"/>
              <w:spacing w:line="360" w:lineRule="auto"/>
              <w:jc w:val="left"/>
              <w:rPr>
                <w:rFonts w:ascii="仿宋" w:hAnsi="仿宋" w:eastAsia="仿宋" w:cs="仿宋"/>
                <w:sz w:val="24"/>
              </w:rPr>
            </w:pPr>
            <w:r>
              <w:rPr>
                <w:rFonts w:hint="eastAsia" w:ascii="仿宋" w:hAnsi="仿宋" w:eastAsia="仿宋" w:cs="仿宋"/>
                <w:sz w:val="24"/>
              </w:rPr>
              <w:t>3. 12小时内完成故障修复，系统恢复正常运行；</w:t>
            </w:r>
          </w:p>
          <w:p w14:paraId="78FB1495">
            <w:pPr>
              <w:snapToGrid w:val="0"/>
              <w:spacing w:line="360" w:lineRule="auto"/>
              <w:jc w:val="left"/>
              <w:rPr>
                <w:rFonts w:ascii="仿宋" w:hAnsi="仿宋" w:eastAsia="仿宋" w:cs="仿宋"/>
                <w:sz w:val="24"/>
              </w:rPr>
            </w:pPr>
            <w:r>
              <w:rPr>
                <w:rFonts w:hint="eastAsia" w:ascii="仿宋" w:hAnsi="仿宋" w:eastAsia="仿宋" w:cs="仿宋"/>
                <w:sz w:val="24"/>
              </w:rPr>
              <w:t>4. 故障处置完成后3个工作日内提交故障分析报告。</w:t>
            </w:r>
          </w:p>
        </w:tc>
      </w:tr>
      <w:tr w14:paraId="01F56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212" w:hRule="atLeast"/>
        </w:trPr>
        <w:tc>
          <w:tcPr>
            <w:tcW w:w="425" w:type="pct"/>
            <w:tcMar>
              <w:top w:w="60" w:type="dxa"/>
              <w:left w:w="120" w:type="dxa"/>
              <w:bottom w:w="30" w:type="dxa"/>
              <w:right w:w="120" w:type="dxa"/>
            </w:tcMar>
            <w:vAlign w:val="center"/>
          </w:tcPr>
          <w:p w14:paraId="5EEEFC1F">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940" w:type="pct"/>
            <w:tcMar>
              <w:top w:w="60" w:type="dxa"/>
              <w:left w:w="120" w:type="dxa"/>
              <w:bottom w:w="30" w:type="dxa"/>
              <w:right w:w="120" w:type="dxa"/>
            </w:tcMar>
            <w:vAlign w:val="center"/>
          </w:tcPr>
          <w:p w14:paraId="7E28C686">
            <w:pPr>
              <w:snapToGrid w:val="0"/>
              <w:spacing w:line="360" w:lineRule="auto"/>
              <w:jc w:val="center"/>
              <w:rPr>
                <w:rFonts w:ascii="仿宋" w:hAnsi="仿宋" w:eastAsia="仿宋" w:cs="仿宋"/>
                <w:sz w:val="24"/>
              </w:rPr>
            </w:pPr>
            <w:r>
              <w:rPr>
                <w:rFonts w:hint="eastAsia" w:ascii="仿宋" w:hAnsi="仿宋" w:eastAsia="仿宋" w:cs="仿宋"/>
                <w:sz w:val="24"/>
              </w:rPr>
              <w:t>三级故障（一般）</w:t>
            </w:r>
          </w:p>
        </w:tc>
        <w:tc>
          <w:tcPr>
            <w:tcW w:w="1883" w:type="pct"/>
            <w:tcMar>
              <w:top w:w="60" w:type="dxa"/>
              <w:left w:w="120" w:type="dxa"/>
              <w:bottom w:w="30" w:type="dxa"/>
              <w:right w:w="120" w:type="dxa"/>
            </w:tcMar>
          </w:tcPr>
          <w:p w14:paraId="02C50685">
            <w:pPr>
              <w:snapToGrid w:val="0"/>
              <w:spacing w:line="360" w:lineRule="auto"/>
              <w:jc w:val="left"/>
              <w:rPr>
                <w:rFonts w:ascii="仿宋" w:hAnsi="仿宋" w:eastAsia="仿宋" w:cs="仿宋"/>
                <w:sz w:val="24"/>
              </w:rPr>
            </w:pPr>
            <w:r>
              <w:rPr>
                <w:rFonts w:hint="eastAsia" w:ascii="仿宋" w:hAnsi="仿宋" w:eastAsia="仿宋" w:cs="仿宋"/>
                <w:sz w:val="24"/>
              </w:rPr>
              <w:t>1. 系统非核心功能受损，仅影响单个科室/少量终端使用，医院核心业务可正常开展；</w:t>
            </w:r>
          </w:p>
          <w:p w14:paraId="19FBE6BD">
            <w:pPr>
              <w:snapToGrid w:val="0"/>
              <w:spacing w:line="360" w:lineRule="auto"/>
              <w:jc w:val="left"/>
              <w:rPr>
                <w:rFonts w:ascii="仿宋" w:hAnsi="仿宋" w:eastAsia="仿宋" w:cs="仿宋"/>
                <w:sz w:val="24"/>
              </w:rPr>
            </w:pPr>
            <w:r>
              <w:rPr>
                <w:rFonts w:hint="eastAsia" w:ascii="仿宋" w:hAnsi="仿宋" w:eastAsia="仿宋" w:cs="仿宋"/>
                <w:sz w:val="24"/>
              </w:rPr>
              <w:t>2. 系统出现局部数据异常、报表统计偏差，不影响核心业务办理；</w:t>
            </w:r>
          </w:p>
          <w:p w14:paraId="597613E7">
            <w:pPr>
              <w:snapToGrid w:val="0"/>
              <w:spacing w:line="360" w:lineRule="auto"/>
              <w:jc w:val="left"/>
              <w:rPr>
                <w:rFonts w:ascii="仿宋" w:hAnsi="仿宋" w:eastAsia="仿宋" w:cs="仿宋"/>
                <w:sz w:val="24"/>
              </w:rPr>
            </w:pPr>
            <w:r>
              <w:rPr>
                <w:rFonts w:hint="eastAsia" w:ascii="仿宋" w:hAnsi="仿宋" w:eastAsia="仿宋" w:cs="仿宋"/>
                <w:sz w:val="24"/>
              </w:rPr>
              <w:t>3.配套设备故障，不影响整体业务流程。</w:t>
            </w:r>
          </w:p>
        </w:tc>
        <w:tc>
          <w:tcPr>
            <w:tcW w:w="1750" w:type="pct"/>
            <w:tcMar>
              <w:top w:w="60" w:type="dxa"/>
              <w:left w:w="120" w:type="dxa"/>
              <w:bottom w:w="30" w:type="dxa"/>
              <w:right w:w="120" w:type="dxa"/>
            </w:tcMar>
          </w:tcPr>
          <w:p w14:paraId="4F6C945B">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30分钟内必须响应，出具处置方案；</w:t>
            </w:r>
          </w:p>
          <w:p w14:paraId="0F93239F">
            <w:pPr>
              <w:snapToGrid w:val="0"/>
              <w:spacing w:line="360" w:lineRule="auto"/>
              <w:jc w:val="left"/>
              <w:rPr>
                <w:rFonts w:ascii="仿宋" w:hAnsi="仿宋" w:eastAsia="仿宋" w:cs="仿宋"/>
                <w:sz w:val="24"/>
              </w:rPr>
            </w:pPr>
            <w:r>
              <w:rPr>
                <w:rFonts w:hint="eastAsia" w:ascii="仿宋" w:hAnsi="仿宋" w:eastAsia="仿宋" w:cs="仿宋"/>
                <w:sz w:val="24"/>
              </w:rPr>
              <w:t>2. 12小时内到达现场或通过远程方式完成故障处置；</w:t>
            </w:r>
          </w:p>
          <w:p w14:paraId="6385D137">
            <w:pPr>
              <w:snapToGrid w:val="0"/>
              <w:spacing w:line="360" w:lineRule="auto"/>
              <w:jc w:val="left"/>
              <w:rPr>
                <w:rFonts w:ascii="仿宋" w:hAnsi="仿宋" w:eastAsia="仿宋" w:cs="仿宋"/>
                <w:sz w:val="24"/>
              </w:rPr>
            </w:pPr>
            <w:r>
              <w:rPr>
                <w:rFonts w:hint="eastAsia" w:ascii="仿宋" w:hAnsi="仿宋" w:eastAsia="仿宋" w:cs="仿宋"/>
                <w:sz w:val="24"/>
              </w:rPr>
              <w:t>3. 24小时内完成故障修复，闭环处置问题。</w:t>
            </w:r>
          </w:p>
        </w:tc>
      </w:tr>
      <w:tr w14:paraId="1F414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6F701C95">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940" w:type="pct"/>
            <w:tcMar>
              <w:top w:w="60" w:type="dxa"/>
              <w:left w:w="120" w:type="dxa"/>
              <w:bottom w:w="30" w:type="dxa"/>
              <w:right w:w="120" w:type="dxa"/>
            </w:tcMar>
            <w:vAlign w:val="center"/>
          </w:tcPr>
          <w:p w14:paraId="3EC89118">
            <w:pPr>
              <w:snapToGrid w:val="0"/>
              <w:spacing w:line="360" w:lineRule="auto"/>
              <w:jc w:val="center"/>
              <w:rPr>
                <w:rFonts w:ascii="仿宋" w:hAnsi="仿宋" w:eastAsia="仿宋" w:cs="仿宋"/>
                <w:sz w:val="24"/>
              </w:rPr>
            </w:pPr>
            <w:r>
              <w:rPr>
                <w:rFonts w:hint="eastAsia" w:ascii="仿宋" w:hAnsi="仿宋" w:eastAsia="仿宋" w:cs="仿宋"/>
                <w:sz w:val="24"/>
              </w:rPr>
              <w:t>四级故障（轻微）</w:t>
            </w:r>
          </w:p>
        </w:tc>
        <w:tc>
          <w:tcPr>
            <w:tcW w:w="1883" w:type="pct"/>
            <w:tcMar>
              <w:top w:w="60" w:type="dxa"/>
              <w:left w:w="120" w:type="dxa"/>
              <w:bottom w:w="30" w:type="dxa"/>
              <w:right w:w="120" w:type="dxa"/>
            </w:tcMar>
          </w:tcPr>
          <w:p w14:paraId="7C17FA56">
            <w:pPr>
              <w:snapToGrid w:val="0"/>
              <w:spacing w:line="360" w:lineRule="auto"/>
              <w:jc w:val="left"/>
              <w:rPr>
                <w:rFonts w:ascii="仿宋" w:hAnsi="仿宋" w:eastAsia="仿宋" w:cs="仿宋"/>
                <w:sz w:val="24"/>
              </w:rPr>
            </w:pPr>
            <w:r>
              <w:rPr>
                <w:rFonts w:hint="eastAsia" w:ascii="仿宋" w:hAnsi="仿宋" w:eastAsia="仿宋" w:cs="仿宋"/>
                <w:sz w:val="24"/>
              </w:rPr>
              <w:t>1. 系统出现一般性操作问题、界面显示异常，对患者就医、系统运行几乎无影响；</w:t>
            </w:r>
          </w:p>
          <w:p w14:paraId="7BFA7D89">
            <w:pPr>
              <w:snapToGrid w:val="0"/>
              <w:spacing w:line="360" w:lineRule="auto"/>
              <w:jc w:val="left"/>
              <w:rPr>
                <w:rFonts w:ascii="仿宋" w:hAnsi="仿宋" w:eastAsia="仿宋" w:cs="仿宋"/>
                <w:sz w:val="24"/>
              </w:rPr>
            </w:pPr>
            <w:r>
              <w:rPr>
                <w:rFonts w:hint="eastAsia" w:ascii="仿宋" w:hAnsi="仿宋" w:eastAsia="仿宋" w:cs="仿宋"/>
                <w:sz w:val="24"/>
              </w:rPr>
              <w:t>2. 医护人员提出的系统操作咨询、功能配置调整等非故障类服务请求。</w:t>
            </w:r>
          </w:p>
        </w:tc>
        <w:tc>
          <w:tcPr>
            <w:tcW w:w="1750" w:type="pct"/>
            <w:tcMar>
              <w:top w:w="60" w:type="dxa"/>
              <w:left w:w="120" w:type="dxa"/>
              <w:bottom w:w="30" w:type="dxa"/>
              <w:right w:w="120" w:type="dxa"/>
            </w:tcMar>
          </w:tcPr>
          <w:p w14:paraId="04AC5B92">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30分钟内必须响应，提供技术指导与解决方案；</w:t>
            </w:r>
          </w:p>
          <w:p w14:paraId="7B026B45">
            <w:pPr>
              <w:snapToGrid w:val="0"/>
              <w:spacing w:line="360" w:lineRule="auto"/>
              <w:jc w:val="left"/>
              <w:rPr>
                <w:rFonts w:ascii="仿宋" w:hAnsi="仿宋" w:eastAsia="仿宋" w:cs="仿宋"/>
                <w:sz w:val="24"/>
              </w:rPr>
            </w:pPr>
            <w:r>
              <w:rPr>
                <w:rFonts w:hint="eastAsia" w:ascii="仿宋" w:hAnsi="仿宋" w:eastAsia="仿宋" w:cs="仿宋"/>
                <w:sz w:val="24"/>
              </w:rPr>
              <w:t>2. 24小时内通过远程或现场方式完成处置；</w:t>
            </w:r>
          </w:p>
          <w:p w14:paraId="1E29839F">
            <w:pPr>
              <w:snapToGrid w:val="0"/>
              <w:spacing w:line="360" w:lineRule="auto"/>
              <w:jc w:val="left"/>
              <w:rPr>
                <w:rFonts w:ascii="仿宋" w:hAnsi="仿宋" w:eastAsia="仿宋" w:cs="仿宋"/>
                <w:sz w:val="24"/>
              </w:rPr>
            </w:pPr>
            <w:r>
              <w:rPr>
                <w:rFonts w:hint="eastAsia" w:ascii="仿宋" w:hAnsi="仿宋" w:eastAsia="仿宋" w:cs="仿宋"/>
                <w:sz w:val="24"/>
              </w:rPr>
              <w:t>3. 48小时内完成问题闭环。</w:t>
            </w:r>
          </w:p>
        </w:tc>
      </w:tr>
    </w:tbl>
    <w:p w14:paraId="1F73169D">
      <w:pPr>
        <w:snapToGrid w:val="0"/>
        <w:spacing w:line="360" w:lineRule="auto"/>
        <w:jc w:val="left"/>
        <w:rPr>
          <w:rFonts w:ascii="仿宋" w:hAnsi="仿宋" w:eastAsia="仿宋" w:cs="仿宋"/>
          <w:sz w:val="24"/>
        </w:rPr>
      </w:pPr>
      <w:r>
        <w:rPr>
          <w:rFonts w:hint="eastAsia" w:ascii="仿宋" w:hAnsi="仿宋" w:eastAsia="仿宋" w:cs="仿宋"/>
          <w:b/>
          <w:sz w:val="24"/>
        </w:rPr>
        <w:t>4. 售后运维服务核心要求</w:t>
      </w:r>
    </w:p>
    <w:p w14:paraId="544AAA0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服务商须严格按照以下要求提供全流程售后运维服务，可依据自身技术能力提供增值服务，但不得低于以下标准要求，所有服务须留存完整、可追溯的工作记录，接受采购人全程监督。</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591"/>
        <w:gridCol w:w="885"/>
        <w:gridCol w:w="5024"/>
        <w:gridCol w:w="1311"/>
        <w:gridCol w:w="1327"/>
      </w:tblGrid>
      <w:tr w14:paraId="3D158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21F0DCC5">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484" w:type="pct"/>
            <w:tcMar>
              <w:top w:w="60" w:type="dxa"/>
              <w:left w:w="120" w:type="dxa"/>
              <w:bottom w:w="30" w:type="dxa"/>
              <w:right w:w="120" w:type="dxa"/>
            </w:tcMar>
            <w:vAlign w:val="center"/>
          </w:tcPr>
          <w:p w14:paraId="60298A2D">
            <w:pPr>
              <w:snapToGrid w:val="0"/>
              <w:spacing w:line="360" w:lineRule="auto"/>
              <w:jc w:val="center"/>
              <w:rPr>
                <w:rFonts w:ascii="仿宋" w:hAnsi="仿宋" w:eastAsia="仿宋" w:cs="仿宋"/>
                <w:b/>
                <w:sz w:val="24"/>
              </w:rPr>
            </w:pPr>
            <w:r>
              <w:rPr>
                <w:rFonts w:hint="eastAsia" w:ascii="仿宋" w:hAnsi="仿宋" w:eastAsia="仿宋" w:cs="仿宋"/>
                <w:b/>
                <w:sz w:val="24"/>
              </w:rPr>
              <w:t>服务项目</w:t>
            </w:r>
          </w:p>
        </w:tc>
        <w:tc>
          <w:tcPr>
            <w:tcW w:w="2748" w:type="pct"/>
            <w:tcMar>
              <w:top w:w="60" w:type="dxa"/>
              <w:left w:w="120" w:type="dxa"/>
              <w:bottom w:w="30" w:type="dxa"/>
              <w:right w:w="120" w:type="dxa"/>
            </w:tcMar>
            <w:vAlign w:val="center"/>
          </w:tcPr>
          <w:p w14:paraId="69117548">
            <w:pPr>
              <w:snapToGrid w:val="0"/>
              <w:spacing w:line="360" w:lineRule="auto"/>
              <w:jc w:val="center"/>
              <w:rPr>
                <w:rFonts w:ascii="仿宋" w:hAnsi="仿宋" w:eastAsia="仿宋" w:cs="仿宋"/>
                <w:b/>
                <w:sz w:val="24"/>
              </w:rPr>
            </w:pPr>
            <w:r>
              <w:rPr>
                <w:rFonts w:hint="eastAsia" w:ascii="仿宋" w:hAnsi="仿宋" w:eastAsia="仿宋" w:cs="仿宋"/>
                <w:b/>
                <w:sz w:val="24"/>
              </w:rPr>
              <w:t>服务内涵</w:t>
            </w:r>
          </w:p>
        </w:tc>
        <w:tc>
          <w:tcPr>
            <w:tcW w:w="717" w:type="pct"/>
            <w:tcMar>
              <w:top w:w="60" w:type="dxa"/>
              <w:left w:w="120" w:type="dxa"/>
              <w:bottom w:w="30" w:type="dxa"/>
              <w:right w:w="120" w:type="dxa"/>
            </w:tcMar>
            <w:vAlign w:val="center"/>
          </w:tcPr>
          <w:p w14:paraId="6A6015CA">
            <w:pPr>
              <w:snapToGrid w:val="0"/>
              <w:spacing w:line="360" w:lineRule="auto"/>
              <w:jc w:val="center"/>
              <w:rPr>
                <w:rFonts w:ascii="仿宋" w:hAnsi="仿宋" w:eastAsia="仿宋" w:cs="仿宋"/>
                <w:b/>
                <w:sz w:val="24"/>
              </w:rPr>
            </w:pPr>
            <w:r>
              <w:rPr>
                <w:rFonts w:hint="eastAsia" w:ascii="仿宋" w:hAnsi="仿宋" w:eastAsia="仿宋" w:cs="仿宋"/>
                <w:b/>
                <w:sz w:val="24"/>
              </w:rPr>
              <w:t>服务方式</w:t>
            </w:r>
          </w:p>
        </w:tc>
        <w:tc>
          <w:tcPr>
            <w:tcW w:w="726" w:type="pct"/>
            <w:tcMar>
              <w:top w:w="60" w:type="dxa"/>
              <w:left w:w="120" w:type="dxa"/>
              <w:bottom w:w="30" w:type="dxa"/>
              <w:right w:w="120" w:type="dxa"/>
            </w:tcMar>
            <w:vAlign w:val="center"/>
          </w:tcPr>
          <w:p w14:paraId="7260B179">
            <w:pPr>
              <w:snapToGrid w:val="0"/>
              <w:spacing w:line="360" w:lineRule="auto"/>
              <w:jc w:val="center"/>
              <w:rPr>
                <w:rFonts w:ascii="仿宋" w:hAnsi="仿宋" w:eastAsia="仿宋" w:cs="仿宋"/>
                <w:b/>
                <w:sz w:val="24"/>
              </w:rPr>
            </w:pPr>
            <w:r>
              <w:rPr>
                <w:rFonts w:hint="eastAsia" w:ascii="仿宋" w:hAnsi="仿宋" w:eastAsia="仿宋" w:cs="仿宋"/>
                <w:b/>
                <w:sz w:val="24"/>
              </w:rPr>
              <w:t>服务频次/次数要求</w:t>
            </w:r>
          </w:p>
        </w:tc>
      </w:tr>
      <w:tr w14:paraId="5AE5F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025CE6C6">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484" w:type="pct"/>
            <w:tcMar>
              <w:top w:w="60" w:type="dxa"/>
              <w:left w:w="120" w:type="dxa"/>
              <w:bottom w:w="30" w:type="dxa"/>
              <w:right w:w="120" w:type="dxa"/>
            </w:tcMar>
            <w:vAlign w:val="center"/>
          </w:tcPr>
          <w:p w14:paraId="533CAAF1">
            <w:pPr>
              <w:snapToGrid w:val="0"/>
              <w:spacing w:line="360" w:lineRule="auto"/>
              <w:jc w:val="center"/>
              <w:rPr>
                <w:rFonts w:ascii="仿宋" w:hAnsi="仿宋" w:eastAsia="仿宋" w:cs="仿宋"/>
                <w:sz w:val="24"/>
              </w:rPr>
            </w:pPr>
            <w:r>
              <w:rPr>
                <w:rFonts w:hint="eastAsia" w:ascii="仿宋" w:hAnsi="仿宋" w:eastAsia="仿宋" w:cs="仿宋"/>
                <w:sz w:val="24"/>
              </w:rPr>
              <w:t>信息系统基础运维服务</w:t>
            </w:r>
          </w:p>
        </w:tc>
        <w:tc>
          <w:tcPr>
            <w:tcW w:w="2748" w:type="pct"/>
            <w:tcMar>
              <w:top w:w="60" w:type="dxa"/>
              <w:left w:w="120" w:type="dxa"/>
              <w:bottom w:w="30" w:type="dxa"/>
              <w:right w:w="120" w:type="dxa"/>
            </w:tcMar>
            <w:vAlign w:val="center"/>
          </w:tcPr>
          <w:p w14:paraId="5075574F">
            <w:pPr>
              <w:snapToGrid w:val="0"/>
              <w:spacing w:line="360" w:lineRule="auto"/>
              <w:rPr>
                <w:rFonts w:ascii="仿宋" w:hAnsi="仿宋" w:eastAsia="仿宋" w:cs="仿宋"/>
                <w:sz w:val="24"/>
              </w:rPr>
            </w:pPr>
            <w:r>
              <w:rPr>
                <w:rFonts w:hint="eastAsia" w:ascii="仿宋" w:hAnsi="仿宋" w:eastAsia="仿宋" w:cs="仿宋"/>
                <w:sz w:val="24"/>
              </w:rPr>
              <w:t>1. 运维服务系统范围所列全部系统模块的软件操作指导、故障排查、bug修复、配置管理服务；</w:t>
            </w:r>
          </w:p>
          <w:p w14:paraId="4F67E707">
            <w:pPr>
              <w:snapToGrid w:val="0"/>
              <w:spacing w:line="360" w:lineRule="auto"/>
              <w:rPr>
                <w:rFonts w:ascii="仿宋" w:hAnsi="仿宋" w:eastAsia="仿宋" w:cs="仿宋"/>
                <w:sz w:val="24"/>
              </w:rPr>
            </w:pPr>
            <w:r>
              <w:rPr>
                <w:rFonts w:hint="eastAsia" w:ascii="仿宋" w:hAnsi="仿宋" w:eastAsia="仿宋" w:cs="仿宋"/>
                <w:sz w:val="24"/>
              </w:rPr>
              <w:t>2. 系统死机、数据错误、运行异常、兼容性问题等全场景故障处置；</w:t>
            </w:r>
          </w:p>
          <w:p w14:paraId="2E3DFB27">
            <w:pPr>
              <w:snapToGrid w:val="0"/>
              <w:spacing w:line="360" w:lineRule="auto"/>
              <w:rPr>
                <w:rFonts w:ascii="仿宋" w:hAnsi="仿宋" w:eastAsia="仿宋" w:cs="仿宋"/>
                <w:sz w:val="24"/>
              </w:rPr>
            </w:pPr>
            <w:r>
              <w:rPr>
                <w:rFonts w:hint="eastAsia" w:ascii="仿宋" w:hAnsi="仿宋" w:eastAsia="仿宋" w:cs="仿宋"/>
                <w:sz w:val="24"/>
              </w:rPr>
              <w:t>3. 系统运行环境适配、显示异常、运行效率降低等问题的优化处置；</w:t>
            </w:r>
          </w:p>
          <w:p w14:paraId="274CDBE1">
            <w:pPr>
              <w:snapToGrid w:val="0"/>
              <w:spacing w:line="360" w:lineRule="auto"/>
              <w:rPr>
                <w:rFonts w:ascii="仿宋" w:hAnsi="仿宋" w:eastAsia="仿宋" w:cs="仿宋"/>
                <w:sz w:val="24"/>
              </w:rPr>
            </w:pPr>
            <w:r>
              <w:rPr>
                <w:rFonts w:hint="eastAsia" w:ascii="仿宋" w:hAnsi="仿宋" w:eastAsia="仿宋" w:cs="仿宋"/>
                <w:sz w:val="24"/>
              </w:rPr>
              <w:t>4. 系统与院内其他信息系统的接口运维、适配调整、故障修复；</w:t>
            </w:r>
          </w:p>
          <w:p w14:paraId="05DFAA33">
            <w:pPr>
              <w:snapToGrid w:val="0"/>
              <w:spacing w:line="360" w:lineRule="auto"/>
              <w:rPr>
                <w:rFonts w:ascii="仿宋" w:hAnsi="仿宋" w:eastAsia="仿宋" w:cs="仿宋"/>
                <w:sz w:val="24"/>
              </w:rPr>
            </w:pPr>
            <w:r>
              <w:rPr>
                <w:rFonts w:hint="eastAsia" w:ascii="仿宋" w:hAnsi="仿宋" w:eastAsia="仿宋" w:cs="仿宋"/>
                <w:sz w:val="24"/>
              </w:rPr>
              <w:t>5. 系统终端设备、服务器运行状态的定期巡检与隐患排查。</w:t>
            </w:r>
          </w:p>
        </w:tc>
        <w:tc>
          <w:tcPr>
            <w:tcW w:w="717" w:type="pct"/>
            <w:tcMar>
              <w:top w:w="60" w:type="dxa"/>
              <w:left w:w="120" w:type="dxa"/>
              <w:bottom w:w="30" w:type="dxa"/>
              <w:right w:w="120" w:type="dxa"/>
            </w:tcMar>
            <w:vAlign w:val="center"/>
          </w:tcPr>
          <w:p w14:paraId="642787AF">
            <w:pPr>
              <w:snapToGrid w:val="0"/>
              <w:spacing w:line="360" w:lineRule="auto"/>
              <w:jc w:val="center"/>
              <w:rPr>
                <w:rFonts w:ascii="仿宋" w:hAnsi="仿宋" w:eastAsia="仿宋" w:cs="仿宋"/>
                <w:sz w:val="24"/>
              </w:rPr>
            </w:pPr>
            <w:r>
              <w:rPr>
                <w:rFonts w:hint="eastAsia" w:ascii="仿宋" w:hAnsi="仿宋" w:eastAsia="仿宋" w:cs="仿宋"/>
                <w:sz w:val="24"/>
              </w:rPr>
              <w:t>7×24小时热线服务安全远程运维服务现场驻场/上门服务</w:t>
            </w:r>
          </w:p>
        </w:tc>
        <w:tc>
          <w:tcPr>
            <w:tcW w:w="726" w:type="pct"/>
            <w:tcMar>
              <w:top w:w="60" w:type="dxa"/>
              <w:left w:w="120" w:type="dxa"/>
              <w:bottom w:w="30" w:type="dxa"/>
              <w:right w:w="120" w:type="dxa"/>
            </w:tcMar>
            <w:vAlign w:val="center"/>
          </w:tcPr>
          <w:p w14:paraId="30AB742A">
            <w:pPr>
              <w:snapToGrid w:val="0"/>
              <w:spacing w:line="360" w:lineRule="auto"/>
              <w:jc w:val="center"/>
              <w:rPr>
                <w:rFonts w:ascii="仿宋" w:hAnsi="仿宋" w:eastAsia="仿宋" w:cs="仿宋"/>
                <w:sz w:val="24"/>
              </w:rPr>
            </w:pPr>
            <w:r>
              <w:rPr>
                <w:rFonts w:hint="eastAsia" w:ascii="仿宋" w:hAnsi="仿宋" w:eastAsia="仿宋" w:cs="仿宋"/>
                <w:sz w:val="24"/>
              </w:rPr>
              <w:t>不限次数，全时段响应</w:t>
            </w:r>
          </w:p>
        </w:tc>
      </w:tr>
      <w:tr w14:paraId="717C0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253E57D2">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484" w:type="pct"/>
            <w:tcMar>
              <w:top w:w="60" w:type="dxa"/>
              <w:left w:w="120" w:type="dxa"/>
              <w:bottom w:w="30" w:type="dxa"/>
              <w:right w:w="120" w:type="dxa"/>
            </w:tcMar>
            <w:vAlign w:val="center"/>
          </w:tcPr>
          <w:p w14:paraId="0DAAEF0E">
            <w:pPr>
              <w:snapToGrid w:val="0"/>
              <w:spacing w:line="360" w:lineRule="auto"/>
              <w:jc w:val="center"/>
              <w:rPr>
                <w:rFonts w:ascii="仿宋" w:hAnsi="仿宋" w:eastAsia="仿宋" w:cs="仿宋"/>
                <w:sz w:val="24"/>
              </w:rPr>
            </w:pPr>
            <w:r>
              <w:rPr>
                <w:rFonts w:hint="eastAsia" w:ascii="仿宋" w:hAnsi="仿宋" w:eastAsia="仿宋" w:cs="仿宋"/>
                <w:sz w:val="24"/>
              </w:rPr>
              <w:t>数据库专项运维服务</w:t>
            </w:r>
          </w:p>
        </w:tc>
        <w:tc>
          <w:tcPr>
            <w:tcW w:w="2748" w:type="pct"/>
            <w:tcMar>
              <w:top w:w="60" w:type="dxa"/>
              <w:left w:w="120" w:type="dxa"/>
              <w:bottom w:w="30" w:type="dxa"/>
              <w:right w:w="120" w:type="dxa"/>
            </w:tcMar>
            <w:vAlign w:val="center"/>
          </w:tcPr>
          <w:p w14:paraId="54416C4B">
            <w:pPr>
              <w:snapToGrid w:val="0"/>
              <w:spacing w:line="360" w:lineRule="auto"/>
              <w:rPr>
                <w:rFonts w:ascii="仿宋" w:hAnsi="仿宋" w:eastAsia="仿宋" w:cs="仿宋"/>
                <w:sz w:val="24"/>
              </w:rPr>
            </w:pPr>
            <w:r>
              <w:rPr>
                <w:rFonts w:hint="eastAsia" w:ascii="仿宋" w:hAnsi="仿宋" w:eastAsia="仿宋" w:cs="仿宋"/>
                <w:sz w:val="24"/>
              </w:rPr>
              <w:t>1. 每月开展数据库全量巡检，检查内容包括服务器系统日志、磁盘空间、CPU/内存使用率、数据库表空间、数据文件大小、数据库运行日志、异常操作审计日志等，及时发现并处置潜在风险；</w:t>
            </w:r>
          </w:p>
          <w:p w14:paraId="4C7067F1">
            <w:pPr>
              <w:snapToGrid w:val="0"/>
              <w:spacing w:line="360" w:lineRule="auto"/>
              <w:rPr>
                <w:rFonts w:ascii="仿宋" w:hAnsi="仿宋" w:eastAsia="仿宋" w:cs="仿宋"/>
                <w:sz w:val="24"/>
              </w:rPr>
            </w:pPr>
            <w:r>
              <w:rPr>
                <w:rFonts w:hint="eastAsia" w:ascii="仿宋" w:hAnsi="仿宋" w:eastAsia="仿宋" w:cs="仿宋"/>
                <w:sz w:val="24"/>
              </w:rPr>
              <w:t>2. 每季度完成数据库安全加固、高危漏洞修复，确保数据库符合等保合规要求；</w:t>
            </w:r>
          </w:p>
          <w:p w14:paraId="5C71FC41">
            <w:pPr>
              <w:snapToGrid w:val="0"/>
              <w:spacing w:line="360" w:lineRule="auto"/>
              <w:rPr>
                <w:rFonts w:ascii="仿宋" w:hAnsi="仿宋" w:eastAsia="仿宋" w:cs="仿宋"/>
                <w:sz w:val="24"/>
              </w:rPr>
            </w:pPr>
            <w:r>
              <w:rPr>
                <w:rFonts w:hint="eastAsia" w:ascii="仿宋" w:hAnsi="仿宋" w:eastAsia="仿宋" w:cs="仿宋"/>
                <w:sz w:val="24"/>
              </w:rPr>
              <w:t>3. 提供同版本数据库迁移、数据备份与恢复服务，配合采购人完成数据备份有效性验证；</w:t>
            </w:r>
          </w:p>
          <w:p w14:paraId="55D51E84">
            <w:pPr>
              <w:snapToGrid w:val="0"/>
              <w:spacing w:line="360" w:lineRule="auto"/>
              <w:rPr>
                <w:rFonts w:ascii="仿宋" w:hAnsi="仿宋" w:eastAsia="仿宋" w:cs="仿宋"/>
                <w:sz w:val="24"/>
              </w:rPr>
            </w:pPr>
            <w:r>
              <w:rPr>
                <w:rFonts w:hint="eastAsia" w:ascii="仿宋" w:hAnsi="仿宋" w:eastAsia="仿宋" w:cs="仿宋"/>
                <w:sz w:val="24"/>
              </w:rPr>
              <w:t>4. 针对巡检发现的问题，完成数据库性能优化、参数调整，保障数据库持续处于最佳运行状态；</w:t>
            </w:r>
          </w:p>
          <w:p w14:paraId="3480D2A6">
            <w:pPr>
              <w:snapToGrid w:val="0"/>
              <w:spacing w:line="360" w:lineRule="auto"/>
              <w:rPr>
                <w:rFonts w:ascii="仿宋" w:hAnsi="仿宋" w:eastAsia="仿宋" w:cs="仿宋"/>
                <w:sz w:val="24"/>
              </w:rPr>
            </w:pPr>
            <w:r>
              <w:rPr>
                <w:rFonts w:hint="eastAsia" w:ascii="仿宋" w:hAnsi="仿宋" w:eastAsia="仿宋" w:cs="仿宋"/>
                <w:sz w:val="24"/>
              </w:rPr>
              <w:t>5. 数据库故障的应急处置，保障医疗数据不丢失、不泄露、不篡改。</w:t>
            </w:r>
          </w:p>
        </w:tc>
        <w:tc>
          <w:tcPr>
            <w:tcW w:w="717" w:type="pct"/>
            <w:tcMar>
              <w:top w:w="60" w:type="dxa"/>
              <w:left w:w="120" w:type="dxa"/>
              <w:bottom w:w="30" w:type="dxa"/>
              <w:right w:w="120" w:type="dxa"/>
            </w:tcMar>
            <w:vAlign w:val="center"/>
          </w:tcPr>
          <w:p w14:paraId="0294F56D">
            <w:pPr>
              <w:snapToGrid w:val="0"/>
              <w:spacing w:line="360" w:lineRule="auto"/>
              <w:jc w:val="center"/>
              <w:rPr>
                <w:rFonts w:ascii="仿宋" w:hAnsi="仿宋" w:eastAsia="仿宋" w:cs="仿宋"/>
                <w:sz w:val="24"/>
              </w:rPr>
            </w:pPr>
            <w:r>
              <w:rPr>
                <w:rFonts w:hint="eastAsia" w:ascii="仿宋" w:hAnsi="仿宋" w:eastAsia="仿宋" w:cs="仿宋"/>
                <w:sz w:val="24"/>
              </w:rPr>
              <w:t>热线服务安全远程服务现场服务</w:t>
            </w:r>
          </w:p>
        </w:tc>
        <w:tc>
          <w:tcPr>
            <w:tcW w:w="726" w:type="pct"/>
            <w:tcMar>
              <w:top w:w="60" w:type="dxa"/>
              <w:left w:w="120" w:type="dxa"/>
              <w:bottom w:w="30" w:type="dxa"/>
              <w:right w:w="120" w:type="dxa"/>
            </w:tcMar>
            <w:vAlign w:val="center"/>
          </w:tcPr>
          <w:p w14:paraId="6F91A3B9">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不限次数，每月至少1次全量巡检，每季度至少1次性能优化，每年至少2次备份恢复演练</w:t>
            </w:r>
          </w:p>
        </w:tc>
      </w:tr>
      <w:tr w14:paraId="3A422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5F95478A">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484" w:type="pct"/>
            <w:tcMar>
              <w:top w:w="60" w:type="dxa"/>
              <w:left w:w="120" w:type="dxa"/>
              <w:bottom w:w="30" w:type="dxa"/>
              <w:right w:w="120" w:type="dxa"/>
            </w:tcMar>
            <w:vAlign w:val="center"/>
          </w:tcPr>
          <w:p w14:paraId="5153C29B">
            <w:pPr>
              <w:snapToGrid w:val="0"/>
              <w:spacing w:line="360" w:lineRule="auto"/>
              <w:jc w:val="center"/>
              <w:rPr>
                <w:rFonts w:ascii="仿宋" w:hAnsi="仿宋" w:eastAsia="仿宋" w:cs="仿宋"/>
                <w:sz w:val="24"/>
              </w:rPr>
            </w:pPr>
            <w:r>
              <w:rPr>
                <w:rFonts w:hint="eastAsia" w:ascii="仿宋" w:hAnsi="仿宋" w:eastAsia="仿宋" w:cs="仿宋"/>
                <w:sz w:val="24"/>
              </w:rPr>
              <w:t>系统升级与合规更新服务</w:t>
            </w:r>
          </w:p>
        </w:tc>
        <w:tc>
          <w:tcPr>
            <w:tcW w:w="2748" w:type="pct"/>
            <w:tcMar>
              <w:top w:w="60" w:type="dxa"/>
              <w:left w:w="120" w:type="dxa"/>
              <w:bottom w:w="30" w:type="dxa"/>
              <w:right w:w="120" w:type="dxa"/>
            </w:tcMar>
            <w:vAlign w:val="center"/>
          </w:tcPr>
          <w:p w14:paraId="2992FB9D">
            <w:pPr>
              <w:snapToGrid w:val="0"/>
              <w:spacing w:line="360" w:lineRule="auto"/>
              <w:rPr>
                <w:rFonts w:ascii="仿宋" w:hAnsi="仿宋" w:eastAsia="仿宋" w:cs="仿宋"/>
                <w:sz w:val="24"/>
              </w:rPr>
            </w:pPr>
            <w:r>
              <w:rPr>
                <w:rFonts w:hint="eastAsia" w:ascii="仿宋" w:hAnsi="仿宋" w:eastAsia="仿宋" w:cs="仿宋"/>
                <w:sz w:val="24"/>
              </w:rPr>
              <w:t>1. 依据国家、省、市卫健、医保、网信等部门新增或变更的政策法规、标准规范，免费、及时完成系统的合规性适配与更新服务，确保系统符合最新监管要求；</w:t>
            </w:r>
          </w:p>
          <w:p w14:paraId="2663B853">
            <w:pPr>
              <w:snapToGrid w:val="0"/>
              <w:spacing w:line="360" w:lineRule="auto"/>
              <w:rPr>
                <w:rFonts w:ascii="仿宋" w:hAnsi="仿宋" w:eastAsia="仿宋" w:cs="仿宋"/>
                <w:sz w:val="24"/>
              </w:rPr>
            </w:pPr>
            <w:r>
              <w:rPr>
                <w:rFonts w:hint="eastAsia" w:ascii="仿宋" w:hAnsi="仿宋" w:eastAsia="仿宋" w:cs="仿宋"/>
                <w:sz w:val="24"/>
              </w:rPr>
              <w:t>2. 提供系统同版本内的免费升级、功能优化服务，组织专业技术人员完成升级方案制定、测试、上线全流程工作，确保升级过程不影响医院正常业务；</w:t>
            </w:r>
          </w:p>
          <w:p w14:paraId="7C1CAA0C">
            <w:pPr>
              <w:snapToGrid w:val="0"/>
              <w:spacing w:line="360" w:lineRule="auto"/>
              <w:rPr>
                <w:rFonts w:ascii="仿宋" w:hAnsi="仿宋" w:eastAsia="仿宋" w:cs="仿宋"/>
                <w:sz w:val="24"/>
              </w:rPr>
            </w:pPr>
            <w:r>
              <w:rPr>
                <w:rFonts w:hint="eastAsia" w:ascii="仿宋" w:hAnsi="仿宋" w:eastAsia="仿宋" w:cs="仿宋"/>
                <w:sz w:val="24"/>
              </w:rPr>
              <w:t>3. 定期完成系统安全补丁、漏洞修复包的安装与调试，每月完成高危漏洞排查与修复；</w:t>
            </w:r>
          </w:p>
          <w:p w14:paraId="30A095BB">
            <w:pPr>
              <w:snapToGrid w:val="0"/>
              <w:spacing w:line="360" w:lineRule="auto"/>
              <w:rPr>
                <w:rFonts w:ascii="仿宋" w:hAnsi="仿宋" w:eastAsia="仿宋" w:cs="仿宋"/>
                <w:sz w:val="24"/>
              </w:rPr>
            </w:pPr>
            <w:r>
              <w:rPr>
                <w:rFonts w:hint="eastAsia" w:ascii="仿宋" w:hAnsi="仿宋" w:eastAsia="仿宋" w:cs="仿宋"/>
                <w:sz w:val="24"/>
              </w:rPr>
              <w:t>4. 配合采购人完成网络安全等级保护测评、医院信息互联互通标准化成熟度测评等相关工作，完成对应整改与系统适配。</w:t>
            </w:r>
          </w:p>
        </w:tc>
        <w:tc>
          <w:tcPr>
            <w:tcW w:w="717" w:type="pct"/>
            <w:tcMar>
              <w:top w:w="60" w:type="dxa"/>
              <w:left w:w="120" w:type="dxa"/>
              <w:bottom w:w="30" w:type="dxa"/>
              <w:right w:w="120" w:type="dxa"/>
            </w:tcMar>
            <w:vAlign w:val="center"/>
          </w:tcPr>
          <w:p w14:paraId="768493C4">
            <w:pPr>
              <w:snapToGrid w:val="0"/>
              <w:spacing w:line="360" w:lineRule="auto"/>
              <w:jc w:val="center"/>
              <w:rPr>
                <w:rFonts w:ascii="仿宋" w:hAnsi="仿宋" w:eastAsia="仿宋" w:cs="仿宋"/>
                <w:sz w:val="24"/>
              </w:rPr>
            </w:pPr>
            <w:r>
              <w:rPr>
                <w:rFonts w:hint="eastAsia" w:ascii="仿宋" w:hAnsi="仿宋" w:eastAsia="仿宋" w:cs="仿宋"/>
                <w:sz w:val="24"/>
              </w:rPr>
              <w:t>现场服务为主远程辅助</w:t>
            </w:r>
          </w:p>
        </w:tc>
        <w:tc>
          <w:tcPr>
            <w:tcW w:w="726" w:type="pct"/>
            <w:tcMar>
              <w:top w:w="60" w:type="dxa"/>
              <w:left w:w="120" w:type="dxa"/>
              <w:bottom w:w="30" w:type="dxa"/>
              <w:right w:w="120" w:type="dxa"/>
            </w:tcMar>
            <w:vAlign w:val="center"/>
          </w:tcPr>
          <w:p w14:paraId="37D5F4DA">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不限次数，每月至少1次安全补丁更新，政策变更后10个工作日内完成合规适配</w:t>
            </w:r>
          </w:p>
        </w:tc>
      </w:tr>
      <w:tr w14:paraId="41707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17A9425A">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484" w:type="pct"/>
            <w:tcMar>
              <w:top w:w="60" w:type="dxa"/>
              <w:left w:w="120" w:type="dxa"/>
              <w:bottom w:w="30" w:type="dxa"/>
              <w:right w:w="120" w:type="dxa"/>
            </w:tcMar>
            <w:vAlign w:val="center"/>
          </w:tcPr>
          <w:p w14:paraId="4FFB69F1">
            <w:pPr>
              <w:snapToGrid w:val="0"/>
              <w:spacing w:line="360" w:lineRule="auto"/>
              <w:jc w:val="center"/>
              <w:rPr>
                <w:rFonts w:ascii="仿宋" w:hAnsi="仿宋" w:eastAsia="仿宋" w:cs="仿宋"/>
                <w:sz w:val="24"/>
              </w:rPr>
            </w:pPr>
            <w:r>
              <w:rPr>
                <w:rFonts w:hint="eastAsia" w:ascii="仿宋" w:hAnsi="仿宋" w:eastAsia="仿宋" w:cs="仿宋"/>
                <w:sz w:val="24"/>
              </w:rPr>
              <w:t>配套设备运维服务</w:t>
            </w:r>
          </w:p>
        </w:tc>
        <w:tc>
          <w:tcPr>
            <w:tcW w:w="2748" w:type="pct"/>
            <w:tcMar>
              <w:top w:w="60" w:type="dxa"/>
              <w:left w:w="120" w:type="dxa"/>
              <w:bottom w:w="30" w:type="dxa"/>
              <w:right w:w="120" w:type="dxa"/>
            </w:tcMar>
            <w:vAlign w:val="center"/>
          </w:tcPr>
          <w:p w14:paraId="55F72F8B">
            <w:pPr>
              <w:snapToGrid w:val="0"/>
              <w:spacing w:line="360" w:lineRule="auto"/>
              <w:rPr>
                <w:rFonts w:ascii="仿宋" w:hAnsi="仿宋" w:eastAsia="仿宋" w:cs="仿宋"/>
                <w:sz w:val="24"/>
              </w:rPr>
            </w:pPr>
            <w:r>
              <w:rPr>
                <w:rFonts w:hint="eastAsia" w:ascii="仿宋" w:hAnsi="仿宋" w:eastAsia="仿宋" w:cs="仿宋"/>
                <w:sz w:val="24"/>
              </w:rPr>
              <w:t>1. 针对系统配套的硬件设备，提供维修、维护、调试服务，保障设备与系统接口程序稳定运行；</w:t>
            </w:r>
          </w:p>
          <w:p w14:paraId="7F21DA33">
            <w:pPr>
              <w:snapToGrid w:val="0"/>
              <w:spacing w:line="360" w:lineRule="auto"/>
              <w:rPr>
                <w:rFonts w:ascii="仿宋" w:hAnsi="仿宋" w:eastAsia="仿宋" w:cs="仿宋"/>
                <w:sz w:val="24"/>
              </w:rPr>
            </w:pPr>
            <w:r>
              <w:rPr>
                <w:rFonts w:hint="eastAsia" w:ascii="仿宋" w:hAnsi="仿宋" w:eastAsia="仿宋" w:cs="仿宋"/>
                <w:sz w:val="24"/>
              </w:rPr>
              <w:t>2. 医院新增、调整配套设备时，免费提供设备对接、系统适配、调试开通服务；</w:t>
            </w:r>
          </w:p>
          <w:p w14:paraId="18600EB9">
            <w:pPr>
              <w:snapToGrid w:val="0"/>
              <w:spacing w:line="360" w:lineRule="auto"/>
              <w:rPr>
                <w:rFonts w:ascii="仿宋" w:hAnsi="仿宋" w:eastAsia="仿宋" w:cs="仿宋"/>
                <w:sz w:val="24"/>
              </w:rPr>
            </w:pPr>
            <w:r>
              <w:rPr>
                <w:rFonts w:hint="eastAsia" w:ascii="仿宋" w:hAnsi="仿宋" w:eastAsia="仿宋" w:cs="仿宋"/>
                <w:sz w:val="24"/>
              </w:rPr>
              <w:t>3. 定期对配套设备进行巡检，排查硬件故障隐患，降低设备故障率。</w:t>
            </w:r>
          </w:p>
        </w:tc>
        <w:tc>
          <w:tcPr>
            <w:tcW w:w="717" w:type="pct"/>
            <w:tcMar>
              <w:top w:w="60" w:type="dxa"/>
              <w:left w:w="120" w:type="dxa"/>
              <w:bottom w:w="30" w:type="dxa"/>
              <w:right w:w="120" w:type="dxa"/>
            </w:tcMar>
            <w:vAlign w:val="center"/>
          </w:tcPr>
          <w:p w14:paraId="66C62D91">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w:t>
            </w:r>
          </w:p>
        </w:tc>
        <w:tc>
          <w:tcPr>
            <w:tcW w:w="726" w:type="pct"/>
            <w:tcMar>
              <w:top w:w="60" w:type="dxa"/>
              <w:left w:w="120" w:type="dxa"/>
              <w:bottom w:w="30" w:type="dxa"/>
              <w:right w:w="120" w:type="dxa"/>
            </w:tcMar>
            <w:vAlign w:val="center"/>
          </w:tcPr>
          <w:p w14:paraId="0FF27741">
            <w:pPr>
              <w:snapToGrid w:val="0"/>
              <w:spacing w:line="360" w:lineRule="auto"/>
              <w:jc w:val="center"/>
              <w:rPr>
                <w:rFonts w:ascii="仿宋" w:hAnsi="仿宋" w:eastAsia="仿宋" w:cs="仿宋"/>
                <w:sz w:val="24"/>
              </w:rPr>
            </w:pPr>
            <w:r>
              <w:rPr>
                <w:rFonts w:hint="eastAsia" w:ascii="仿宋" w:hAnsi="仿宋" w:eastAsia="仿宋" w:cs="仿宋"/>
                <w:sz w:val="24"/>
              </w:rPr>
              <w:t>不限次数，每季度至少1次全量设备巡检</w:t>
            </w:r>
          </w:p>
        </w:tc>
      </w:tr>
      <w:tr w14:paraId="0C3FE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0456B4E5">
            <w:pPr>
              <w:snapToGrid w:val="0"/>
              <w:spacing w:line="360" w:lineRule="auto"/>
              <w:jc w:val="center"/>
              <w:rPr>
                <w:rFonts w:ascii="仿宋" w:hAnsi="仿宋" w:eastAsia="仿宋" w:cs="仿宋"/>
                <w:sz w:val="24"/>
              </w:rPr>
            </w:pPr>
            <w:r>
              <w:rPr>
                <w:rFonts w:hint="eastAsia" w:ascii="仿宋" w:hAnsi="仿宋" w:eastAsia="仿宋" w:cs="仿宋"/>
                <w:sz w:val="24"/>
              </w:rPr>
              <w:t>5</w:t>
            </w:r>
          </w:p>
        </w:tc>
        <w:tc>
          <w:tcPr>
            <w:tcW w:w="484" w:type="pct"/>
            <w:tcMar>
              <w:top w:w="60" w:type="dxa"/>
              <w:left w:w="120" w:type="dxa"/>
              <w:bottom w:w="30" w:type="dxa"/>
              <w:right w:w="120" w:type="dxa"/>
            </w:tcMar>
            <w:vAlign w:val="center"/>
          </w:tcPr>
          <w:p w14:paraId="1A9110DE">
            <w:pPr>
              <w:snapToGrid w:val="0"/>
              <w:spacing w:line="360" w:lineRule="auto"/>
              <w:jc w:val="center"/>
              <w:rPr>
                <w:rFonts w:ascii="仿宋" w:hAnsi="仿宋" w:eastAsia="仿宋" w:cs="仿宋"/>
                <w:sz w:val="24"/>
              </w:rPr>
            </w:pPr>
            <w:r>
              <w:rPr>
                <w:rFonts w:hint="eastAsia" w:ascii="仿宋" w:hAnsi="仿宋" w:eastAsia="仿宋" w:cs="仿宋"/>
                <w:sz w:val="24"/>
              </w:rPr>
              <w:t>网络安全与数据安全服务</w:t>
            </w:r>
          </w:p>
        </w:tc>
        <w:tc>
          <w:tcPr>
            <w:tcW w:w="2748" w:type="pct"/>
            <w:tcMar>
              <w:top w:w="60" w:type="dxa"/>
              <w:left w:w="120" w:type="dxa"/>
              <w:bottom w:w="30" w:type="dxa"/>
              <w:right w:w="120" w:type="dxa"/>
            </w:tcMar>
            <w:vAlign w:val="center"/>
          </w:tcPr>
          <w:p w14:paraId="03CFDEC9">
            <w:pPr>
              <w:snapToGrid w:val="0"/>
              <w:spacing w:line="360" w:lineRule="auto"/>
              <w:rPr>
                <w:rFonts w:ascii="仿宋" w:hAnsi="仿宋" w:eastAsia="仿宋" w:cs="仿宋"/>
                <w:sz w:val="24"/>
              </w:rPr>
            </w:pPr>
            <w:r>
              <w:rPr>
                <w:rFonts w:hint="eastAsia" w:ascii="仿宋" w:hAnsi="仿宋" w:eastAsia="仿宋" w:cs="仿宋"/>
                <w:sz w:val="24"/>
              </w:rPr>
              <w:t>1. 严格根据《网络安全法》《数据安全法》《个人信息保护法》《医疗卫生机构网络安全管理办法》及相关法律法规，为采购人提供全流程网络安全与数据安全服务；</w:t>
            </w:r>
          </w:p>
          <w:p w14:paraId="32DE4B71">
            <w:pPr>
              <w:snapToGrid w:val="0"/>
              <w:spacing w:line="360" w:lineRule="auto"/>
              <w:rPr>
                <w:rFonts w:ascii="仿宋" w:hAnsi="仿宋" w:eastAsia="仿宋" w:cs="仿宋"/>
                <w:sz w:val="24"/>
              </w:rPr>
            </w:pPr>
            <w:r>
              <w:rPr>
                <w:rFonts w:hint="eastAsia" w:ascii="仿宋" w:hAnsi="仿宋" w:eastAsia="仿宋" w:cs="仿宋"/>
                <w:sz w:val="24"/>
              </w:rPr>
              <w:t>2. 网络安全服务包含且不限于：漏洞修复、安全问题整改、安全风险排查、入侵检测与防御等服务，重点保障系统核心数据传输安全；</w:t>
            </w:r>
          </w:p>
          <w:p w14:paraId="1941B3A7">
            <w:pPr>
              <w:snapToGrid w:val="0"/>
              <w:spacing w:line="360" w:lineRule="auto"/>
              <w:rPr>
                <w:rFonts w:ascii="仿宋" w:hAnsi="仿宋" w:eastAsia="仿宋" w:cs="仿宋"/>
                <w:sz w:val="24"/>
              </w:rPr>
            </w:pPr>
            <w:r>
              <w:rPr>
                <w:rFonts w:hint="eastAsia" w:ascii="仿宋" w:hAnsi="仿宋" w:eastAsia="仿宋" w:cs="仿宋"/>
                <w:sz w:val="24"/>
              </w:rPr>
              <w:t>3. 数据安全服务包含且不限于：数据加密、数据备份与恢复、数据库安全审计、患者信息保护等服务，确保数据符合数据安全要求；</w:t>
            </w:r>
          </w:p>
          <w:p w14:paraId="3541C80F">
            <w:pPr>
              <w:snapToGrid w:val="0"/>
              <w:spacing w:line="360" w:lineRule="auto"/>
              <w:rPr>
                <w:rFonts w:ascii="仿宋" w:hAnsi="仿宋" w:eastAsia="仿宋" w:cs="仿宋"/>
                <w:sz w:val="24"/>
              </w:rPr>
            </w:pPr>
            <w:r>
              <w:rPr>
                <w:rFonts w:hint="eastAsia" w:ascii="仿宋" w:hAnsi="仿宋" w:eastAsia="仿宋" w:cs="仿宋"/>
                <w:sz w:val="24"/>
              </w:rPr>
              <w:t>4. 配合采购人完成数据安全检查、网络安全审计、等保测评等相关工作，提供技术支撑与整改服务；</w:t>
            </w:r>
          </w:p>
          <w:p w14:paraId="30C776DA">
            <w:pPr>
              <w:snapToGrid w:val="0"/>
              <w:spacing w:line="360" w:lineRule="auto"/>
              <w:rPr>
                <w:rFonts w:ascii="仿宋" w:hAnsi="仿宋" w:eastAsia="仿宋" w:cs="仿宋"/>
                <w:sz w:val="24"/>
              </w:rPr>
            </w:pPr>
            <w:r>
              <w:rPr>
                <w:rFonts w:hint="eastAsia" w:ascii="仿宋" w:hAnsi="仿宋" w:eastAsia="仿宋" w:cs="仿宋"/>
                <w:sz w:val="24"/>
              </w:rPr>
              <w:t>5. 规范远程运维操作，所有远程操作全程留痕，审计日志留存不少于6个月，杜绝非法远程访问。</w:t>
            </w:r>
          </w:p>
        </w:tc>
        <w:tc>
          <w:tcPr>
            <w:tcW w:w="717" w:type="pct"/>
            <w:tcMar>
              <w:top w:w="60" w:type="dxa"/>
              <w:left w:w="120" w:type="dxa"/>
              <w:bottom w:w="30" w:type="dxa"/>
              <w:right w:w="120" w:type="dxa"/>
            </w:tcMar>
            <w:vAlign w:val="center"/>
          </w:tcPr>
          <w:p w14:paraId="74E2DFEC">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w:t>
            </w:r>
          </w:p>
        </w:tc>
        <w:tc>
          <w:tcPr>
            <w:tcW w:w="726" w:type="pct"/>
            <w:tcMar>
              <w:top w:w="60" w:type="dxa"/>
              <w:left w:w="120" w:type="dxa"/>
              <w:bottom w:w="30" w:type="dxa"/>
              <w:right w:w="120" w:type="dxa"/>
            </w:tcMar>
            <w:vAlign w:val="center"/>
          </w:tcPr>
          <w:p w14:paraId="0583C8CD">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不限次数，每月至少1次安全风险排查，每季度至少1次数据安全专项检查</w:t>
            </w:r>
          </w:p>
        </w:tc>
      </w:tr>
      <w:tr w14:paraId="70FFE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0C2EA650">
            <w:pPr>
              <w:snapToGrid w:val="0"/>
              <w:spacing w:line="360" w:lineRule="auto"/>
              <w:jc w:val="center"/>
              <w:rPr>
                <w:rFonts w:ascii="仿宋" w:hAnsi="仿宋" w:eastAsia="仿宋" w:cs="仿宋"/>
                <w:sz w:val="24"/>
              </w:rPr>
            </w:pPr>
            <w:r>
              <w:rPr>
                <w:rFonts w:hint="eastAsia" w:ascii="仿宋" w:hAnsi="仿宋" w:eastAsia="仿宋" w:cs="仿宋"/>
                <w:sz w:val="24"/>
              </w:rPr>
              <w:t>6</w:t>
            </w:r>
          </w:p>
        </w:tc>
        <w:tc>
          <w:tcPr>
            <w:tcW w:w="484" w:type="pct"/>
            <w:tcMar>
              <w:top w:w="60" w:type="dxa"/>
              <w:left w:w="120" w:type="dxa"/>
              <w:bottom w:w="30" w:type="dxa"/>
              <w:right w:w="120" w:type="dxa"/>
            </w:tcMar>
            <w:vAlign w:val="center"/>
          </w:tcPr>
          <w:p w14:paraId="2A43249A">
            <w:pPr>
              <w:snapToGrid w:val="0"/>
              <w:spacing w:line="360" w:lineRule="auto"/>
              <w:jc w:val="center"/>
              <w:rPr>
                <w:rFonts w:ascii="仿宋" w:hAnsi="仿宋" w:eastAsia="仿宋" w:cs="仿宋"/>
                <w:sz w:val="24"/>
              </w:rPr>
            </w:pPr>
            <w:r>
              <w:rPr>
                <w:rFonts w:hint="eastAsia" w:ascii="仿宋" w:hAnsi="仿宋" w:eastAsia="仿宋" w:cs="仿宋"/>
                <w:sz w:val="24"/>
              </w:rPr>
              <w:t>人员培训服务</w:t>
            </w:r>
          </w:p>
        </w:tc>
        <w:tc>
          <w:tcPr>
            <w:tcW w:w="2748" w:type="pct"/>
            <w:tcMar>
              <w:top w:w="60" w:type="dxa"/>
              <w:left w:w="120" w:type="dxa"/>
              <w:bottom w:w="30" w:type="dxa"/>
              <w:right w:w="120" w:type="dxa"/>
            </w:tcMar>
            <w:vAlign w:val="center"/>
          </w:tcPr>
          <w:p w14:paraId="048062EF">
            <w:pPr>
              <w:snapToGrid w:val="0"/>
              <w:spacing w:line="360" w:lineRule="auto"/>
              <w:rPr>
                <w:rFonts w:ascii="仿宋" w:hAnsi="仿宋" w:eastAsia="仿宋" w:cs="仿宋"/>
                <w:sz w:val="24"/>
              </w:rPr>
            </w:pPr>
            <w:r>
              <w:rPr>
                <w:rFonts w:hint="eastAsia" w:ascii="仿宋" w:hAnsi="仿宋" w:eastAsia="仿宋" w:cs="仿宋"/>
                <w:sz w:val="24"/>
              </w:rPr>
              <w:t>1. 针对医院管理岗、医护操作岗、信息科技术岗，分别制定差异化培训计划，编制标准化培训教材与操作手册；</w:t>
            </w:r>
          </w:p>
          <w:p w14:paraId="68FF8D19">
            <w:pPr>
              <w:snapToGrid w:val="0"/>
              <w:spacing w:line="360" w:lineRule="auto"/>
              <w:rPr>
                <w:rFonts w:ascii="仿宋" w:hAnsi="仿宋" w:eastAsia="仿宋" w:cs="仿宋"/>
                <w:sz w:val="24"/>
              </w:rPr>
            </w:pPr>
            <w:r>
              <w:rPr>
                <w:rFonts w:hint="eastAsia" w:ascii="仿宋" w:hAnsi="仿宋" w:eastAsia="仿宋" w:cs="仿宋"/>
                <w:sz w:val="24"/>
              </w:rPr>
              <w:t>2. 培训内容包括系统操作规范、常见故障处置、数据安全与个人信息保护、应急处置流程等；</w:t>
            </w:r>
          </w:p>
          <w:p w14:paraId="0F6A4E1D">
            <w:pPr>
              <w:snapToGrid w:val="0"/>
              <w:spacing w:line="360" w:lineRule="auto"/>
              <w:rPr>
                <w:rFonts w:ascii="仿宋" w:hAnsi="仿宋" w:eastAsia="仿宋" w:cs="仿宋"/>
                <w:sz w:val="24"/>
              </w:rPr>
            </w:pPr>
            <w:r>
              <w:rPr>
                <w:rFonts w:hint="eastAsia" w:ascii="仿宋" w:hAnsi="仿宋" w:eastAsia="仿宋" w:cs="仿宋"/>
                <w:sz w:val="24"/>
              </w:rPr>
              <w:t>3. 培训完成后组织考核，确保参训人员掌握对应技能；</w:t>
            </w:r>
          </w:p>
          <w:p w14:paraId="0BAE1158">
            <w:pPr>
              <w:snapToGrid w:val="0"/>
              <w:spacing w:line="360" w:lineRule="auto"/>
              <w:rPr>
                <w:rFonts w:ascii="仿宋" w:hAnsi="仿宋" w:eastAsia="仿宋" w:cs="仿宋"/>
                <w:sz w:val="24"/>
              </w:rPr>
            </w:pPr>
            <w:r>
              <w:rPr>
                <w:rFonts w:hint="eastAsia" w:ascii="仿宋" w:hAnsi="仿宋" w:eastAsia="仿宋" w:cs="仿宋"/>
                <w:sz w:val="24"/>
              </w:rPr>
              <w:t>4. 针对系统升级、新功能上线、新员工入职等场景，提供即时专项培训服务。</w:t>
            </w:r>
          </w:p>
        </w:tc>
        <w:tc>
          <w:tcPr>
            <w:tcW w:w="717" w:type="pct"/>
            <w:tcMar>
              <w:top w:w="60" w:type="dxa"/>
              <w:left w:w="120" w:type="dxa"/>
              <w:bottom w:w="30" w:type="dxa"/>
              <w:right w:w="120" w:type="dxa"/>
            </w:tcMar>
            <w:vAlign w:val="center"/>
          </w:tcPr>
          <w:p w14:paraId="7B9F9808">
            <w:pPr>
              <w:snapToGrid w:val="0"/>
              <w:spacing w:line="360" w:lineRule="auto"/>
              <w:jc w:val="center"/>
              <w:rPr>
                <w:rFonts w:ascii="仿宋" w:hAnsi="仿宋" w:eastAsia="仿宋" w:cs="仿宋"/>
                <w:sz w:val="24"/>
              </w:rPr>
            </w:pPr>
            <w:r>
              <w:rPr>
                <w:rFonts w:hint="eastAsia" w:ascii="仿宋" w:hAnsi="仿宋" w:eastAsia="仿宋" w:cs="仿宋"/>
                <w:sz w:val="24"/>
              </w:rPr>
              <w:t>现场培训远程线上培训</w:t>
            </w:r>
          </w:p>
        </w:tc>
        <w:tc>
          <w:tcPr>
            <w:tcW w:w="726" w:type="pct"/>
            <w:tcMar>
              <w:top w:w="60" w:type="dxa"/>
              <w:left w:w="120" w:type="dxa"/>
              <w:bottom w:w="30" w:type="dxa"/>
              <w:right w:w="120" w:type="dxa"/>
            </w:tcMar>
            <w:vAlign w:val="center"/>
          </w:tcPr>
          <w:p w14:paraId="578E09EC">
            <w:pPr>
              <w:snapToGrid w:val="0"/>
              <w:spacing w:line="360" w:lineRule="auto"/>
              <w:jc w:val="center"/>
              <w:rPr>
                <w:rFonts w:ascii="仿宋" w:hAnsi="仿宋" w:eastAsia="仿宋" w:cs="仿宋"/>
                <w:sz w:val="24"/>
              </w:rPr>
            </w:pPr>
            <w:r>
              <w:rPr>
                <w:rFonts w:hint="eastAsia" w:ascii="仿宋" w:hAnsi="仿宋" w:eastAsia="仿宋" w:cs="仿宋"/>
                <w:sz w:val="24"/>
              </w:rPr>
              <w:t>全年累计培训不少于20学时，集中培训不少于2次，专项培训不限次数</w:t>
            </w:r>
          </w:p>
        </w:tc>
      </w:tr>
      <w:tr w14:paraId="10990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5D171FDF">
            <w:pPr>
              <w:snapToGrid w:val="0"/>
              <w:spacing w:line="360" w:lineRule="auto"/>
              <w:jc w:val="center"/>
              <w:rPr>
                <w:rFonts w:ascii="仿宋" w:hAnsi="仿宋" w:eastAsia="仿宋" w:cs="仿宋"/>
                <w:sz w:val="24"/>
              </w:rPr>
            </w:pPr>
            <w:r>
              <w:rPr>
                <w:rFonts w:hint="eastAsia" w:ascii="仿宋" w:hAnsi="仿宋" w:eastAsia="仿宋" w:cs="仿宋"/>
                <w:sz w:val="24"/>
              </w:rPr>
              <w:t>7</w:t>
            </w:r>
          </w:p>
        </w:tc>
        <w:tc>
          <w:tcPr>
            <w:tcW w:w="484" w:type="pct"/>
            <w:tcMar>
              <w:top w:w="60" w:type="dxa"/>
              <w:left w:w="120" w:type="dxa"/>
              <w:bottom w:w="30" w:type="dxa"/>
              <w:right w:w="120" w:type="dxa"/>
            </w:tcMar>
            <w:vAlign w:val="center"/>
          </w:tcPr>
          <w:p w14:paraId="55465E0D">
            <w:pPr>
              <w:snapToGrid w:val="0"/>
              <w:spacing w:line="360" w:lineRule="auto"/>
              <w:jc w:val="center"/>
              <w:rPr>
                <w:rFonts w:ascii="仿宋" w:hAnsi="仿宋" w:eastAsia="仿宋" w:cs="仿宋"/>
                <w:sz w:val="24"/>
              </w:rPr>
            </w:pPr>
            <w:r>
              <w:rPr>
                <w:rFonts w:hint="eastAsia" w:ascii="仿宋" w:hAnsi="仿宋" w:eastAsia="仿宋" w:cs="仿宋"/>
                <w:sz w:val="24"/>
              </w:rPr>
              <w:t>应急保障服务</w:t>
            </w:r>
          </w:p>
        </w:tc>
        <w:tc>
          <w:tcPr>
            <w:tcW w:w="2748" w:type="pct"/>
            <w:tcMar>
              <w:top w:w="60" w:type="dxa"/>
              <w:left w:w="120" w:type="dxa"/>
              <w:bottom w:w="30" w:type="dxa"/>
              <w:right w:w="120" w:type="dxa"/>
            </w:tcMar>
            <w:vAlign w:val="center"/>
          </w:tcPr>
          <w:p w14:paraId="6EE30669">
            <w:pPr>
              <w:snapToGrid w:val="0"/>
              <w:spacing w:line="360" w:lineRule="auto"/>
              <w:rPr>
                <w:rFonts w:ascii="仿宋" w:hAnsi="仿宋" w:eastAsia="仿宋" w:cs="仿宋"/>
                <w:sz w:val="24"/>
              </w:rPr>
            </w:pPr>
            <w:r>
              <w:rPr>
                <w:rFonts w:hint="eastAsia" w:ascii="仿宋" w:hAnsi="仿宋" w:eastAsia="仿宋" w:cs="仿宋"/>
                <w:sz w:val="24"/>
              </w:rPr>
              <w:t>1. 针对系统瘫痪、重大数据安全事件、网络攻击等突发场景，制定专项应急预案，明确应急处置流程、责任人员、处置方案；</w:t>
            </w:r>
          </w:p>
          <w:p w14:paraId="63B1DB71">
            <w:pPr>
              <w:snapToGrid w:val="0"/>
              <w:spacing w:line="360" w:lineRule="auto"/>
              <w:rPr>
                <w:rFonts w:ascii="仿宋" w:hAnsi="仿宋" w:eastAsia="仿宋" w:cs="仿宋"/>
                <w:sz w:val="24"/>
              </w:rPr>
            </w:pPr>
            <w:r>
              <w:rPr>
                <w:rFonts w:hint="eastAsia" w:ascii="仿宋" w:hAnsi="仿宋" w:eastAsia="仿宋" w:cs="仿宋"/>
                <w:sz w:val="24"/>
              </w:rPr>
              <w:t>2. 每年联合采购人组织不少于1次应急演练，优化应急预案；</w:t>
            </w:r>
          </w:p>
          <w:p w14:paraId="621A0051">
            <w:pPr>
              <w:snapToGrid w:val="0"/>
              <w:spacing w:line="360" w:lineRule="auto"/>
              <w:rPr>
                <w:rFonts w:ascii="仿宋" w:hAnsi="仿宋" w:eastAsia="仿宋" w:cs="仿宋"/>
                <w:sz w:val="24"/>
              </w:rPr>
            </w:pPr>
            <w:r>
              <w:rPr>
                <w:rFonts w:hint="eastAsia" w:ascii="仿宋" w:hAnsi="仿宋" w:eastAsia="仿宋" w:cs="仿宋"/>
                <w:sz w:val="24"/>
              </w:rPr>
              <w:t>3. 医院业务高峰、节假日、重大医疗活动等特殊时段，提供专属保障服务，提前完成系统巡检，全程值守保障系统稳定运行。</w:t>
            </w:r>
          </w:p>
        </w:tc>
        <w:tc>
          <w:tcPr>
            <w:tcW w:w="717" w:type="pct"/>
            <w:tcMar>
              <w:top w:w="60" w:type="dxa"/>
              <w:left w:w="120" w:type="dxa"/>
              <w:bottom w:w="30" w:type="dxa"/>
              <w:right w:w="120" w:type="dxa"/>
            </w:tcMar>
            <w:vAlign w:val="center"/>
          </w:tcPr>
          <w:p w14:paraId="235A0C74">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远程服务、现场服务7×24小时应急响应</w:t>
            </w:r>
          </w:p>
        </w:tc>
        <w:tc>
          <w:tcPr>
            <w:tcW w:w="726" w:type="pct"/>
            <w:tcMar>
              <w:top w:w="60" w:type="dxa"/>
              <w:left w:w="120" w:type="dxa"/>
              <w:bottom w:w="30" w:type="dxa"/>
              <w:right w:w="120" w:type="dxa"/>
            </w:tcMar>
            <w:vAlign w:val="center"/>
          </w:tcPr>
          <w:p w14:paraId="1393DB7D">
            <w:pPr>
              <w:snapToGrid w:val="0"/>
              <w:spacing w:line="360" w:lineRule="auto"/>
              <w:jc w:val="center"/>
              <w:rPr>
                <w:rFonts w:ascii="仿宋" w:hAnsi="仿宋" w:eastAsia="仿宋" w:cs="仿宋"/>
                <w:sz w:val="24"/>
              </w:rPr>
            </w:pPr>
            <w:r>
              <w:rPr>
                <w:rFonts w:hint="eastAsia" w:ascii="仿宋" w:hAnsi="仿宋" w:eastAsia="仿宋" w:cs="仿宋"/>
                <w:sz w:val="24"/>
              </w:rPr>
              <w:t>每年不少于1次应急演练，特殊时段按需提供驻场保障</w:t>
            </w:r>
          </w:p>
        </w:tc>
      </w:tr>
      <w:tr w14:paraId="64BA4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67241AEC">
            <w:pPr>
              <w:snapToGrid w:val="0"/>
              <w:spacing w:line="360" w:lineRule="auto"/>
              <w:jc w:val="center"/>
              <w:rPr>
                <w:rFonts w:ascii="仿宋" w:hAnsi="仿宋" w:eastAsia="仿宋" w:cs="仿宋"/>
                <w:sz w:val="24"/>
              </w:rPr>
            </w:pPr>
            <w:r>
              <w:rPr>
                <w:rFonts w:hint="eastAsia" w:ascii="仿宋" w:hAnsi="仿宋" w:eastAsia="仿宋" w:cs="仿宋"/>
                <w:sz w:val="24"/>
              </w:rPr>
              <w:t>8</w:t>
            </w:r>
          </w:p>
        </w:tc>
        <w:tc>
          <w:tcPr>
            <w:tcW w:w="484" w:type="pct"/>
            <w:tcMar>
              <w:top w:w="60" w:type="dxa"/>
              <w:left w:w="120" w:type="dxa"/>
              <w:bottom w:w="30" w:type="dxa"/>
              <w:right w:w="120" w:type="dxa"/>
            </w:tcMar>
            <w:vAlign w:val="center"/>
          </w:tcPr>
          <w:p w14:paraId="35A1BB42">
            <w:pPr>
              <w:snapToGrid w:val="0"/>
              <w:spacing w:line="360" w:lineRule="auto"/>
              <w:jc w:val="center"/>
              <w:rPr>
                <w:rFonts w:ascii="仿宋" w:hAnsi="仿宋" w:eastAsia="仿宋" w:cs="仿宋"/>
                <w:sz w:val="24"/>
              </w:rPr>
            </w:pPr>
            <w:r>
              <w:rPr>
                <w:rFonts w:hint="eastAsia" w:ascii="仿宋" w:hAnsi="仿宋" w:eastAsia="仿宋" w:cs="仿宋"/>
                <w:sz w:val="24"/>
              </w:rPr>
              <w:t>服务器端国产化替代专项技术服务</w:t>
            </w:r>
          </w:p>
        </w:tc>
        <w:tc>
          <w:tcPr>
            <w:tcW w:w="2748" w:type="pct"/>
            <w:tcMar>
              <w:top w:w="60" w:type="dxa"/>
              <w:left w:w="120" w:type="dxa"/>
              <w:bottom w:w="30" w:type="dxa"/>
              <w:right w:w="120" w:type="dxa"/>
            </w:tcMar>
            <w:vAlign w:val="center"/>
          </w:tcPr>
          <w:p w14:paraId="1A329E65">
            <w:pPr>
              <w:snapToGrid w:val="0"/>
              <w:spacing w:line="360" w:lineRule="auto"/>
              <w:rPr>
                <w:rFonts w:ascii="仿宋" w:hAnsi="仿宋" w:eastAsia="仿宋" w:cs="仿宋"/>
                <w:sz w:val="24"/>
              </w:rPr>
            </w:pPr>
            <w:r>
              <w:rPr>
                <w:rFonts w:hint="eastAsia" w:ascii="仿宋" w:hAnsi="仿宋" w:eastAsia="仿宋" w:cs="仿宋"/>
                <w:sz w:val="24"/>
              </w:rPr>
              <w:t>1. 国产化适配前置评估：针对采购人服务器端国产化替代建设需求，完成现有《院内感染实时监控系统》全模块、全功能的国产化环境兼容性评估，覆盖国产服务器硬件、操作系统、数据库、中间件的全栈适配性分析，结合信息系统特性出具完整的《系统国产化适配评估报告》《国产化迁移实施方案》《业务割接与风险应急预案》</w:t>
            </w:r>
          </w:p>
          <w:p w14:paraId="2950FA1D">
            <w:pPr>
              <w:snapToGrid w:val="0"/>
              <w:spacing w:line="360" w:lineRule="auto"/>
              <w:rPr>
                <w:rFonts w:ascii="仿宋" w:hAnsi="仿宋" w:eastAsia="仿宋" w:cs="仿宋"/>
                <w:sz w:val="24"/>
              </w:rPr>
            </w:pPr>
            <w:r>
              <w:rPr>
                <w:rFonts w:hint="eastAsia" w:ascii="仿宋" w:hAnsi="仿宋" w:eastAsia="仿宋" w:cs="仿宋"/>
                <w:sz w:val="24"/>
              </w:rPr>
              <w:t>2. 原厂级适配改造开发：针对评估发现的兼容性问题，提供系统源代码级的适配改造、功能优化、接口重构服务，确保系统在国产化服务器环境下全功能正常运行、业务流程无断点、数据交互无异常，同时保障系统与院内HIS、LIS、PACS、EMR等现有及新增信创/非信创系统的互联互通，适配改造后系统性能不低于原有非国产化环境水平；</w:t>
            </w:r>
          </w:p>
          <w:p w14:paraId="2A7698E0">
            <w:pPr>
              <w:snapToGrid w:val="0"/>
              <w:spacing w:line="360" w:lineRule="auto"/>
              <w:rPr>
                <w:rFonts w:ascii="仿宋" w:hAnsi="仿宋" w:eastAsia="仿宋" w:cs="仿宋"/>
                <w:sz w:val="24"/>
              </w:rPr>
            </w:pPr>
            <w:r>
              <w:rPr>
                <w:rFonts w:hint="eastAsia" w:ascii="仿宋" w:hAnsi="仿宋" w:eastAsia="仿宋" w:cs="仿宋"/>
                <w:sz w:val="24"/>
              </w:rPr>
              <w:t>3. 国产化迁移与割接实施：配合采购人完成国产化测试环境搭建、全量功能测试、压力测试、兼容性测试、安全测试，制定分阶段、零风险的业务割接方案，割接操作安排在非业务高峰时段（夜间、节假日），全程派驻技术人员现场值守，保障迁移过程医疗数据零丢失、零泄露、零篡改，业务中断时长符合医院医疗安全管理要求，如出现异常立即启动回滚预案，保障业务连续性；</w:t>
            </w:r>
          </w:p>
          <w:p w14:paraId="7A299943">
            <w:pPr>
              <w:snapToGrid w:val="0"/>
              <w:spacing w:line="360" w:lineRule="auto"/>
              <w:rPr>
                <w:rFonts w:ascii="仿宋" w:hAnsi="仿宋" w:eastAsia="仿宋" w:cs="仿宋"/>
                <w:sz w:val="24"/>
              </w:rPr>
            </w:pPr>
            <w:r>
              <w:rPr>
                <w:rFonts w:hint="eastAsia" w:ascii="仿宋" w:hAnsi="仿宋" w:eastAsia="仿宋" w:cs="仿宋"/>
                <w:sz w:val="24"/>
              </w:rPr>
              <w:t>4. 国产化环境专项运维保障：系统迁移至国产化服务器环境后，提供专属专项运维服务，包括国产化环境下系统日常巡检、性能优化、故障排查处置、安全补丁适配、漏洞修复、合规性升级，建立国产化环境专属运维台账，针对国产化平台特性优化运维流程，保障系统在国产化服务器环境下持续稳定运行；</w:t>
            </w:r>
          </w:p>
          <w:p w14:paraId="4C911D98">
            <w:pPr>
              <w:snapToGrid w:val="0"/>
              <w:spacing w:line="360" w:lineRule="auto"/>
              <w:rPr>
                <w:rFonts w:ascii="仿宋" w:hAnsi="仿宋" w:eastAsia="仿宋" w:cs="仿宋"/>
                <w:sz w:val="24"/>
              </w:rPr>
            </w:pPr>
            <w:r>
              <w:rPr>
                <w:rFonts w:hint="eastAsia" w:ascii="仿宋" w:hAnsi="仿宋" w:eastAsia="仿宋" w:cs="仿宋"/>
                <w:sz w:val="24"/>
              </w:rPr>
              <w:t>5. 合规适配与测评支撑：配合采购人完成信创建设合规验收、网络安全等级保护测评、医院信息互联互通标准化成熟度测评等相关工作，提供系统国产化适配证明、测试报告、技术支撑及整改服务，确保系统符合国家及地方交通、卫健、网信部门关于医疗信息化信创建设的最新政策要求；</w:t>
            </w:r>
          </w:p>
          <w:p w14:paraId="7C1E9594">
            <w:pPr>
              <w:snapToGrid w:val="0"/>
              <w:spacing w:line="360" w:lineRule="auto"/>
              <w:rPr>
                <w:rFonts w:ascii="仿宋" w:hAnsi="仿宋" w:eastAsia="仿宋" w:cs="仿宋"/>
                <w:sz w:val="24"/>
              </w:rPr>
            </w:pPr>
            <w:r>
              <w:rPr>
                <w:rFonts w:hint="eastAsia" w:ascii="仿宋" w:hAnsi="仿宋" w:eastAsia="仿宋" w:cs="仿宋"/>
                <w:sz w:val="24"/>
              </w:rPr>
              <w:t>6. 国产化专项培训：针对国产化服务器环境下的系统运维、操作使用、故障应急处置，为采购人信息科技术人员、医护操作岗、管理岗人员提供专项定制化培训，编制专属培训教材，确保参训人员掌握对应技能。</w:t>
            </w:r>
          </w:p>
        </w:tc>
        <w:tc>
          <w:tcPr>
            <w:tcW w:w="717" w:type="pct"/>
            <w:tcMar>
              <w:top w:w="60" w:type="dxa"/>
              <w:left w:w="120" w:type="dxa"/>
              <w:bottom w:w="30" w:type="dxa"/>
              <w:right w:w="120" w:type="dxa"/>
            </w:tcMar>
            <w:vAlign w:val="center"/>
          </w:tcPr>
          <w:p w14:paraId="02F96E86">
            <w:pPr>
              <w:snapToGrid w:val="0"/>
              <w:spacing w:line="360" w:lineRule="auto"/>
              <w:jc w:val="center"/>
              <w:rPr>
                <w:rFonts w:ascii="仿宋" w:hAnsi="仿宋" w:eastAsia="仿宋" w:cs="仿宋"/>
                <w:sz w:val="24"/>
              </w:rPr>
            </w:pPr>
            <w:r>
              <w:rPr>
                <w:rFonts w:hint="eastAsia" w:ascii="仿宋" w:hAnsi="仿宋" w:eastAsia="仿宋" w:cs="仿宋"/>
                <w:sz w:val="24"/>
              </w:rPr>
              <w:t>现场服务为主，远程辅助服务，专项驻场服务</w:t>
            </w:r>
          </w:p>
        </w:tc>
        <w:tc>
          <w:tcPr>
            <w:tcW w:w="726" w:type="pct"/>
            <w:tcMar>
              <w:top w:w="60" w:type="dxa"/>
              <w:left w:w="120" w:type="dxa"/>
              <w:bottom w:w="30" w:type="dxa"/>
              <w:right w:w="120" w:type="dxa"/>
            </w:tcMar>
            <w:vAlign w:val="center"/>
          </w:tcPr>
          <w:p w14:paraId="393D72D9">
            <w:pPr>
              <w:snapToGrid w:val="0"/>
              <w:spacing w:line="360" w:lineRule="auto"/>
              <w:jc w:val="center"/>
              <w:rPr>
                <w:rFonts w:ascii="仿宋" w:hAnsi="仿宋" w:eastAsia="仿宋" w:cs="仿宋"/>
                <w:sz w:val="24"/>
              </w:rPr>
            </w:pPr>
            <w:r>
              <w:rPr>
                <w:rFonts w:hint="eastAsia" w:ascii="仿宋" w:hAnsi="仿宋" w:eastAsia="仿宋" w:cs="仿宋"/>
                <w:sz w:val="24"/>
              </w:rPr>
              <w:t>按需提供全流程服务，服务期内不限响应次数；迁移完成后每月至少1次国产化环境专项巡检，每季度至少1次性能优化</w:t>
            </w:r>
          </w:p>
        </w:tc>
      </w:tr>
      <w:tr w14:paraId="74FC8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23DB628C">
            <w:pPr>
              <w:snapToGrid w:val="0"/>
              <w:spacing w:line="360" w:lineRule="auto"/>
              <w:jc w:val="center"/>
              <w:rPr>
                <w:rFonts w:ascii="仿宋" w:hAnsi="仿宋" w:eastAsia="仿宋" w:cs="仿宋"/>
                <w:sz w:val="24"/>
              </w:rPr>
            </w:pPr>
            <w:r>
              <w:rPr>
                <w:rFonts w:hint="eastAsia" w:ascii="仿宋" w:hAnsi="仿宋" w:eastAsia="仿宋" w:cs="仿宋"/>
                <w:sz w:val="24"/>
              </w:rPr>
              <w:t>9</w:t>
            </w:r>
          </w:p>
        </w:tc>
        <w:tc>
          <w:tcPr>
            <w:tcW w:w="484" w:type="pct"/>
            <w:tcMar>
              <w:top w:w="60" w:type="dxa"/>
              <w:left w:w="120" w:type="dxa"/>
              <w:bottom w:w="30" w:type="dxa"/>
              <w:right w:w="120" w:type="dxa"/>
            </w:tcMar>
            <w:vAlign w:val="center"/>
          </w:tcPr>
          <w:p w14:paraId="2FA38046">
            <w:pPr>
              <w:snapToGrid w:val="0"/>
              <w:spacing w:line="360" w:lineRule="auto"/>
              <w:jc w:val="center"/>
              <w:rPr>
                <w:rFonts w:ascii="仿宋" w:hAnsi="仿宋" w:eastAsia="仿宋" w:cs="仿宋"/>
                <w:sz w:val="24"/>
              </w:rPr>
            </w:pPr>
            <w:r>
              <w:rPr>
                <w:rFonts w:hint="eastAsia" w:ascii="仿宋" w:hAnsi="仿宋" w:eastAsia="仿宋" w:cs="仿宋"/>
                <w:sz w:val="24"/>
              </w:rPr>
              <w:t>运维报告服务</w:t>
            </w:r>
          </w:p>
        </w:tc>
        <w:tc>
          <w:tcPr>
            <w:tcW w:w="2748" w:type="pct"/>
            <w:tcMar>
              <w:top w:w="60" w:type="dxa"/>
              <w:left w:w="120" w:type="dxa"/>
              <w:bottom w:w="30" w:type="dxa"/>
              <w:right w:w="120" w:type="dxa"/>
            </w:tcMar>
            <w:vAlign w:val="center"/>
          </w:tcPr>
          <w:p w14:paraId="3E2EBCC3">
            <w:pPr>
              <w:snapToGrid w:val="0"/>
              <w:spacing w:line="360" w:lineRule="auto"/>
              <w:rPr>
                <w:rFonts w:ascii="仿宋" w:hAnsi="仿宋" w:eastAsia="仿宋" w:cs="仿宋"/>
                <w:sz w:val="24"/>
              </w:rPr>
            </w:pPr>
            <w:r>
              <w:rPr>
                <w:rFonts w:hint="eastAsia" w:ascii="仿宋" w:hAnsi="仿宋" w:eastAsia="仿宋" w:cs="仿宋"/>
                <w:sz w:val="24"/>
              </w:rPr>
              <w:t>1. 每季度、每年提交阶段性运维报告，年度报告须包含全年服务总结、系统运行评估、安全合规情况、下一年度运维优化方案等；</w:t>
            </w:r>
          </w:p>
          <w:p w14:paraId="4D487131">
            <w:pPr>
              <w:snapToGrid w:val="0"/>
              <w:spacing w:line="360" w:lineRule="auto"/>
              <w:rPr>
                <w:rFonts w:ascii="仿宋" w:hAnsi="仿宋" w:eastAsia="仿宋" w:cs="仿宋"/>
                <w:sz w:val="24"/>
              </w:rPr>
            </w:pPr>
            <w:r>
              <w:rPr>
                <w:rFonts w:hint="eastAsia" w:ascii="仿宋" w:hAnsi="仿宋" w:eastAsia="仿宋" w:cs="仿宋"/>
                <w:sz w:val="24"/>
              </w:rPr>
              <w:t>2. 重大故障、专项工作单独提交专项报告。</w:t>
            </w:r>
          </w:p>
        </w:tc>
        <w:tc>
          <w:tcPr>
            <w:tcW w:w="717" w:type="pct"/>
            <w:tcMar>
              <w:top w:w="60" w:type="dxa"/>
              <w:left w:w="120" w:type="dxa"/>
              <w:bottom w:w="30" w:type="dxa"/>
              <w:right w:w="120" w:type="dxa"/>
            </w:tcMar>
            <w:vAlign w:val="center"/>
          </w:tcPr>
          <w:p w14:paraId="478A8156">
            <w:pPr>
              <w:snapToGrid w:val="0"/>
              <w:spacing w:line="360" w:lineRule="auto"/>
              <w:jc w:val="center"/>
              <w:rPr>
                <w:rFonts w:ascii="仿宋" w:hAnsi="仿宋" w:eastAsia="仿宋" w:cs="仿宋"/>
                <w:sz w:val="24"/>
              </w:rPr>
            </w:pPr>
            <w:r>
              <w:rPr>
                <w:rFonts w:hint="eastAsia" w:ascii="仿宋" w:hAnsi="仿宋" w:eastAsia="仿宋" w:cs="仿宋"/>
                <w:sz w:val="24"/>
              </w:rPr>
              <w:t>书面盖章报告电子文档</w:t>
            </w:r>
          </w:p>
        </w:tc>
        <w:tc>
          <w:tcPr>
            <w:tcW w:w="726" w:type="pct"/>
            <w:tcMar>
              <w:top w:w="60" w:type="dxa"/>
              <w:left w:w="120" w:type="dxa"/>
              <w:bottom w:w="30" w:type="dxa"/>
              <w:right w:w="120" w:type="dxa"/>
            </w:tcMar>
            <w:vAlign w:val="center"/>
          </w:tcPr>
          <w:p w14:paraId="7975FF31">
            <w:pPr>
              <w:snapToGrid w:val="0"/>
              <w:spacing w:line="360" w:lineRule="auto"/>
              <w:jc w:val="center"/>
              <w:rPr>
                <w:rFonts w:ascii="仿宋" w:hAnsi="仿宋" w:eastAsia="仿宋" w:cs="仿宋"/>
                <w:sz w:val="24"/>
              </w:rPr>
            </w:pPr>
            <w:r>
              <w:rPr>
                <w:rFonts w:hint="eastAsia" w:ascii="仿宋" w:hAnsi="仿宋" w:eastAsia="仿宋" w:cs="仿宋"/>
                <w:sz w:val="24"/>
              </w:rPr>
              <w:t>每季度1次季报，每年1次年报，专项报告按需提交</w:t>
            </w:r>
          </w:p>
        </w:tc>
      </w:tr>
    </w:tbl>
    <w:p w14:paraId="19F387D0">
      <w:pPr>
        <w:snapToGrid w:val="0"/>
        <w:spacing w:line="360" w:lineRule="auto"/>
        <w:jc w:val="left"/>
        <w:rPr>
          <w:rFonts w:ascii="仿宋" w:hAnsi="仿宋" w:eastAsia="仿宋" w:cs="仿宋"/>
          <w:sz w:val="24"/>
        </w:rPr>
      </w:pPr>
      <w:r>
        <w:rPr>
          <w:rFonts w:hint="eastAsia" w:ascii="仿宋" w:hAnsi="仿宋" w:eastAsia="仿宋" w:cs="仿宋"/>
          <w:b/>
          <w:sz w:val="24"/>
        </w:rPr>
        <w:t>5. 售后服务方案与技术能力要求</w:t>
      </w:r>
    </w:p>
    <w:p w14:paraId="272F7544">
      <w:pPr>
        <w:snapToGrid w:val="0"/>
        <w:spacing w:line="360" w:lineRule="auto"/>
        <w:jc w:val="left"/>
        <w:rPr>
          <w:rFonts w:ascii="仿宋" w:hAnsi="仿宋" w:eastAsia="仿宋" w:cs="仿宋"/>
          <w:sz w:val="24"/>
        </w:rPr>
      </w:pPr>
      <w:r>
        <w:rPr>
          <w:rFonts w:hint="eastAsia" w:ascii="仿宋" w:hAnsi="仿宋" w:eastAsia="仿宋" w:cs="仿宋"/>
          <w:b/>
          <w:sz w:val="24"/>
        </w:rPr>
        <w:t>5.1 售后服务方案要求</w:t>
      </w:r>
    </w:p>
    <w:p w14:paraId="103029B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服务商须根据采购人信息化建设现状、系统使用情况、业务运行特点，制定详尽、可落地的售后服务方案，方案须至少包含以下内容：</w:t>
      </w:r>
    </w:p>
    <w:p w14:paraId="3C428BAB">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1.</w:t>
      </w:r>
    </w:p>
    <w:p w14:paraId="1EDEBB67">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2.</w:t>
      </w:r>
    </w:p>
    <w:p w14:paraId="32E09636">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3.</w:t>
      </w:r>
    </w:p>
    <w:p w14:paraId="11F0B0E0">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4.</w:t>
      </w:r>
    </w:p>
    <w:p w14:paraId="6C836BD4">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5.</w:t>
      </w:r>
    </w:p>
    <w:p w14:paraId="6B12B5D9">
      <w:pPr>
        <w:pStyle w:val="34"/>
        <w:numPr>
          <w:ilvl w:val="1"/>
          <w:numId w:val="0"/>
        </w:numPr>
        <w:snapToGrid w:val="0"/>
        <w:spacing w:line="360" w:lineRule="auto"/>
        <w:ind w:left="567" w:hanging="567"/>
        <w:jc w:val="left"/>
        <w:rPr>
          <w:rFonts w:ascii="仿宋" w:hAnsi="仿宋" w:eastAsia="仿宋" w:cs="仿宋"/>
          <w:vanish/>
          <w:sz w:val="24"/>
        </w:rPr>
      </w:pPr>
      <w:r>
        <w:rPr>
          <w:rFonts w:hint="eastAsia" w:ascii="仿宋" w:hAnsi="仿宋" w:eastAsia="仿宋" w:cs="仿宋"/>
          <w:vanish/>
          <w:sz w:val="24"/>
        </w:rPr>
        <w:t>5.1.</w:t>
      </w:r>
    </w:p>
    <w:p w14:paraId="6D228C81">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5.1.1.售后运维服务的整体承诺、服务级别保障承诺；</w:t>
      </w:r>
    </w:p>
    <w:p w14:paraId="37B57D1C">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5.1.2.售后运维服务的详细内容、实施流程、操作规范；</w:t>
      </w:r>
    </w:p>
    <w:p w14:paraId="734831C4">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5.1.3.各故障等级的应急处置措施、业务连续性保障方案；</w:t>
      </w:r>
    </w:p>
    <w:p w14:paraId="6779DA8E">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5.1.4.售后运维服务全流程管理制度、质量管控体系；</w:t>
      </w:r>
    </w:p>
    <w:p w14:paraId="5378D217">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5.1.5.数据安全事件、系统瘫痪等突发场景的专项应急预案；</w:t>
      </w:r>
    </w:p>
    <w:p w14:paraId="6FFAA1EF">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5.1.6.运维服务人员的岗位职责、考核方案、奖惩机制；</w:t>
      </w:r>
    </w:p>
    <w:p w14:paraId="0B411F16">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5.1.7.合规性保障方案、等保合规配合方案、个人信息保护专项方案。</w:t>
      </w:r>
    </w:p>
    <w:p w14:paraId="180014B1">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5.1.8.服务器端国产化替代专项服务方案与专项应急预案。</w:t>
      </w:r>
    </w:p>
    <w:p w14:paraId="419B86D7">
      <w:pPr>
        <w:snapToGrid w:val="0"/>
        <w:spacing w:line="360" w:lineRule="auto"/>
        <w:jc w:val="left"/>
        <w:rPr>
          <w:rFonts w:ascii="仿宋" w:hAnsi="仿宋" w:eastAsia="仿宋" w:cs="仿宋"/>
          <w:sz w:val="24"/>
        </w:rPr>
      </w:pPr>
      <w:r>
        <w:rPr>
          <w:rFonts w:hint="eastAsia" w:ascii="仿宋" w:hAnsi="仿宋" w:eastAsia="仿宋" w:cs="仿宋"/>
          <w:b/>
          <w:sz w:val="24"/>
        </w:rPr>
        <w:t>5.2 技术能力与人员要求</w:t>
      </w:r>
    </w:p>
    <w:p w14:paraId="5F059668">
      <w:pPr>
        <w:pStyle w:val="34"/>
        <w:widowControl/>
        <w:snapToGrid w:val="0"/>
        <w:spacing w:line="360" w:lineRule="auto"/>
        <w:ind w:left="425" w:hanging="425" w:firstLineChars="0"/>
        <w:jc w:val="left"/>
        <w:rPr>
          <w:rFonts w:ascii="仿宋" w:hAnsi="仿宋" w:eastAsia="仿宋" w:cs="仿宋"/>
          <w:bCs/>
          <w:vanish/>
          <w:sz w:val="24"/>
        </w:rPr>
      </w:pPr>
      <w:r>
        <w:rPr>
          <w:rFonts w:hint="eastAsia" w:ascii="仿宋" w:hAnsi="仿宋" w:eastAsia="仿宋" w:cs="仿宋"/>
          <w:bCs/>
          <w:vanish/>
          <w:sz w:val="24"/>
        </w:rPr>
        <w:t>6.</w:t>
      </w:r>
    </w:p>
    <w:p w14:paraId="512B2657">
      <w:pPr>
        <w:pStyle w:val="34"/>
        <w:widowControl/>
        <w:numPr>
          <w:ilvl w:val="1"/>
          <w:numId w:val="0"/>
        </w:numPr>
        <w:snapToGrid w:val="0"/>
        <w:spacing w:line="360" w:lineRule="auto"/>
        <w:ind w:left="567" w:hanging="567"/>
        <w:jc w:val="left"/>
        <w:rPr>
          <w:rFonts w:ascii="仿宋" w:hAnsi="仿宋" w:eastAsia="仿宋" w:cs="仿宋"/>
          <w:bCs/>
          <w:vanish/>
          <w:sz w:val="24"/>
        </w:rPr>
      </w:pPr>
      <w:r>
        <w:rPr>
          <w:rFonts w:hint="eastAsia" w:ascii="仿宋" w:hAnsi="仿宋" w:eastAsia="仿宋" w:cs="仿宋"/>
          <w:bCs/>
          <w:vanish/>
          <w:sz w:val="24"/>
        </w:rPr>
        <w:t>6.1.</w:t>
      </w:r>
    </w:p>
    <w:p w14:paraId="15E8CACA">
      <w:pPr>
        <w:pStyle w:val="34"/>
        <w:widowControl/>
        <w:numPr>
          <w:ilvl w:val="1"/>
          <w:numId w:val="0"/>
        </w:numPr>
        <w:snapToGrid w:val="0"/>
        <w:spacing w:line="360" w:lineRule="auto"/>
        <w:ind w:left="567" w:hanging="567"/>
        <w:jc w:val="left"/>
        <w:rPr>
          <w:rFonts w:ascii="仿宋" w:hAnsi="仿宋" w:eastAsia="仿宋" w:cs="仿宋"/>
          <w:bCs/>
          <w:vanish/>
          <w:sz w:val="24"/>
        </w:rPr>
      </w:pPr>
      <w:r>
        <w:rPr>
          <w:rFonts w:hint="eastAsia" w:ascii="仿宋" w:hAnsi="仿宋" w:eastAsia="仿宋" w:cs="仿宋"/>
          <w:bCs/>
          <w:vanish/>
          <w:sz w:val="24"/>
        </w:rPr>
        <w:t>6.2.</w:t>
      </w:r>
    </w:p>
    <w:p w14:paraId="199C30B0">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5.2.1.服务商须提供本项目售后服务专属团队组织架构，明确项目负责人、技术负责人、现场运维人员、安全专项人员、应急保障人员的岗位职责与联系方式，确保7×24小时可联系。</w:t>
      </w:r>
    </w:p>
    <w:p w14:paraId="216E6FB7">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5.2.2.本项目专属技术团队人员不少于5人，其中专职人员不少于1人（可根据采购人需求调整），团队人员须满足以下资质要求：</w:t>
      </w:r>
    </w:p>
    <w:p w14:paraId="55A37F9D">
      <w:pPr>
        <w:pStyle w:val="34"/>
        <w:numPr>
          <w:ilvl w:val="0"/>
          <w:numId w:val="4"/>
        </w:numPr>
        <w:snapToGrid w:val="0"/>
        <w:spacing w:line="360" w:lineRule="auto"/>
        <w:ind w:left="0" w:firstLine="480"/>
        <w:jc w:val="left"/>
        <w:rPr>
          <w:rFonts w:ascii="仿宋" w:hAnsi="仿宋" w:eastAsia="仿宋" w:cs="仿宋"/>
          <w:sz w:val="24"/>
        </w:rPr>
      </w:pPr>
      <w:r>
        <w:rPr>
          <w:rFonts w:hint="eastAsia" w:ascii="仿宋" w:hAnsi="仿宋" w:eastAsia="仿宋" w:cs="仿宋"/>
          <w:sz w:val="24"/>
        </w:rPr>
        <w:t>项目负责人须具备3年以上医疗信息化系统运维项目管理经验；</w:t>
      </w:r>
    </w:p>
    <w:p w14:paraId="22E451E7">
      <w:pPr>
        <w:pStyle w:val="34"/>
        <w:numPr>
          <w:ilvl w:val="0"/>
          <w:numId w:val="4"/>
        </w:numPr>
        <w:snapToGrid w:val="0"/>
        <w:spacing w:line="360" w:lineRule="auto"/>
        <w:ind w:left="0" w:firstLine="480"/>
        <w:jc w:val="left"/>
        <w:rPr>
          <w:rFonts w:ascii="仿宋" w:hAnsi="仿宋" w:eastAsia="仿宋" w:cs="仿宋"/>
          <w:sz w:val="24"/>
        </w:rPr>
      </w:pPr>
      <w:r>
        <w:rPr>
          <w:rFonts w:hint="eastAsia" w:ascii="仿宋" w:hAnsi="仿宋" w:eastAsia="仿宋" w:cs="仿宋"/>
          <w:sz w:val="24"/>
        </w:rPr>
        <w:t>技术团队须包含至少1名数据库工程师、1名网络安全工程师，所有运维人员须具备对应系统的原厂运维认证资质；</w:t>
      </w:r>
    </w:p>
    <w:p w14:paraId="4F41EB8A">
      <w:pPr>
        <w:pStyle w:val="34"/>
        <w:numPr>
          <w:ilvl w:val="0"/>
          <w:numId w:val="4"/>
        </w:numPr>
        <w:snapToGrid w:val="0"/>
        <w:spacing w:line="360" w:lineRule="auto"/>
        <w:ind w:left="0" w:firstLine="480"/>
        <w:jc w:val="left"/>
        <w:rPr>
          <w:rFonts w:ascii="仿宋" w:hAnsi="仿宋" w:eastAsia="仿宋" w:cs="仿宋"/>
          <w:sz w:val="24"/>
        </w:rPr>
      </w:pPr>
      <w:r>
        <w:rPr>
          <w:rFonts w:hint="eastAsia" w:ascii="仿宋" w:hAnsi="仿宋" w:eastAsia="仿宋" w:cs="仿宋"/>
          <w:sz w:val="24"/>
        </w:rPr>
        <w:t>提供团队所有人员近3个月的社保缴纳证明材料，确保人员稳定，未经采购人书面同意，不得擅自更换项目核心人员。</w:t>
      </w:r>
    </w:p>
    <w:p w14:paraId="6EC1171D">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5.2.3.服务商须具备完善的技术支撑体系，具备原厂级研发与维护能力，可提供系统源代码级的故障修复、功能适配服务，具备本地化服务能力，确保应急处置时效。</w:t>
      </w:r>
    </w:p>
    <w:p w14:paraId="755FD849">
      <w:pPr>
        <w:snapToGrid w:val="0"/>
        <w:spacing w:line="360" w:lineRule="auto"/>
        <w:jc w:val="left"/>
        <w:rPr>
          <w:rFonts w:ascii="仿宋" w:hAnsi="仿宋" w:eastAsia="仿宋" w:cs="仿宋"/>
          <w:sz w:val="24"/>
        </w:rPr>
      </w:pPr>
      <w:r>
        <w:rPr>
          <w:rFonts w:hint="eastAsia" w:ascii="仿宋" w:hAnsi="仿宋" w:eastAsia="仿宋" w:cs="仿宋"/>
          <w:b/>
          <w:sz w:val="24"/>
        </w:rPr>
        <w:t>6. 数据安全与信息保密要求</w:t>
      </w:r>
    </w:p>
    <w:p w14:paraId="3A6236B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本条款严格遵循《数据安全法》、《个人信息保护法》、《医疗卫生机构网络安全管理办法》、《医疗卫生数据安全指南》制定，为项目刚性要求，具体如下：</w:t>
      </w:r>
    </w:p>
    <w:p w14:paraId="2A790202">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9.</w:t>
      </w:r>
    </w:p>
    <w:p w14:paraId="776386B8">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10.</w:t>
      </w:r>
    </w:p>
    <w:p w14:paraId="04C640AF">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6.1.服务商须建立完善的数据安全管理制度、全生命周期数据保护体系、个人信息保护管理制度，符合国家医疗数据分类分级保护要求，明确数据安全责任部门与专职技术人员，提供专职人员证明材料。</w:t>
      </w:r>
    </w:p>
    <w:p w14:paraId="037682E0">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6.2.服务商须与采购人签订专项数据安全与保密协议，同时与所有参与本项目的服务人员签订保密协议，明确保密义务、保密范围、保密期限（含在职期间及离职后终身保密）与违约责任，相关协议文本须提交采购人备案。</w:t>
      </w:r>
    </w:p>
    <w:p w14:paraId="761EB108">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6.3.服务商须严格遵守国家法律法规，对服务过程中接触、获取的所有医疗数据、患者个人信息、医院业务数据、涉密信息等，仅可用于本项目运维服务工作，不得擅自复制、存储、泄露、转让、篡改、销毁，不得用于任何商业用途或其他未经授权的用途。</w:t>
      </w:r>
    </w:p>
    <w:p w14:paraId="31C363FF">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6.4.服务商的远程运维操作须经过采购人书面审批，采用加密安全接入方式，全程留痕，审计日志留存不少于6个月；严禁未经授权的远程操作，严禁将系统接入公共互联网进行运维操作。</w:t>
      </w:r>
    </w:p>
    <w:p w14:paraId="3345A9C7">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6.5.服务商须建立数据安全事件应急处置机制，发生数据泄露、篡改、丢失等安全事件时，须10分钟内响应，第一时间通知采购人，同步启动应急预案，采取处置措施防止事件扩大，配合采购人完成监管上报、事件调查等工作，并承担全部法律责任与经济损失。</w:t>
      </w:r>
    </w:p>
    <w:p w14:paraId="56700E8C">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6.6.国产化迁移实施过程中，须严格遵循采购人数据安全管理规定，制定专项数据迁移安全方案，全程加密传输数据，做好全量数据备份与一致性校验，确保迁移过程数据全生命周期安全。</w:t>
      </w:r>
    </w:p>
    <w:p w14:paraId="795F1FE2">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6.7.服务期结束后，服务商须将所有运维相关数据、文档、材料完整移交采购人，彻底删除所持有的采购人全部数据，不得留存任何副本，并向采购人出具数据删除承诺书。</w:t>
      </w:r>
    </w:p>
    <w:p w14:paraId="667813CA">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6.8.服务商须配合采购人完成数据安全检查、网络安全审计、等保测评等相关工作，提供对应的技术支撑与整改服务。</w:t>
      </w:r>
    </w:p>
    <w:p w14:paraId="56C5DF46">
      <w:pPr>
        <w:snapToGrid w:val="0"/>
        <w:spacing w:line="360" w:lineRule="auto"/>
        <w:jc w:val="left"/>
        <w:rPr>
          <w:rFonts w:ascii="仿宋" w:hAnsi="仿宋" w:eastAsia="仿宋" w:cs="仿宋"/>
          <w:sz w:val="24"/>
        </w:rPr>
      </w:pPr>
      <w:r>
        <w:rPr>
          <w:rFonts w:hint="eastAsia" w:ascii="仿宋" w:hAnsi="仿宋" w:eastAsia="仿宋" w:cs="仿宋"/>
          <w:b/>
          <w:sz w:val="24"/>
        </w:rPr>
        <w:t>三、商务要求</w:t>
      </w:r>
    </w:p>
    <w:p w14:paraId="523C0FBF">
      <w:pPr>
        <w:snapToGrid w:val="0"/>
        <w:spacing w:line="360" w:lineRule="auto"/>
        <w:jc w:val="left"/>
        <w:rPr>
          <w:rFonts w:ascii="仿宋" w:hAnsi="仿宋" w:eastAsia="仿宋" w:cs="仿宋"/>
          <w:sz w:val="24"/>
        </w:rPr>
      </w:pPr>
      <w:r>
        <w:rPr>
          <w:rFonts w:hint="eastAsia" w:ascii="仿宋" w:hAnsi="仿宋" w:eastAsia="仿宋" w:cs="仿宋"/>
          <w:b/>
          <w:sz w:val="24"/>
        </w:rPr>
        <w:t>1. 合同核心内容</w:t>
      </w:r>
    </w:p>
    <w:p w14:paraId="3D81281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合同标的为成交供应商提供的本文件约定的全部运维服务、服务器端国产化替代专项技术服务，合同内容包含采购文件、成交供应商的响应文件、单一来源采购协商记录、服务承诺、成交通知书、合同文本等全部文件，成交总金额为合同固定总价，包含服务期内完成全部服务所需的人工、材料、设备、开发、测试、税费、培训、应急保障等所有费用，采购人无需额外支付任何费用。</w:t>
      </w:r>
    </w:p>
    <w:p w14:paraId="01A5C2F9">
      <w:pPr>
        <w:snapToGrid w:val="0"/>
        <w:spacing w:line="360" w:lineRule="auto"/>
        <w:jc w:val="left"/>
        <w:rPr>
          <w:rFonts w:ascii="仿宋" w:hAnsi="仿宋" w:eastAsia="仿宋" w:cs="仿宋"/>
          <w:sz w:val="24"/>
        </w:rPr>
      </w:pPr>
      <w:r>
        <w:rPr>
          <w:rFonts w:hint="eastAsia" w:ascii="仿宋" w:hAnsi="仿宋" w:eastAsia="仿宋" w:cs="仿宋"/>
          <w:b/>
          <w:sz w:val="24"/>
        </w:rPr>
        <w:t>2. 服务地点</w:t>
      </w:r>
    </w:p>
    <w:p w14:paraId="735D0A9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陕西省交通医院本部及所有分院区、采购人指定的其他服务场所。</w:t>
      </w:r>
    </w:p>
    <w:p w14:paraId="5BC40477">
      <w:pPr>
        <w:snapToGrid w:val="0"/>
        <w:spacing w:line="360" w:lineRule="auto"/>
        <w:jc w:val="left"/>
        <w:rPr>
          <w:rFonts w:ascii="仿宋" w:hAnsi="仿宋" w:eastAsia="仿宋" w:cs="仿宋"/>
          <w:sz w:val="24"/>
        </w:rPr>
      </w:pPr>
      <w:r>
        <w:rPr>
          <w:rFonts w:hint="eastAsia" w:ascii="仿宋" w:hAnsi="仿宋" w:eastAsia="仿宋" w:cs="仿宋"/>
          <w:b/>
          <w:sz w:val="24"/>
        </w:rPr>
        <w:t>3. 服务期限</w:t>
      </w:r>
    </w:p>
    <w:p w14:paraId="0E5654AF">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本项目服务期限为1年，自合同签订之日起计算。服务期内，服务商服务质量持续不达标，采购人有权提前终止合同。</w:t>
      </w:r>
    </w:p>
    <w:p w14:paraId="03192467">
      <w:pPr>
        <w:snapToGrid w:val="0"/>
        <w:spacing w:line="360" w:lineRule="auto"/>
        <w:jc w:val="left"/>
        <w:rPr>
          <w:rFonts w:ascii="仿宋" w:hAnsi="仿宋" w:eastAsia="仿宋" w:cs="仿宋"/>
          <w:sz w:val="24"/>
        </w:rPr>
      </w:pPr>
      <w:r>
        <w:rPr>
          <w:rFonts w:hint="eastAsia" w:ascii="仿宋" w:hAnsi="仿宋" w:eastAsia="仿宋" w:cs="仿宋"/>
          <w:b/>
          <w:sz w:val="24"/>
        </w:rPr>
        <w:t>4. 项目考核与验收</w:t>
      </w:r>
    </w:p>
    <w:p w14:paraId="4A10E530">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1</w:t>
      </w:r>
    </w:p>
    <w:p w14:paraId="28B0A61A">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2</w:t>
      </w:r>
    </w:p>
    <w:p w14:paraId="3B4BC4BE">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3</w:t>
      </w:r>
    </w:p>
    <w:p w14:paraId="64E23491">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4</w:t>
      </w:r>
    </w:p>
    <w:p w14:paraId="30489772">
      <w:pPr>
        <w:numPr>
          <w:ilvl w:val="1"/>
          <w:numId w:val="0"/>
        </w:numPr>
        <w:snapToGrid w:val="0"/>
        <w:spacing w:line="360" w:lineRule="auto"/>
        <w:ind w:firstLine="480" w:firstLineChars="200"/>
        <w:jc w:val="left"/>
        <w:rPr>
          <w:rFonts w:ascii="仿宋" w:hAnsi="仿宋" w:eastAsia="仿宋" w:cs="仿宋"/>
          <w:sz w:val="24"/>
        </w:rPr>
      </w:pPr>
      <w:bookmarkStart w:id="54" w:name="OLE_LINK9"/>
      <w:r>
        <w:rPr>
          <w:rFonts w:hint="eastAsia" w:ascii="仿宋" w:hAnsi="仿宋" w:eastAsia="仿宋" w:cs="仿宋"/>
          <w:sz w:val="24"/>
        </w:rPr>
        <w:t>4.1本项目采用月度动态考核+年度总验收的方式，由采购人信息科牵头，联合医务科、控感办、财务科等相关部门，或邀请外部专家开展考核评价与验收工作，成交供应商须无条件配合，并提供全部所需的运维记录、报告等资料。</w:t>
      </w:r>
    </w:p>
    <w:p w14:paraId="2858DB9F">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4.2考核标准：严格按照本文件附件《信息系统售后运维服务质量评价标准》执行，评分满分100分。90分（含）-100分为优秀，70分（含）-89分为合格，70分以下为不合格。</w:t>
      </w:r>
    </w:p>
    <w:p w14:paraId="595B7717">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4.3验收依据：本采购文件、成交供应商响应文件、合同文本、国家及行业现行相关标准规范、月度考核记录、运维服务报告、服务满意度调查结果、项目考核汇总表等。</w:t>
      </w:r>
    </w:p>
    <w:p w14:paraId="023EAEFE">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4.4年度验收合格的前提：服务期内无重大数据安全事件、无重大服务质量投诉、无因服务商责任导致的医疗业务重大中断事故，年度考核评分≥70分。</w:t>
      </w:r>
    </w:p>
    <w:bookmarkEnd w:id="54"/>
    <w:p w14:paraId="39E344D0">
      <w:pPr>
        <w:snapToGrid w:val="0"/>
        <w:spacing w:line="360" w:lineRule="auto"/>
        <w:jc w:val="left"/>
        <w:rPr>
          <w:rFonts w:ascii="仿宋" w:hAnsi="仿宋" w:eastAsia="仿宋" w:cs="仿宋"/>
          <w:sz w:val="24"/>
        </w:rPr>
      </w:pPr>
      <w:r>
        <w:rPr>
          <w:rFonts w:hint="eastAsia" w:ascii="仿宋" w:hAnsi="仿宋" w:eastAsia="仿宋" w:cs="仿宋"/>
          <w:b/>
          <w:sz w:val="24"/>
        </w:rPr>
        <w:t>5. 结算与付款方式</w:t>
      </w:r>
    </w:p>
    <w:p w14:paraId="02ECBC2E">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5</w:t>
      </w:r>
    </w:p>
    <w:p w14:paraId="579DA4CA">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5.1结算主体为采购人，结算前，成交供应商须向采购人开具合法、等额、有效的发票，采购人收到发票后按以下约定付款，因供应商发票开具不合规导致的付款延误，由供应商自行承担全部责任。</w:t>
      </w:r>
    </w:p>
    <w:p w14:paraId="1FDBE1C2">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5.2付款方式：</w:t>
      </w:r>
    </w:p>
    <w:p w14:paraId="77AC417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4E5616E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1B7F50A1">
      <w:pPr>
        <w:tabs>
          <w:tab w:val="left" w:pos="567"/>
        </w:tabs>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780FB03D">
      <w:pPr>
        <w:tabs>
          <w:tab w:val="left" w:pos="567"/>
        </w:tabs>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1C6A8CDB">
      <w:pPr>
        <w:tabs>
          <w:tab w:val="left" w:pos="567"/>
        </w:tabs>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3A18469F">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5.3月度考核连续2个月低于70分，或年度内累计3个月低于70分的，直接认定为年度考核不合格。</w:t>
      </w:r>
    </w:p>
    <w:p w14:paraId="59DDE673">
      <w:pPr>
        <w:snapToGrid w:val="0"/>
        <w:spacing w:line="360" w:lineRule="auto"/>
        <w:jc w:val="left"/>
        <w:rPr>
          <w:rFonts w:ascii="仿宋" w:hAnsi="仿宋" w:eastAsia="仿宋" w:cs="仿宋"/>
          <w:sz w:val="24"/>
        </w:rPr>
      </w:pPr>
      <w:r>
        <w:rPr>
          <w:rFonts w:hint="eastAsia" w:ascii="仿宋" w:hAnsi="仿宋" w:eastAsia="仿宋" w:cs="仿宋"/>
          <w:b/>
          <w:sz w:val="24"/>
        </w:rPr>
        <w:t>6. 知识产权条款</w:t>
      </w:r>
    </w:p>
    <w:p w14:paraId="66AD4A0D">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6</w:t>
      </w:r>
    </w:p>
    <w:p w14:paraId="5B0D634C">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6.1供应商须保证，其提供的运维服务、软件更新、升级服务及相关技术成果，不会出现任何第三方提出侵犯其专利权、商标权、著作权或其他知识产权的主张或诉讼，如发生前述情形，由供应商承担全部法律责任，并赔偿采购人因此遭受的全部经济损失。</w:t>
      </w:r>
    </w:p>
    <w:p w14:paraId="5B433992">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6.2本项目涉及系统的软件著作权、知识产权归原权利人所有，供应商仅可基于本项目运维服务目的，在采购人授权范围内使用相关软件及技术资料，不得擅自复制、分发、转让、反编译、反向工程，不得用于任何其他用途。</w:t>
      </w:r>
    </w:p>
    <w:p w14:paraId="77976D02">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6.3服务期内，采购人基于系统使用产生的全部医疗数据、业务数据、患者个人信息等所有数据的所有权、使用权均归采购人所有，供应商不得主张任何权利，不得擅自使用。</w:t>
      </w:r>
    </w:p>
    <w:p w14:paraId="05841FAD">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6.4供应商为采购人提供的定制化功能开发、政策适配升级、技术方案等成果，知识产权归采购人所有，供应商仅可保留非商业用途的技术使用权。</w:t>
      </w:r>
    </w:p>
    <w:p w14:paraId="6A294968">
      <w:pPr>
        <w:snapToGrid w:val="0"/>
        <w:spacing w:line="360" w:lineRule="auto"/>
        <w:jc w:val="left"/>
        <w:rPr>
          <w:rFonts w:ascii="仿宋" w:hAnsi="仿宋" w:eastAsia="仿宋" w:cs="仿宋"/>
          <w:sz w:val="24"/>
        </w:rPr>
      </w:pPr>
      <w:r>
        <w:rPr>
          <w:rFonts w:hint="eastAsia" w:ascii="仿宋" w:hAnsi="仿宋" w:eastAsia="仿宋" w:cs="仿宋"/>
          <w:b/>
          <w:sz w:val="24"/>
        </w:rPr>
        <w:t>7. 违约责任</w:t>
      </w:r>
    </w:p>
    <w:p w14:paraId="0EB16C07">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7</w:t>
      </w:r>
    </w:p>
    <w:p w14:paraId="72A7D061">
      <w:pPr>
        <w:numPr>
          <w:ilvl w:val="1"/>
          <w:numId w:val="0"/>
        </w:numPr>
        <w:snapToGrid w:val="0"/>
        <w:spacing w:line="360" w:lineRule="auto"/>
        <w:ind w:left="987" w:hanging="567"/>
        <w:jc w:val="left"/>
        <w:rPr>
          <w:rFonts w:ascii="仿宋" w:hAnsi="仿宋" w:eastAsia="仿宋" w:cs="仿宋"/>
          <w:sz w:val="24"/>
        </w:rPr>
      </w:pPr>
      <w:r>
        <w:rPr>
          <w:rFonts w:hint="eastAsia" w:ascii="仿宋" w:hAnsi="仿宋" w:eastAsia="仿宋" w:cs="仿宋"/>
          <w:sz w:val="24"/>
        </w:rPr>
        <w:t>7.1本合同违约责任严格按照《中华人民共和国民法典》相关条款执行。</w:t>
      </w:r>
    </w:p>
    <w:p w14:paraId="212CAE34">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7.2供应商未按合同约定提供服务，或服务质量、响应时效、技术能力不满足合同要求，采购人有权按《服务质量评价标准》扣除对应款项，并要求供应商限期整改；整改后仍无法满足合同要求的，采购人有权扣除对应合同款项，直至单方面解除合同，供应商须承担采购人因此遭受的全部损失。</w:t>
      </w:r>
    </w:p>
    <w:p w14:paraId="11139C6A">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7.3供应商未按故障SLA要求完成响应与故障处置的，每出现一次一级故障超时，扣除合同总价款的5%；每出现一次二级故障超时，扣除合同总价款的2%；三级、四级故障超时，按评价标准扣除对应分值，并累计扣除合同款项。因供应商故障处置不及时导致医院业务中断、产生医疗纠纷或监管处罚的，全部责任与经济损失由供应商承担。</w:t>
      </w:r>
    </w:p>
    <w:p w14:paraId="5DB28356">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7.4供应商违反数据安全与保密约定，发生数据泄露、篡改、丢失等事件，或擅自使用、转让采购人数据的，采购人有权立即解除合同，不予支付剩余全部合同款项，供应商须支付合同总价款30%的违约金，同时承担全部法律责任，赔偿采购人因此遭受的全部经济损失（含监管处罚、民事赔偿、商誉损失等）。</w:t>
      </w:r>
    </w:p>
    <w:p w14:paraId="0BEBD11F">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7.5供应商未经采购人同意，擅自更换项目核心人员、转包/分包本项目服务的，采购人有权扣除合同总价款的10%作为违约金，情节严重的，有权解除合同。</w:t>
      </w:r>
    </w:p>
    <w:p w14:paraId="7E08E5A6">
      <w:pPr>
        <w:snapToGrid w:val="0"/>
        <w:spacing w:line="360" w:lineRule="auto"/>
        <w:jc w:val="left"/>
        <w:rPr>
          <w:rFonts w:ascii="仿宋" w:hAnsi="仿宋" w:eastAsia="仿宋" w:cs="仿宋"/>
          <w:sz w:val="24"/>
        </w:rPr>
      </w:pPr>
      <w:r>
        <w:rPr>
          <w:rFonts w:hint="eastAsia" w:ascii="仿宋" w:hAnsi="仿宋" w:eastAsia="仿宋" w:cs="仿宋"/>
          <w:b/>
          <w:sz w:val="24"/>
        </w:rPr>
        <w:t>8. 其他约定</w:t>
      </w:r>
    </w:p>
    <w:p w14:paraId="30D88D00">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8</w:t>
      </w:r>
    </w:p>
    <w:p w14:paraId="58D69DF8">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8.1本项目技术要求与商务要求为合同核心条款，不允许任何负偏离，供应商响应文件须对所有条款作出完全响应承诺，负偏离响应将按无效响应处理。</w:t>
      </w:r>
    </w:p>
    <w:p w14:paraId="471033A7">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8.2服务期内，如遇国家政策法规、行业标准发生重大调整，采购人有权对服务内容与要求进行合规性调整，供应商须无条件配合，不得额外收取费用。</w:t>
      </w:r>
    </w:p>
    <w:p w14:paraId="00C6B347">
      <w:pPr>
        <w:snapToGrid w:val="0"/>
        <w:spacing w:line="360" w:lineRule="auto"/>
        <w:rPr>
          <w:rFonts w:ascii="仿宋" w:hAnsi="仿宋" w:eastAsia="仿宋" w:cs="仿宋"/>
          <w:b/>
          <w:bCs/>
          <w:sz w:val="24"/>
        </w:rPr>
      </w:pPr>
      <w:r>
        <w:rPr>
          <w:rFonts w:hint="eastAsia" w:ascii="仿宋" w:hAnsi="仿宋" w:eastAsia="仿宋" w:cs="仿宋"/>
          <w:sz w:val="24"/>
        </w:rPr>
        <w:t>本文件未尽事宜，由双方在合同中另行约定，约定内容不得违反本文件的核心要求与国家相关法律法规。</w:t>
      </w:r>
    </w:p>
    <w:p w14:paraId="714CF949">
      <w:pPr>
        <w:rPr>
          <w:rFonts w:ascii="仿宋" w:hAnsi="仿宋" w:eastAsia="仿宋" w:cs="仿宋"/>
          <w:b/>
          <w:bCs/>
          <w:sz w:val="24"/>
        </w:rPr>
      </w:pPr>
    </w:p>
    <w:p w14:paraId="120B69DF">
      <w:pPr>
        <w:rPr>
          <w:rFonts w:ascii="仿宋" w:hAnsi="仿宋" w:eastAsia="仿宋" w:cs="仿宋"/>
          <w:b/>
          <w:bCs/>
          <w:sz w:val="24"/>
        </w:rPr>
        <w:sectPr>
          <w:headerReference r:id="rId18" w:type="default"/>
          <w:footerReference r:id="rId19" w:type="default"/>
          <w:pgSz w:w="11906" w:h="16838"/>
          <w:pgMar w:top="1440" w:right="1417" w:bottom="1440" w:left="1587" w:header="850" w:footer="992" w:gutter="0"/>
          <w:cols w:space="720" w:num="1"/>
          <w:docGrid w:type="lines" w:linePitch="317" w:charSpace="0"/>
        </w:sectPr>
      </w:pPr>
    </w:p>
    <w:p w14:paraId="00FC35C6">
      <w:pPr>
        <w:pStyle w:val="3"/>
        <w:spacing w:line="360" w:lineRule="auto"/>
        <w:jc w:val="both"/>
        <w:rPr>
          <w:rFonts w:ascii="仿宋" w:hAnsi="仿宋" w:eastAsia="仿宋" w:cs="仿宋"/>
          <w:b/>
          <w:bCs/>
          <w:sz w:val="24"/>
          <w:szCs w:val="24"/>
          <w:lang w:eastAsia="zh-CN"/>
        </w:rPr>
      </w:pPr>
      <w:r>
        <w:rPr>
          <w:rFonts w:hint="eastAsia" w:ascii="仿宋" w:hAnsi="仿宋" w:eastAsia="仿宋" w:cs="仿宋"/>
          <w:b/>
          <w:bCs/>
          <w:sz w:val="24"/>
          <w:szCs w:val="24"/>
          <w:lang w:eastAsia="zh-CN"/>
        </w:rPr>
        <w:t>合同包7-采购需求（医院感染实时监测信息系统配套系统(APP)售后服务）</w:t>
      </w:r>
    </w:p>
    <w:p w14:paraId="2BC508DD">
      <w:pPr>
        <w:snapToGrid w:val="0"/>
        <w:spacing w:line="360" w:lineRule="auto"/>
        <w:rPr>
          <w:rFonts w:ascii="仿宋" w:hAnsi="仿宋" w:eastAsia="仿宋" w:cs="仿宋"/>
          <w:sz w:val="24"/>
        </w:rPr>
      </w:pPr>
      <w:r>
        <w:rPr>
          <w:rFonts w:hint="eastAsia" w:ascii="仿宋" w:hAnsi="仿宋" w:eastAsia="仿宋" w:cs="仿宋"/>
          <w:b/>
          <w:sz w:val="24"/>
        </w:rPr>
        <w:t>一、项目概述</w:t>
      </w:r>
    </w:p>
    <w:p w14:paraId="0D69F807">
      <w:pPr>
        <w:pStyle w:val="10"/>
        <w:snapToGrid w:val="0"/>
        <w:spacing w:line="360" w:lineRule="auto"/>
        <w:ind w:firstLine="480"/>
        <w:rPr>
          <w:rFonts w:ascii="仿宋" w:hAnsi="仿宋" w:eastAsia="仿宋" w:cs="仿宋"/>
          <w:szCs w:val="24"/>
          <w:lang w:eastAsia="zh-CN"/>
        </w:rPr>
      </w:pPr>
      <w:r>
        <w:rPr>
          <w:rFonts w:hint="eastAsia" w:ascii="仿宋" w:hAnsi="仿宋" w:eastAsia="仿宋" w:cs="仿宋"/>
          <w:szCs w:val="24"/>
          <w:lang w:eastAsia="zh-CN"/>
        </w:rPr>
        <w:t>采购人自2020年5月启用院内感染实时监控系统配套系统感控工作间APP，为保障采购人正常使用该信息系统，合理利用信息系统保障医院院内感染管理工作有序开展，本项目服务商须为系统原软件厂商，或取得原厂商针对本项目出具的唯一专项授权文件，具备系统源代码级维护、原厂补丁更新、合规性升级的完整技术能力，确保服务的合法性、连续性与技术匹配性。</w:t>
      </w:r>
    </w:p>
    <w:p w14:paraId="55AED259">
      <w:pPr>
        <w:snapToGrid w:val="0"/>
        <w:spacing w:line="360" w:lineRule="auto"/>
        <w:rPr>
          <w:rFonts w:ascii="仿宋" w:hAnsi="仿宋" w:eastAsia="仿宋" w:cs="仿宋"/>
          <w:sz w:val="24"/>
        </w:rPr>
      </w:pPr>
      <w:r>
        <w:rPr>
          <w:rFonts w:hint="eastAsia" w:ascii="仿宋" w:hAnsi="仿宋" w:eastAsia="仿宋" w:cs="仿宋"/>
          <w:b/>
          <w:sz w:val="24"/>
        </w:rPr>
        <w:t>二、技术要求</w:t>
      </w:r>
    </w:p>
    <w:p w14:paraId="358D5169">
      <w:pPr>
        <w:snapToGrid w:val="0"/>
        <w:spacing w:line="360" w:lineRule="auto"/>
        <w:rPr>
          <w:rFonts w:ascii="仿宋" w:hAnsi="仿宋" w:eastAsia="仿宋" w:cs="仿宋"/>
          <w:sz w:val="24"/>
        </w:rPr>
      </w:pPr>
      <w:r>
        <w:rPr>
          <w:rFonts w:hint="eastAsia" w:ascii="仿宋" w:hAnsi="仿宋" w:eastAsia="仿宋" w:cs="仿宋"/>
          <w:b/>
          <w:sz w:val="24"/>
        </w:rPr>
        <w:t>1. 名词解释</w:t>
      </w:r>
    </w:p>
    <w:p w14:paraId="0037AFD9">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本文件所涉及名词定义严格遵循国家信息技术服务标准（ITSS）、医疗信息化行业规范及相关法律法规，具体如下：</w:t>
      </w:r>
    </w:p>
    <w:p w14:paraId="5AEE40C3">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1.1 </w:t>
      </w:r>
      <w:r>
        <w:rPr>
          <w:rFonts w:hint="eastAsia" w:ascii="仿宋" w:hAnsi="仿宋" w:eastAsia="仿宋" w:cs="仿宋"/>
          <w:b/>
          <w:sz w:val="24"/>
        </w:rPr>
        <w:t>维护</w:t>
      </w:r>
      <w:r>
        <w:rPr>
          <w:rFonts w:hint="eastAsia" w:ascii="仿宋" w:hAnsi="仿宋" w:eastAsia="仿宋" w:cs="仿宋"/>
          <w:sz w:val="24"/>
        </w:rPr>
        <w:t>：指服务供应商为采购人提供许可软件的全生命周期技术支撑，包括但不限于故障排查与修复、技术指导、运行优化、合规适配、安全加固等服务工作的总称。</w:t>
      </w:r>
    </w:p>
    <w:p w14:paraId="5EE45BE5">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1.2 </w:t>
      </w:r>
      <w:r>
        <w:rPr>
          <w:rFonts w:hint="eastAsia" w:ascii="仿宋" w:hAnsi="仿宋" w:eastAsia="仿宋" w:cs="仿宋"/>
          <w:b/>
          <w:sz w:val="24"/>
        </w:rPr>
        <w:t>现场</w:t>
      </w:r>
      <w:r>
        <w:rPr>
          <w:rFonts w:hint="eastAsia" w:ascii="仿宋" w:hAnsi="仿宋" w:eastAsia="仿宋" w:cs="仿宋"/>
          <w:sz w:val="24"/>
        </w:rPr>
        <w:t>：指采购人许可系统部署、使用的全部场所，含医院本部院区、各分院区、社区服务点等所有系统终端部署点位。</w:t>
      </w:r>
    </w:p>
    <w:p w14:paraId="1ED6AF74">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1.3 </w:t>
      </w:r>
      <w:r>
        <w:rPr>
          <w:rFonts w:hint="eastAsia" w:ascii="仿宋" w:hAnsi="仿宋" w:eastAsia="仿宋" w:cs="仿宋"/>
          <w:b/>
          <w:sz w:val="24"/>
        </w:rPr>
        <w:t>现场维护</w:t>
      </w:r>
      <w:r>
        <w:rPr>
          <w:rFonts w:hint="eastAsia" w:ascii="仿宋" w:hAnsi="仿宋" w:eastAsia="仿宋" w:cs="仿宋"/>
          <w:sz w:val="24"/>
        </w:rPr>
        <w:t>：指服务供应商针对采购人提出的技术服务请求，派遣具备对应资质的技术人员到采购人指定现场，完成问题处置、技术服务的全过程。</w:t>
      </w:r>
    </w:p>
    <w:p w14:paraId="20A5FB5F">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1.4 </w:t>
      </w:r>
      <w:r>
        <w:rPr>
          <w:rFonts w:hint="eastAsia" w:ascii="仿宋" w:hAnsi="仿宋" w:eastAsia="仿宋" w:cs="仿宋"/>
          <w:b/>
          <w:sz w:val="24"/>
        </w:rPr>
        <w:t>远程维护</w:t>
      </w:r>
      <w:r>
        <w:rPr>
          <w:rFonts w:hint="eastAsia" w:ascii="仿宋" w:hAnsi="仿宋" w:eastAsia="仿宋" w:cs="仿宋"/>
          <w:sz w:val="24"/>
        </w:rPr>
        <w:t>：指服务供应商针对采购人提出的技术服务请求，通过加密专线、安全远程接入方式，向采购人提供问题解答、技术指导、远程故障排查与修复的服务过程，远程操作须全程留痕、符合医院网络安全管理规定。</w:t>
      </w:r>
    </w:p>
    <w:p w14:paraId="34CB000A">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1.5 </w:t>
      </w:r>
      <w:r>
        <w:rPr>
          <w:rFonts w:hint="eastAsia" w:ascii="仿宋" w:hAnsi="仿宋" w:eastAsia="仿宋" w:cs="仿宋"/>
          <w:b/>
          <w:sz w:val="24"/>
        </w:rPr>
        <w:t>软件更新</w:t>
      </w:r>
      <w:r>
        <w:rPr>
          <w:rFonts w:hint="eastAsia" w:ascii="仿宋" w:hAnsi="仿宋" w:eastAsia="仿宋" w:cs="仿宋"/>
          <w:sz w:val="24"/>
        </w:rPr>
        <w:t>：指为保障系统合规性、安全性、功能性，对许可软件进行的安全补丁更新、故障优化、版本迭代、政策适配性升级、功能完善的全过程，不限于仅故障场景。</w:t>
      </w:r>
    </w:p>
    <w:p w14:paraId="1EAB72D3">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1.6 </w:t>
      </w:r>
      <w:r>
        <w:rPr>
          <w:rFonts w:hint="eastAsia" w:ascii="仿宋" w:hAnsi="仿宋" w:eastAsia="仿宋" w:cs="仿宋"/>
          <w:b/>
          <w:sz w:val="24"/>
        </w:rPr>
        <w:t>技术支持</w:t>
      </w:r>
      <w:r>
        <w:rPr>
          <w:rFonts w:hint="eastAsia" w:ascii="仿宋" w:hAnsi="仿宋" w:eastAsia="仿宋" w:cs="仿宋"/>
          <w:sz w:val="24"/>
        </w:rPr>
        <w:t>：指服务供应商为保障许可软件和系统持续稳定运行，在服务期内通过电话、互联网、现场服务等方式，向采购人提供的7×24小时技术援助、操作指导与问题处置服务。</w:t>
      </w:r>
    </w:p>
    <w:p w14:paraId="702C626A">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1.7 </w:t>
      </w:r>
      <w:r>
        <w:rPr>
          <w:rFonts w:hint="eastAsia" w:ascii="仿宋" w:hAnsi="仿宋" w:eastAsia="仿宋" w:cs="仿宋"/>
          <w:b/>
          <w:sz w:val="24"/>
        </w:rPr>
        <w:t>热线支持</w:t>
      </w:r>
      <w:r>
        <w:rPr>
          <w:rFonts w:hint="eastAsia" w:ascii="仿宋" w:hAnsi="仿宋" w:eastAsia="仿宋" w:cs="仿宋"/>
          <w:sz w:val="24"/>
        </w:rPr>
        <w:t>：指服务供应商客户服务中心通过专属服务热线，7×24小时向采购人提供技术问题解答、服务请求受理、故障派单的服务过程。</w:t>
      </w:r>
    </w:p>
    <w:p w14:paraId="02AC9083">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1.8 </w:t>
      </w:r>
      <w:r>
        <w:rPr>
          <w:rFonts w:hint="eastAsia" w:ascii="仿宋" w:hAnsi="仿宋" w:eastAsia="仿宋" w:cs="仿宋"/>
          <w:b/>
          <w:sz w:val="24"/>
        </w:rPr>
        <w:t>在线技术支持</w:t>
      </w:r>
      <w:r>
        <w:rPr>
          <w:rFonts w:hint="eastAsia" w:ascii="仿宋" w:hAnsi="仿宋" w:eastAsia="仿宋" w:cs="仿宋"/>
          <w:sz w:val="24"/>
        </w:rPr>
        <w:t>：指服务供应商客户服务中心通过安全在线支持系统，接收、解答采购人问题，发布相关技术解决方案、操作指引的服务过程。</w:t>
      </w:r>
    </w:p>
    <w:p w14:paraId="55B77033">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1.9 </w:t>
      </w:r>
      <w:r>
        <w:rPr>
          <w:rFonts w:hint="eastAsia" w:ascii="仿宋" w:hAnsi="仿宋" w:eastAsia="仿宋" w:cs="仿宋"/>
          <w:b/>
          <w:sz w:val="24"/>
        </w:rPr>
        <w:t>响应时间</w:t>
      </w:r>
      <w:r>
        <w:rPr>
          <w:rFonts w:hint="eastAsia" w:ascii="仿宋" w:hAnsi="仿宋" w:eastAsia="仿宋" w:cs="仿宋"/>
          <w:sz w:val="24"/>
        </w:rPr>
        <w:t>：指服务供应商接到采购人正式服务请求后，到与采购人完成沟通、明确故障情况、出具服务承诺与初步处置方案的时间。</w:t>
      </w:r>
    </w:p>
    <w:p w14:paraId="5E20594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1.10 </w:t>
      </w:r>
      <w:r>
        <w:rPr>
          <w:rFonts w:hint="eastAsia" w:ascii="仿宋" w:hAnsi="仿宋" w:eastAsia="仿宋" w:cs="仿宋"/>
          <w:b/>
          <w:sz w:val="24"/>
        </w:rPr>
        <w:t>解决时间</w:t>
      </w:r>
      <w:r>
        <w:rPr>
          <w:rFonts w:hint="eastAsia" w:ascii="仿宋" w:hAnsi="仿宋" w:eastAsia="仿宋" w:cs="仿宋"/>
          <w:sz w:val="24"/>
        </w:rPr>
        <w:t>：指服务供应商从接到服务请求起，到系统故障完全修复、业务恢复正常运行、问题闭环处置的时间。</w:t>
      </w:r>
    </w:p>
    <w:p w14:paraId="43D136A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1.11 </w:t>
      </w:r>
      <w:r>
        <w:rPr>
          <w:rFonts w:hint="eastAsia" w:ascii="仿宋" w:hAnsi="仿宋" w:eastAsia="仿宋" w:cs="仿宋"/>
          <w:b/>
          <w:sz w:val="24"/>
        </w:rPr>
        <w:t>数据安全事件</w:t>
      </w:r>
      <w:r>
        <w:rPr>
          <w:rFonts w:hint="eastAsia" w:ascii="仿宋" w:hAnsi="仿宋" w:eastAsia="仿宋" w:cs="仿宋"/>
          <w:sz w:val="24"/>
        </w:rPr>
        <w:t>：指系统运行过程中发生的，可能或已经导致医疗数据、患者个人信息泄露、损毁、篡改、丢失，以及系统被非法入侵、攻击等影响数据安全的事件。</w:t>
      </w:r>
    </w:p>
    <w:p w14:paraId="086E323C">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 xml:space="preserve">1.12 </w:t>
      </w:r>
      <w:r>
        <w:rPr>
          <w:rFonts w:hint="eastAsia" w:ascii="仿宋" w:hAnsi="仿宋" w:eastAsia="仿宋" w:cs="仿宋"/>
          <w:b/>
          <w:sz w:val="24"/>
        </w:rPr>
        <w:t>等保合规</w:t>
      </w:r>
      <w:r>
        <w:rPr>
          <w:rFonts w:hint="eastAsia" w:ascii="仿宋" w:hAnsi="仿宋" w:eastAsia="仿宋" w:cs="仿宋"/>
          <w:sz w:val="24"/>
        </w:rPr>
        <w:t>：指系统运行与运维服务须符合国家网络安全等级保护2.0标准对应级别的全部要求。</w:t>
      </w:r>
    </w:p>
    <w:p w14:paraId="50977776">
      <w:pPr>
        <w:snapToGrid w:val="0"/>
        <w:spacing w:line="360" w:lineRule="auto"/>
        <w:rPr>
          <w:rFonts w:ascii="仿宋" w:hAnsi="仿宋" w:eastAsia="仿宋" w:cs="仿宋"/>
          <w:sz w:val="24"/>
        </w:rPr>
      </w:pPr>
      <w:r>
        <w:rPr>
          <w:rFonts w:hint="eastAsia" w:ascii="仿宋" w:hAnsi="仿宋" w:eastAsia="仿宋" w:cs="仿宋"/>
          <w:b/>
          <w:sz w:val="24"/>
        </w:rPr>
        <w:t>2. 运维服务系统范围</w:t>
      </w:r>
    </w:p>
    <w:p w14:paraId="504CC171">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采购人委托供应商提供售后运维服务的信息系统，包含但不限于下表所列全部模块、子系统及配套硬件设备，同时覆盖系统与院内HIS、LIS、PACS、EMR、医保结算系统、互联网医院平台等现有及未来新增信息系统的接口运维服务，确保系统互联互通。</w:t>
      </w:r>
    </w:p>
    <w:tbl>
      <w:tblPr>
        <w:tblStyle w:val="25"/>
        <w:tblW w:w="4999" w:type="pct"/>
        <w:tblInd w:w="0" w:type="dxa"/>
        <w:tblLayout w:type="autofit"/>
        <w:tblCellMar>
          <w:top w:w="0" w:type="dxa"/>
          <w:left w:w="108" w:type="dxa"/>
          <w:bottom w:w="0" w:type="dxa"/>
          <w:right w:w="108" w:type="dxa"/>
        </w:tblCellMar>
      </w:tblPr>
      <w:tblGrid>
        <w:gridCol w:w="3859"/>
        <w:gridCol w:w="5257"/>
      </w:tblGrid>
      <w:tr w14:paraId="322D1585">
        <w:tblPrEx>
          <w:tblCellMar>
            <w:top w:w="0" w:type="dxa"/>
            <w:left w:w="108" w:type="dxa"/>
            <w:bottom w:w="0" w:type="dxa"/>
            <w:right w:w="108" w:type="dxa"/>
          </w:tblCellMar>
        </w:tblPrEx>
        <w:trPr>
          <w:trHeight w:val="283" w:hRule="atLeast"/>
        </w:trPr>
        <w:tc>
          <w:tcPr>
            <w:tcW w:w="2116" w:type="pct"/>
            <w:tcBorders>
              <w:top w:val="single" w:color="auto" w:sz="4" w:space="0"/>
              <w:left w:val="single" w:color="auto" w:sz="4" w:space="0"/>
              <w:bottom w:val="single" w:color="auto" w:sz="4" w:space="0"/>
              <w:right w:val="single" w:color="auto" w:sz="4" w:space="0"/>
            </w:tcBorders>
            <w:vAlign w:val="center"/>
          </w:tcPr>
          <w:p w14:paraId="78A1370D">
            <w:pPr>
              <w:snapToGrid w:val="0"/>
              <w:spacing w:line="360" w:lineRule="auto"/>
              <w:jc w:val="center"/>
              <w:rPr>
                <w:rFonts w:ascii="仿宋" w:hAnsi="仿宋" w:eastAsia="仿宋" w:cs="仿宋"/>
                <w:b/>
                <w:color w:val="000000"/>
                <w:kern w:val="0"/>
                <w:sz w:val="24"/>
              </w:rPr>
            </w:pPr>
            <w:r>
              <w:rPr>
                <w:rFonts w:hint="eastAsia" w:ascii="仿宋" w:hAnsi="仿宋" w:eastAsia="仿宋" w:cs="仿宋"/>
                <w:b/>
                <w:bCs/>
                <w:kern w:val="0"/>
                <w:sz w:val="24"/>
              </w:rPr>
              <w:t>系统名称</w:t>
            </w:r>
          </w:p>
        </w:tc>
        <w:tc>
          <w:tcPr>
            <w:tcW w:w="2883" w:type="pct"/>
            <w:tcBorders>
              <w:top w:val="single" w:color="auto" w:sz="4" w:space="0"/>
              <w:left w:val="single" w:color="auto" w:sz="4" w:space="0"/>
              <w:bottom w:val="single" w:color="auto" w:sz="4" w:space="0"/>
              <w:right w:val="single" w:color="auto" w:sz="4" w:space="0"/>
            </w:tcBorders>
            <w:vAlign w:val="center"/>
          </w:tcPr>
          <w:p w14:paraId="718B14B4">
            <w:pPr>
              <w:snapToGrid w:val="0"/>
              <w:spacing w:line="360" w:lineRule="auto"/>
              <w:jc w:val="center"/>
              <w:rPr>
                <w:rFonts w:ascii="仿宋" w:hAnsi="仿宋" w:eastAsia="仿宋" w:cs="仿宋"/>
                <w:b/>
                <w:color w:val="000000"/>
                <w:kern w:val="0"/>
                <w:sz w:val="24"/>
              </w:rPr>
            </w:pPr>
            <w:r>
              <w:rPr>
                <w:rFonts w:hint="eastAsia" w:ascii="仿宋" w:hAnsi="仿宋" w:eastAsia="仿宋" w:cs="仿宋"/>
                <w:b/>
                <w:bCs/>
                <w:kern w:val="0"/>
                <w:sz w:val="24"/>
              </w:rPr>
              <w:t>子系统 / 模块</w:t>
            </w:r>
          </w:p>
        </w:tc>
      </w:tr>
      <w:tr w14:paraId="6747B258">
        <w:tblPrEx>
          <w:tblCellMar>
            <w:top w:w="0" w:type="dxa"/>
            <w:left w:w="108" w:type="dxa"/>
            <w:bottom w:w="0" w:type="dxa"/>
            <w:right w:w="108" w:type="dxa"/>
          </w:tblCellMar>
        </w:tblPrEx>
        <w:trPr>
          <w:trHeight w:val="283" w:hRule="atLeast"/>
        </w:trPr>
        <w:tc>
          <w:tcPr>
            <w:tcW w:w="2116" w:type="pct"/>
            <w:tcBorders>
              <w:top w:val="single" w:color="auto" w:sz="4" w:space="0"/>
              <w:left w:val="single" w:color="auto" w:sz="4" w:space="0"/>
              <w:bottom w:val="single" w:color="auto" w:sz="4" w:space="0"/>
              <w:right w:val="single" w:color="auto" w:sz="4" w:space="0"/>
            </w:tcBorders>
            <w:vAlign w:val="center"/>
          </w:tcPr>
          <w:p w14:paraId="06069EC0">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院感驾驶舱</w:t>
            </w:r>
          </w:p>
        </w:tc>
        <w:tc>
          <w:tcPr>
            <w:tcW w:w="2883" w:type="pct"/>
            <w:tcBorders>
              <w:top w:val="single" w:color="auto" w:sz="4" w:space="0"/>
              <w:left w:val="single" w:color="auto" w:sz="4" w:space="0"/>
              <w:bottom w:val="single" w:color="auto" w:sz="4" w:space="0"/>
              <w:right w:val="single" w:color="auto" w:sz="4" w:space="0"/>
            </w:tcBorders>
            <w:vAlign w:val="center"/>
          </w:tcPr>
          <w:p w14:paraId="0F553A31">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所有数据汇总统计及分析展示</w:t>
            </w:r>
          </w:p>
        </w:tc>
      </w:tr>
      <w:tr w14:paraId="6F6FAD5D">
        <w:tblPrEx>
          <w:tblCellMar>
            <w:top w:w="0" w:type="dxa"/>
            <w:left w:w="108" w:type="dxa"/>
            <w:bottom w:w="0" w:type="dxa"/>
            <w:right w:w="108" w:type="dxa"/>
          </w:tblCellMar>
        </w:tblPrEx>
        <w:trPr>
          <w:trHeight w:val="283" w:hRule="atLeast"/>
        </w:trPr>
        <w:tc>
          <w:tcPr>
            <w:tcW w:w="2116" w:type="pct"/>
            <w:vMerge w:val="restart"/>
            <w:tcBorders>
              <w:top w:val="single" w:color="auto" w:sz="4" w:space="0"/>
              <w:left w:val="single" w:color="auto" w:sz="4" w:space="0"/>
              <w:right w:val="single" w:color="auto" w:sz="4" w:space="0"/>
            </w:tcBorders>
            <w:shd w:val="clear" w:color="auto" w:fill="auto"/>
            <w:vAlign w:val="center"/>
          </w:tcPr>
          <w:p w14:paraId="4399C102">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学习考试</w:t>
            </w:r>
          </w:p>
        </w:tc>
        <w:tc>
          <w:tcPr>
            <w:tcW w:w="2883" w:type="pct"/>
            <w:tcBorders>
              <w:top w:val="single" w:color="000000" w:sz="4" w:space="0"/>
              <w:left w:val="single" w:color="auto" w:sz="4" w:space="0"/>
              <w:bottom w:val="single" w:color="000000" w:sz="4" w:space="0"/>
              <w:right w:val="single" w:color="000000" w:sz="4" w:space="0"/>
            </w:tcBorders>
            <w:shd w:val="clear" w:color="auto" w:fill="auto"/>
            <w:vAlign w:val="center"/>
          </w:tcPr>
          <w:p w14:paraId="05C8C782">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每周持续更新的指南标准库</w:t>
            </w:r>
          </w:p>
        </w:tc>
      </w:tr>
      <w:tr w14:paraId="48C6D8C8">
        <w:tblPrEx>
          <w:tblCellMar>
            <w:top w:w="0" w:type="dxa"/>
            <w:left w:w="108" w:type="dxa"/>
            <w:bottom w:w="0" w:type="dxa"/>
            <w:right w:w="108" w:type="dxa"/>
          </w:tblCellMar>
        </w:tblPrEx>
        <w:trPr>
          <w:trHeight w:val="283" w:hRule="atLeast"/>
        </w:trPr>
        <w:tc>
          <w:tcPr>
            <w:tcW w:w="2116" w:type="pct"/>
            <w:vMerge w:val="continue"/>
            <w:tcBorders>
              <w:left w:val="single" w:color="auto" w:sz="4" w:space="0"/>
              <w:right w:val="single" w:color="auto" w:sz="4" w:space="0"/>
            </w:tcBorders>
            <w:shd w:val="clear" w:color="auto" w:fill="auto"/>
            <w:vAlign w:val="center"/>
          </w:tcPr>
          <w:p w14:paraId="694D12DD">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auto" w:sz="4" w:space="0"/>
              <w:bottom w:val="single" w:color="000000" w:sz="4" w:space="0"/>
              <w:right w:val="single" w:color="000000" w:sz="4" w:space="0"/>
            </w:tcBorders>
            <w:shd w:val="clear" w:color="auto" w:fill="auto"/>
            <w:vAlign w:val="center"/>
          </w:tcPr>
          <w:p w14:paraId="415E6A86">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不定期持续更新的公开课</w:t>
            </w:r>
          </w:p>
        </w:tc>
      </w:tr>
      <w:tr w14:paraId="44B2BAE0">
        <w:tblPrEx>
          <w:tblCellMar>
            <w:top w:w="0" w:type="dxa"/>
            <w:left w:w="108" w:type="dxa"/>
            <w:bottom w:w="0" w:type="dxa"/>
            <w:right w:w="108" w:type="dxa"/>
          </w:tblCellMar>
        </w:tblPrEx>
        <w:trPr>
          <w:trHeight w:val="283" w:hRule="atLeast"/>
        </w:trPr>
        <w:tc>
          <w:tcPr>
            <w:tcW w:w="2116" w:type="pct"/>
            <w:vMerge w:val="continue"/>
            <w:tcBorders>
              <w:left w:val="single" w:color="auto" w:sz="4" w:space="0"/>
              <w:right w:val="single" w:color="auto" w:sz="4" w:space="0"/>
            </w:tcBorders>
            <w:shd w:val="clear" w:color="auto" w:fill="auto"/>
            <w:vAlign w:val="center"/>
          </w:tcPr>
          <w:p w14:paraId="082180C9">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auto" w:sz="4" w:space="0"/>
              <w:bottom w:val="single" w:color="000000" w:sz="4" w:space="0"/>
              <w:right w:val="single" w:color="000000" w:sz="4" w:space="0"/>
            </w:tcBorders>
            <w:shd w:val="clear" w:color="auto" w:fill="auto"/>
            <w:vAlign w:val="center"/>
          </w:tcPr>
          <w:p w14:paraId="253B2833">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定期更新的国内外文献库</w:t>
            </w:r>
          </w:p>
        </w:tc>
      </w:tr>
      <w:tr w14:paraId="237E3362">
        <w:tblPrEx>
          <w:tblCellMar>
            <w:top w:w="0" w:type="dxa"/>
            <w:left w:w="108" w:type="dxa"/>
            <w:bottom w:w="0" w:type="dxa"/>
            <w:right w:w="108" w:type="dxa"/>
          </w:tblCellMar>
        </w:tblPrEx>
        <w:trPr>
          <w:trHeight w:val="283" w:hRule="atLeast"/>
        </w:trPr>
        <w:tc>
          <w:tcPr>
            <w:tcW w:w="2116" w:type="pct"/>
            <w:vMerge w:val="continue"/>
            <w:tcBorders>
              <w:left w:val="single" w:color="auto" w:sz="4" w:space="0"/>
              <w:right w:val="single" w:color="auto" w:sz="4" w:space="0"/>
            </w:tcBorders>
            <w:shd w:val="clear" w:color="auto" w:fill="auto"/>
            <w:vAlign w:val="center"/>
          </w:tcPr>
          <w:p w14:paraId="2D21B9DC">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auto" w:sz="4" w:space="0"/>
              <w:bottom w:val="single" w:color="000000" w:sz="4" w:space="0"/>
              <w:right w:val="single" w:color="000000" w:sz="4" w:space="0"/>
            </w:tcBorders>
            <w:shd w:val="clear" w:color="auto" w:fill="auto"/>
            <w:vAlign w:val="center"/>
          </w:tcPr>
          <w:p w14:paraId="12C161DE">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各类专业问答互动搜索区</w:t>
            </w:r>
          </w:p>
        </w:tc>
      </w:tr>
      <w:tr w14:paraId="6C73915C">
        <w:tblPrEx>
          <w:tblCellMar>
            <w:top w:w="0" w:type="dxa"/>
            <w:left w:w="108" w:type="dxa"/>
            <w:bottom w:w="0" w:type="dxa"/>
            <w:right w:w="108" w:type="dxa"/>
          </w:tblCellMar>
        </w:tblPrEx>
        <w:trPr>
          <w:trHeight w:val="283" w:hRule="atLeast"/>
        </w:trPr>
        <w:tc>
          <w:tcPr>
            <w:tcW w:w="2116" w:type="pct"/>
            <w:vMerge w:val="continue"/>
            <w:tcBorders>
              <w:left w:val="single" w:color="auto" w:sz="4" w:space="0"/>
              <w:bottom w:val="single" w:color="auto" w:sz="4" w:space="0"/>
              <w:right w:val="single" w:color="auto" w:sz="4" w:space="0"/>
            </w:tcBorders>
            <w:shd w:val="clear" w:color="auto" w:fill="auto"/>
            <w:vAlign w:val="center"/>
          </w:tcPr>
          <w:p w14:paraId="457C2F0E">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auto" w:sz="4" w:space="0"/>
              <w:bottom w:val="single" w:color="000000" w:sz="4" w:space="0"/>
              <w:right w:val="single" w:color="000000" w:sz="4" w:space="0"/>
            </w:tcBorders>
            <w:shd w:val="clear" w:color="auto" w:fill="auto"/>
            <w:vAlign w:val="center"/>
          </w:tcPr>
          <w:p w14:paraId="651897C2">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使用用户经验分享区</w:t>
            </w:r>
          </w:p>
        </w:tc>
      </w:tr>
      <w:tr w14:paraId="18442FCF">
        <w:tblPrEx>
          <w:tblCellMar>
            <w:top w:w="0" w:type="dxa"/>
            <w:left w:w="108" w:type="dxa"/>
            <w:bottom w:w="0" w:type="dxa"/>
            <w:right w:w="108" w:type="dxa"/>
          </w:tblCellMar>
        </w:tblPrEx>
        <w:trPr>
          <w:trHeight w:val="283" w:hRule="atLeast"/>
        </w:trPr>
        <w:tc>
          <w:tcPr>
            <w:tcW w:w="2116" w:type="pct"/>
            <w:vMerge w:val="restart"/>
            <w:tcBorders>
              <w:top w:val="single" w:color="auto" w:sz="4" w:space="0"/>
              <w:left w:val="single" w:color="auto" w:sz="4" w:space="0"/>
              <w:right w:val="single" w:color="auto" w:sz="4" w:space="0"/>
            </w:tcBorders>
            <w:shd w:val="clear" w:color="auto" w:fill="auto"/>
            <w:vAlign w:val="center"/>
          </w:tcPr>
          <w:p w14:paraId="3809E98E">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组织管理</w:t>
            </w:r>
          </w:p>
        </w:tc>
        <w:tc>
          <w:tcPr>
            <w:tcW w:w="2883" w:type="pct"/>
            <w:tcBorders>
              <w:top w:val="single" w:color="000000" w:sz="4" w:space="0"/>
              <w:left w:val="single" w:color="auto" w:sz="4" w:space="0"/>
              <w:bottom w:val="single" w:color="000000" w:sz="4" w:space="0"/>
              <w:right w:val="single" w:color="000000" w:sz="4" w:space="0"/>
            </w:tcBorders>
            <w:shd w:val="clear" w:color="auto" w:fill="auto"/>
            <w:vAlign w:val="center"/>
          </w:tcPr>
          <w:p w14:paraId="77DAA3D6">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单元管理（新增、修改、禁用/启用、删除）</w:t>
            </w:r>
          </w:p>
        </w:tc>
      </w:tr>
      <w:tr w14:paraId="2C6AEA29">
        <w:tblPrEx>
          <w:tblCellMar>
            <w:top w:w="0" w:type="dxa"/>
            <w:left w:w="108" w:type="dxa"/>
            <w:bottom w:w="0" w:type="dxa"/>
            <w:right w:w="108" w:type="dxa"/>
          </w:tblCellMar>
        </w:tblPrEx>
        <w:trPr>
          <w:trHeight w:val="283" w:hRule="atLeast"/>
        </w:trPr>
        <w:tc>
          <w:tcPr>
            <w:tcW w:w="2116" w:type="pct"/>
            <w:vMerge w:val="continue"/>
            <w:tcBorders>
              <w:left w:val="single" w:color="auto" w:sz="4" w:space="0"/>
              <w:right w:val="single" w:color="auto" w:sz="4" w:space="0"/>
            </w:tcBorders>
            <w:shd w:val="clear" w:color="auto" w:fill="auto"/>
            <w:vAlign w:val="center"/>
          </w:tcPr>
          <w:p w14:paraId="7B43B00E">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auto" w:sz="4" w:space="0"/>
              <w:bottom w:val="single" w:color="000000" w:sz="4" w:space="0"/>
              <w:right w:val="single" w:color="000000" w:sz="4" w:space="0"/>
            </w:tcBorders>
            <w:shd w:val="clear" w:color="auto" w:fill="auto"/>
            <w:vAlign w:val="center"/>
          </w:tcPr>
          <w:p w14:paraId="3F9C843F">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员工管理（新增、修改、注销、审核）</w:t>
            </w:r>
          </w:p>
        </w:tc>
      </w:tr>
      <w:tr w14:paraId="1728DD9D">
        <w:tblPrEx>
          <w:tblCellMar>
            <w:top w:w="0" w:type="dxa"/>
            <w:left w:w="108" w:type="dxa"/>
            <w:bottom w:w="0" w:type="dxa"/>
            <w:right w:w="108" w:type="dxa"/>
          </w:tblCellMar>
        </w:tblPrEx>
        <w:trPr>
          <w:trHeight w:val="283" w:hRule="atLeast"/>
        </w:trPr>
        <w:tc>
          <w:tcPr>
            <w:tcW w:w="2116" w:type="pct"/>
            <w:vMerge w:val="continue"/>
            <w:tcBorders>
              <w:left w:val="single" w:color="auto" w:sz="4" w:space="0"/>
              <w:bottom w:val="single" w:color="auto" w:sz="4" w:space="0"/>
              <w:right w:val="single" w:color="auto" w:sz="4" w:space="0"/>
            </w:tcBorders>
            <w:shd w:val="clear" w:color="auto" w:fill="auto"/>
            <w:vAlign w:val="center"/>
          </w:tcPr>
          <w:p w14:paraId="70F8906D">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auto" w:sz="4" w:space="0"/>
              <w:bottom w:val="single" w:color="000000" w:sz="4" w:space="0"/>
              <w:right w:val="single" w:color="000000" w:sz="4" w:space="0"/>
            </w:tcBorders>
            <w:shd w:val="clear" w:color="auto" w:fill="auto"/>
            <w:vAlign w:val="center"/>
          </w:tcPr>
          <w:p w14:paraId="64F73B86">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管理员权限设置</w:t>
            </w:r>
          </w:p>
        </w:tc>
      </w:tr>
      <w:tr w14:paraId="2885F427">
        <w:tblPrEx>
          <w:tblCellMar>
            <w:top w:w="0" w:type="dxa"/>
            <w:left w:w="108" w:type="dxa"/>
            <w:bottom w:w="0" w:type="dxa"/>
            <w:right w:w="108" w:type="dxa"/>
          </w:tblCellMar>
        </w:tblPrEx>
        <w:trPr>
          <w:trHeight w:val="283" w:hRule="atLeast"/>
        </w:trPr>
        <w:tc>
          <w:tcPr>
            <w:tcW w:w="2116" w:type="pct"/>
            <w:vMerge w:val="restart"/>
            <w:tcBorders>
              <w:top w:val="single" w:color="auto" w:sz="4" w:space="0"/>
              <w:left w:val="single" w:color="auto" w:sz="4" w:space="0"/>
              <w:right w:val="single" w:color="auto" w:sz="4" w:space="0"/>
            </w:tcBorders>
            <w:shd w:val="clear" w:color="auto" w:fill="auto"/>
            <w:vAlign w:val="center"/>
          </w:tcPr>
          <w:p w14:paraId="14518D7F">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任务管理</w:t>
            </w:r>
          </w:p>
        </w:tc>
        <w:tc>
          <w:tcPr>
            <w:tcW w:w="2883" w:type="pct"/>
            <w:tcBorders>
              <w:top w:val="single" w:color="000000" w:sz="4" w:space="0"/>
              <w:left w:val="single" w:color="auto" w:sz="4" w:space="0"/>
              <w:bottom w:val="single" w:color="000000" w:sz="4" w:space="0"/>
              <w:right w:val="single" w:color="000000" w:sz="4" w:space="0"/>
            </w:tcBorders>
            <w:shd w:val="clear" w:color="auto" w:fill="auto"/>
            <w:vAlign w:val="center"/>
          </w:tcPr>
          <w:p w14:paraId="0C3DFD62">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任务列表</w:t>
            </w:r>
          </w:p>
        </w:tc>
      </w:tr>
      <w:tr w14:paraId="1410E19A">
        <w:tblPrEx>
          <w:tblCellMar>
            <w:top w:w="0" w:type="dxa"/>
            <w:left w:w="108" w:type="dxa"/>
            <w:bottom w:w="0" w:type="dxa"/>
            <w:right w:w="108" w:type="dxa"/>
          </w:tblCellMar>
        </w:tblPrEx>
        <w:trPr>
          <w:trHeight w:val="283" w:hRule="atLeast"/>
        </w:trPr>
        <w:tc>
          <w:tcPr>
            <w:tcW w:w="2116" w:type="pct"/>
            <w:vMerge w:val="continue"/>
            <w:tcBorders>
              <w:left w:val="single" w:color="auto" w:sz="4" w:space="0"/>
              <w:right w:val="single" w:color="auto" w:sz="4" w:space="0"/>
            </w:tcBorders>
            <w:shd w:val="clear" w:color="auto" w:fill="auto"/>
            <w:vAlign w:val="center"/>
          </w:tcPr>
          <w:p w14:paraId="0B6031E0">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auto" w:sz="4" w:space="0"/>
              <w:bottom w:val="single" w:color="000000" w:sz="4" w:space="0"/>
              <w:right w:val="single" w:color="000000" w:sz="4" w:space="0"/>
            </w:tcBorders>
            <w:shd w:val="clear" w:color="auto" w:fill="auto"/>
            <w:vAlign w:val="center"/>
          </w:tcPr>
          <w:p w14:paraId="51B69FEC">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任务完成统计</w:t>
            </w:r>
          </w:p>
        </w:tc>
      </w:tr>
      <w:tr w14:paraId="756659D5">
        <w:tblPrEx>
          <w:tblCellMar>
            <w:top w:w="0" w:type="dxa"/>
            <w:left w:w="108" w:type="dxa"/>
            <w:bottom w:w="0" w:type="dxa"/>
            <w:right w:w="108" w:type="dxa"/>
          </w:tblCellMar>
        </w:tblPrEx>
        <w:trPr>
          <w:trHeight w:val="283" w:hRule="atLeast"/>
        </w:trPr>
        <w:tc>
          <w:tcPr>
            <w:tcW w:w="2116" w:type="pct"/>
            <w:vMerge w:val="continue"/>
            <w:tcBorders>
              <w:left w:val="single" w:color="auto" w:sz="4" w:space="0"/>
              <w:bottom w:val="single" w:color="auto" w:sz="4" w:space="0"/>
              <w:right w:val="single" w:color="auto" w:sz="4" w:space="0"/>
            </w:tcBorders>
            <w:shd w:val="clear" w:color="auto" w:fill="auto"/>
            <w:vAlign w:val="center"/>
          </w:tcPr>
          <w:p w14:paraId="62B9DF0D">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auto" w:sz="4" w:space="0"/>
              <w:bottom w:val="single" w:color="000000" w:sz="4" w:space="0"/>
              <w:right w:val="single" w:color="000000" w:sz="4" w:space="0"/>
            </w:tcBorders>
            <w:shd w:val="clear" w:color="auto" w:fill="auto"/>
            <w:vAlign w:val="center"/>
          </w:tcPr>
          <w:p w14:paraId="6C679AB4">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月度任务设置月度任务设置</w:t>
            </w:r>
          </w:p>
        </w:tc>
      </w:tr>
      <w:tr w14:paraId="48ABB27D">
        <w:tblPrEx>
          <w:tblCellMar>
            <w:top w:w="0" w:type="dxa"/>
            <w:left w:w="108" w:type="dxa"/>
            <w:bottom w:w="0" w:type="dxa"/>
            <w:right w:w="108" w:type="dxa"/>
          </w:tblCellMar>
        </w:tblPrEx>
        <w:trPr>
          <w:trHeight w:val="283" w:hRule="atLeast"/>
        </w:trPr>
        <w:tc>
          <w:tcPr>
            <w:tcW w:w="2116" w:type="pct"/>
            <w:tcBorders>
              <w:top w:val="single" w:color="auto" w:sz="4" w:space="0"/>
              <w:left w:val="single" w:color="000000" w:sz="4" w:space="0"/>
              <w:bottom w:val="single" w:color="000000" w:sz="4" w:space="0"/>
              <w:right w:val="single" w:color="000000" w:sz="4" w:space="0"/>
            </w:tcBorders>
            <w:shd w:val="clear" w:color="auto" w:fill="auto"/>
            <w:vAlign w:val="center"/>
          </w:tcPr>
          <w:p w14:paraId="5E83323E">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工作量统计</w:t>
            </w: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B4848">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督察员工作量统计</w:t>
            </w:r>
          </w:p>
        </w:tc>
      </w:tr>
      <w:tr w14:paraId="1EB4EE42">
        <w:tblPrEx>
          <w:tblCellMar>
            <w:top w:w="0" w:type="dxa"/>
            <w:left w:w="108" w:type="dxa"/>
            <w:bottom w:w="0" w:type="dxa"/>
            <w:right w:w="108" w:type="dxa"/>
          </w:tblCellMar>
        </w:tblPrEx>
        <w:trPr>
          <w:trHeight w:val="283" w:hRule="atLeast"/>
        </w:trPr>
        <w:tc>
          <w:tcPr>
            <w:tcW w:w="2116" w:type="pct"/>
            <w:tcBorders>
              <w:top w:val="single" w:color="auto" w:sz="4" w:space="0"/>
              <w:left w:val="single" w:color="000000" w:sz="4" w:space="0"/>
              <w:bottom w:val="single" w:color="000000" w:sz="4" w:space="0"/>
              <w:right w:val="single" w:color="000000" w:sz="4" w:space="0"/>
            </w:tcBorders>
            <w:shd w:val="clear" w:color="auto" w:fill="auto"/>
            <w:vAlign w:val="center"/>
          </w:tcPr>
          <w:p w14:paraId="02D13892">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管理报告</w:t>
            </w: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18C48">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管理报告清单</w:t>
            </w:r>
          </w:p>
        </w:tc>
      </w:tr>
      <w:tr w14:paraId="78F058F4">
        <w:tblPrEx>
          <w:tblCellMar>
            <w:top w:w="0" w:type="dxa"/>
            <w:left w:w="108" w:type="dxa"/>
            <w:bottom w:w="0" w:type="dxa"/>
            <w:right w:w="108" w:type="dxa"/>
          </w:tblCellMar>
        </w:tblPrEx>
        <w:trPr>
          <w:trHeight w:val="283" w:hRule="atLeast"/>
        </w:trPr>
        <w:tc>
          <w:tcPr>
            <w:tcW w:w="2116" w:type="pct"/>
            <w:vMerge w:val="restart"/>
            <w:tcBorders>
              <w:top w:val="single" w:color="auto" w:sz="4" w:space="0"/>
              <w:left w:val="single" w:color="000000" w:sz="4" w:space="0"/>
              <w:right w:val="single" w:color="000000" w:sz="4" w:space="0"/>
            </w:tcBorders>
            <w:shd w:val="clear" w:color="auto" w:fill="auto"/>
            <w:vAlign w:val="center"/>
          </w:tcPr>
          <w:p w14:paraId="055C1D36">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手卫生督查统计</w:t>
            </w: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9CDE7">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督查记录</w:t>
            </w:r>
          </w:p>
        </w:tc>
      </w:tr>
      <w:tr w14:paraId="33EF3652">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635DB298">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A5BBA">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任务统计</w:t>
            </w:r>
          </w:p>
        </w:tc>
      </w:tr>
      <w:tr w14:paraId="7CFD6958">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23F87550">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75890">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月度统计</w:t>
            </w:r>
          </w:p>
        </w:tc>
      </w:tr>
      <w:tr w14:paraId="2E21CA40">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275E830F">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3F549">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督查人手卫生任务统计</w:t>
            </w:r>
          </w:p>
        </w:tc>
      </w:tr>
      <w:tr w14:paraId="6220C101">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41A4C0C6">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58820">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受检人指征详情</w:t>
            </w:r>
          </w:p>
        </w:tc>
      </w:tr>
      <w:tr w14:paraId="3F5E067C">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5DBC7462">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637D9">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受检人手卫生督查详情</w:t>
            </w:r>
          </w:p>
        </w:tc>
      </w:tr>
      <w:tr w14:paraId="781001E3">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2845D6A4">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6A8DD">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受检人手卫生指征依从性详情</w:t>
            </w:r>
          </w:p>
        </w:tc>
      </w:tr>
      <w:tr w14:paraId="4A1D4547">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7258B011">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8FC5C">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受检人手卫生指征岗位统计</w:t>
            </w:r>
          </w:p>
        </w:tc>
      </w:tr>
      <w:tr w14:paraId="01A17115">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3B8F670E">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AEBA6">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单元时机指征岗位统计</w:t>
            </w:r>
          </w:p>
        </w:tc>
      </w:tr>
      <w:tr w14:paraId="49DEFBB6">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557FEA7D">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1AB74">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单元岗位指征详情</w:t>
            </w:r>
          </w:p>
        </w:tc>
      </w:tr>
      <w:tr w14:paraId="7BCF8FFB">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4B546EA7">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D8CC3">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单元时机依从性统计</w:t>
            </w:r>
          </w:p>
        </w:tc>
      </w:tr>
      <w:tr w14:paraId="0177983D">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7F0C475F">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B0650">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单元指征依从性统计</w:t>
            </w:r>
          </w:p>
        </w:tc>
      </w:tr>
      <w:tr w14:paraId="2261E47D">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7F0C2F10">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159EC">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单元手卫生不规范内容统计</w:t>
            </w:r>
          </w:p>
        </w:tc>
      </w:tr>
      <w:tr w14:paraId="4E913961">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1B5FFBE5">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4D8A2">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临床科室分类时机指征岗位统计</w:t>
            </w:r>
          </w:p>
        </w:tc>
      </w:tr>
      <w:tr w14:paraId="4617E331">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3FAAA9B6">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35970">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岗位时机依从性统计</w:t>
            </w:r>
          </w:p>
        </w:tc>
      </w:tr>
      <w:tr w14:paraId="3756666A">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5CBF7836">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4685E">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岗位指征依从性统计</w:t>
            </w:r>
          </w:p>
        </w:tc>
      </w:tr>
      <w:tr w14:paraId="1306FF2A">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10099376">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EEFC0">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岗位手卫生不规范内容分析</w:t>
            </w:r>
          </w:p>
        </w:tc>
      </w:tr>
      <w:tr w14:paraId="4B475E20">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404DC60B">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AFA5A">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 xml:space="preserve">手卫生不规范内容分析 </w:t>
            </w:r>
          </w:p>
        </w:tc>
      </w:tr>
      <w:tr w14:paraId="5EE6D9AE">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5B06F4CF">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C8AFD">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手卫生不规范分类分析</w:t>
            </w:r>
          </w:p>
        </w:tc>
      </w:tr>
      <w:tr w14:paraId="108A2C27">
        <w:tblPrEx>
          <w:tblCellMar>
            <w:top w:w="0" w:type="dxa"/>
            <w:left w:w="108" w:type="dxa"/>
            <w:bottom w:w="0" w:type="dxa"/>
            <w:right w:w="108" w:type="dxa"/>
          </w:tblCellMar>
        </w:tblPrEx>
        <w:trPr>
          <w:trHeight w:val="283" w:hRule="atLeast"/>
        </w:trPr>
        <w:tc>
          <w:tcPr>
            <w:tcW w:w="2116" w:type="pct"/>
            <w:vMerge w:val="continue"/>
            <w:tcBorders>
              <w:left w:val="single" w:color="000000" w:sz="4" w:space="0"/>
              <w:bottom w:val="single" w:color="000000" w:sz="4" w:space="0"/>
              <w:right w:val="single" w:color="000000" w:sz="4" w:space="0"/>
            </w:tcBorders>
            <w:shd w:val="clear" w:color="auto" w:fill="auto"/>
            <w:vAlign w:val="center"/>
          </w:tcPr>
          <w:p w14:paraId="7A6A667A">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0EDEB">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手卫生不规范内容趋势分析</w:t>
            </w:r>
          </w:p>
        </w:tc>
      </w:tr>
      <w:tr w14:paraId="3D137076">
        <w:tblPrEx>
          <w:tblCellMar>
            <w:top w:w="0" w:type="dxa"/>
            <w:left w:w="108" w:type="dxa"/>
            <w:bottom w:w="0" w:type="dxa"/>
            <w:right w:w="108" w:type="dxa"/>
          </w:tblCellMar>
        </w:tblPrEx>
        <w:trPr>
          <w:trHeight w:val="283" w:hRule="atLeast"/>
        </w:trPr>
        <w:tc>
          <w:tcPr>
            <w:tcW w:w="2116" w:type="pct"/>
            <w:vMerge w:val="restart"/>
            <w:tcBorders>
              <w:top w:val="single" w:color="auto" w:sz="4" w:space="0"/>
              <w:left w:val="single" w:color="000000" w:sz="4" w:space="0"/>
              <w:right w:val="single" w:color="000000" w:sz="4" w:space="0"/>
            </w:tcBorders>
            <w:shd w:val="clear" w:color="auto" w:fill="auto"/>
            <w:vAlign w:val="center"/>
          </w:tcPr>
          <w:p w14:paraId="78BED683">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外科手消毒督查统计</w:t>
            </w: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D4655">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外科手消毒督查记录</w:t>
            </w:r>
          </w:p>
        </w:tc>
      </w:tr>
      <w:tr w14:paraId="5601881F">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6E98A67F">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9EBA0">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受检人指征详情</w:t>
            </w:r>
          </w:p>
        </w:tc>
      </w:tr>
      <w:tr w14:paraId="04AD3CEE">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4D2AE880">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DF5A0">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单元岗位指征依从性统计</w:t>
            </w:r>
          </w:p>
        </w:tc>
      </w:tr>
      <w:tr w14:paraId="7B1ADFE1">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1989CBA3">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0080B">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不规范原因分析</w:t>
            </w:r>
          </w:p>
        </w:tc>
      </w:tr>
      <w:tr w14:paraId="12E5A96D">
        <w:tblPrEx>
          <w:tblCellMar>
            <w:top w:w="0" w:type="dxa"/>
            <w:left w:w="108" w:type="dxa"/>
            <w:bottom w:w="0" w:type="dxa"/>
            <w:right w:w="108" w:type="dxa"/>
          </w:tblCellMar>
        </w:tblPrEx>
        <w:trPr>
          <w:trHeight w:val="283" w:hRule="atLeast"/>
        </w:trPr>
        <w:tc>
          <w:tcPr>
            <w:tcW w:w="2116" w:type="pct"/>
            <w:vMerge w:val="continue"/>
            <w:tcBorders>
              <w:left w:val="single" w:color="000000" w:sz="4" w:space="0"/>
              <w:bottom w:val="single" w:color="000000" w:sz="4" w:space="0"/>
              <w:right w:val="single" w:color="000000" w:sz="4" w:space="0"/>
            </w:tcBorders>
            <w:shd w:val="clear" w:color="auto" w:fill="auto"/>
            <w:vAlign w:val="center"/>
          </w:tcPr>
          <w:p w14:paraId="2A15C82F">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F52FD">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单元指征措施依从性统计</w:t>
            </w:r>
          </w:p>
        </w:tc>
      </w:tr>
      <w:tr w14:paraId="22FA5E33">
        <w:tblPrEx>
          <w:tblCellMar>
            <w:top w:w="0" w:type="dxa"/>
            <w:left w:w="108" w:type="dxa"/>
            <w:bottom w:w="0" w:type="dxa"/>
            <w:right w:w="108" w:type="dxa"/>
          </w:tblCellMar>
        </w:tblPrEx>
        <w:trPr>
          <w:trHeight w:val="283" w:hRule="atLeast"/>
        </w:trPr>
        <w:tc>
          <w:tcPr>
            <w:tcW w:w="2116" w:type="pct"/>
            <w:vMerge w:val="restart"/>
            <w:tcBorders>
              <w:top w:val="single" w:color="auto" w:sz="4" w:space="0"/>
              <w:left w:val="single" w:color="000000" w:sz="4" w:space="0"/>
              <w:right w:val="single" w:color="000000" w:sz="4" w:space="0"/>
            </w:tcBorders>
            <w:shd w:val="clear" w:color="auto" w:fill="auto"/>
            <w:vAlign w:val="center"/>
          </w:tcPr>
          <w:p w14:paraId="6D388791">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依从性观察统计</w:t>
            </w: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C2BAA">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依从性督查记录</w:t>
            </w:r>
          </w:p>
        </w:tc>
      </w:tr>
      <w:tr w14:paraId="5F022A62">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1349799B">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5EBCA">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受检人指征详情</w:t>
            </w:r>
          </w:p>
        </w:tc>
      </w:tr>
      <w:tr w14:paraId="67CC6EB8">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5A87D096">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A62ED">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依从性不规范内容分析</w:t>
            </w:r>
          </w:p>
        </w:tc>
      </w:tr>
      <w:tr w14:paraId="194578A7">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5BD46EC2">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5B033">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单元时机依从性统计</w:t>
            </w:r>
          </w:p>
        </w:tc>
      </w:tr>
      <w:tr w14:paraId="775712E2">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5A90C056">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F2A33">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岗位指征依从性统计</w:t>
            </w:r>
          </w:p>
        </w:tc>
      </w:tr>
      <w:tr w14:paraId="587F190B">
        <w:tblPrEx>
          <w:tblCellMar>
            <w:top w:w="0" w:type="dxa"/>
            <w:left w:w="108" w:type="dxa"/>
            <w:bottom w:w="0" w:type="dxa"/>
            <w:right w:w="108" w:type="dxa"/>
          </w:tblCellMar>
        </w:tblPrEx>
        <w:trPr>
          <w:trHeight w:val="283" w:hRule="atLeast"/>
        </w:trPr>
        <w:tc>
          <w:tcPr>
            <w:tcW w:w="2116" w:type="pct"/>
            <w:vMerge w:val="continue"/>
            <w:tcBorders>
              <w:left w:val="single" w:color="000000" w:sz="4" w:space="0"/>
              <w:bottom w:val="single" w:color="000000" w:sz="4" w:space="0"/>
              <w:right w:val="single" w:color="000000" w:sz="4" w:space="0"/>
            </w:tcBorders>
            <w:shd w:val="clear" w:color="auto" w:fill="auto"/>
            <w:vAlign w:val="center"/>
          </w:tcPr>
          <w:p w14:paraId="653FE302">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0FCD3">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岗位时机依从性统计</w:t>
            </w:r>
          </w:p>
        </w:tc>
      </w:tr>
      <w:tr w14:paraId="7246729D">
        <w:tblPrEx>
          <w:tblCellMar>
            <w:top w:w="0" w:type="dxa"/>
            <w:left w:w="108" w:type="dxa"/>
            <w:bottom w:w="0" w:type="dxa"/>
            <w:right w:w="108" w:type="dxa"/>
          </w:tblCellMar>
        </w:tblPrEx>
        <w:trPr>
          <w:trHeight w:val="283" w:hRule="atLeast"/>
        </w:trPr>
        <w:tc>
          <w:tcPr>
            <w:tcW w:w="2116" w:type="pct"/>
            <w:vMerge w:val="restart"/>
            <w:tcBorders>
              <w:top w:val="single" w:color="auto" w:sz="4" w:space="0"/>
              <w:left w:val="single" w:color="000000" w:sz="4" w:space="0"/>
              <w:right w:val="single" w:color="000000" w:sz="4" w:space="0"/>
            </w:tcBorders>
            <w:shd w:val="clear" w:color="auto" w:fill="auto"/>
            <w:vAlign w:val="center"/>
          </w:tcPr>
          <w:p w14:paraId="637B9E1F">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消耗品统计</w:t>
            </w: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16D4C">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领用清单</w:t>
            </w:r>
          </w:p>
        </w:tc>
      </w:tr>
      <w:tr w14:paraId="464D4CB3">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500B9387">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A1CC0">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库存盘点记录</w:t>
            </w:r>
          </w:p>
        </w:tc>
      </w:tr>
      <w:tr w14:paraId="01598271">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0976E112">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7D55B">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月度录入统计</w:t>
            </w:r>
          </w:p>
        </w:tc>
      </w:tr>
      <w:tr w14:paraId="41609C1B">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4E60DCF4">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86236">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月度消耗统计</w:t>
            </w:r>
          </w:p>
        </w:tc>
      </w:tr>
      <w:tr w14:paraId="461CE271">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27D2620C">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2D902">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月度消耗品成本统计</w:t>
            </w:r>
          </w:p>
        </w:tc>
      </w:tr>
      <w:tr w14:paraId="422F45DE">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4329FE27">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8E0C6">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各类别指标统计</w:t>
            </w:r>
          </w:p>
        </w:tc>
      </w:tr>
      <w:tr w14:paraId="17453F83">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03D9B001">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70542">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总消耗量统计</w:t>
            </w:r>
          </w:p>
        </w:tc>
      </w:tr>
      <w:tr w14:paraId="41DDEA85">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50F509C1">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97A80">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单元消耗量排名</w:t>
            </w:r>
          </w:p>
        </w:tc>
      </w:tr>
      <w:tr w14:paraId="5FE9C244">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75393944">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BE7F2">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每床日消耗量排名</w:t>
            </w:r>
          </w:p>
        </w:tc>
      </w:tr>
      <w:tr w14:paraId="769A4CAE">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548DD900">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6A81C">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按住院人均消耗量排名</w:t>
            </w:r>
          </w:p>
        </w:tc>
      </w:tr>
      <w:tr w14:paraId="1C657272">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161F207F">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FEDCB">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按门诊/患者数人均消耗量排名</w:t>
            </w:r>
          </w:p>
        </w:tc>
      </w:tr>
      <w:tr w14:paraId="3A89EAF5">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02EB98EB">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51EF6">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按工作人数人均消耗量排名</w:t>
            </w:r>
          </w:p>
        </w:tc>
      </w:tr>
      <w:tr w14:paraId="40C26FEA">
        <w:tblPrEx>
          <w:tblCellMar>
            <w:top w:w="0" w:type="dxa"/>
            <w:left w:w="108" w:type="dxa"/>
            <w:bottom w:w="0" w:type="dxa"/>
            <w:right w:w="108" w:type="dxa"/>
          </w:tblCellMar>
        </w:tblPrEx>
        <w:trPr>
          <w:trHeight w:val="283" w:hRule="atLeast"/>
        </w:trPr>
        <w:tc>
          <w:tcPr>
            <w:tcW w:w="2116" w:type="pct"/>
            <w:vMerge w:val="continue"/>
            <w:tcBorders>
              <w:left w:val="single" w:color="000000" w:sz="4" w:space="0"/>
              <w:bottom w:val="single" w:color="000000" w:sz="4" w:space="0"/>
              <w:right w:val="single" w:color="000000" w:sz="4" w:space="0"/>
            </w:tcBorders>
            <w:shd w:val="clear" w:color="auto" w:fill="auto"/>
            <w:vAlign w:val="center"/>
          </w:tcPr>
          <w:p w14:paraId="1537F434">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8AC50">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按工作人数人均每日手卫生次数排名</w:t>
            </w:r>
          </w:p>
        </w:tc>
      </w:tr>
      <w:tr w14:paraId="791724C7">
        <w:tblPrEx>
          <w:tblCellMar>
            <w:top w:w="0" w:type="dxa"/>
            <w:left w:w="108" w:type="dxa"/>
            <w:bottom w:w="0" w:type="dxa"/>
            <w:right w:w="108" w:type="dxa"/>
          </w:tblCellMar>
        </w:tblPrEx>
        <w:trPr>
          <w:trHeight w:val="283" w:hRule="atLeast"/>
        </w:trPr>
        <w:tc>
          <w:tcPr>
            <w:tcW w:w="2116" w:type="pct"/>
            <w:vMerge w:val="restart"/>
            <w:tcBorders>
              <w:top w:val="single" w:color="auto" w:sz="4" w:space="0"/>
              <w:left w:val="single" w:color="000000" w:sz="4" w:space="0"/>
              <w:right w:val="single" w:color="000000" w:sz="4" w:space="0"/>
            </w:tcBorders>
            <w:shd w:val="clear" w:color="auto" w:fill="auto"/>
            <w:vAlign w:val="center"/>
          </w:tcPr>
          <w:p w14:paraId="56470C07">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查核表管理</w:t>
            </w: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BAB95">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防空措施查核表管理</w:t>
            </w:r>
          </w:p>
        </w:tc>
      </w:tr>
      <w:tr w14:paraId="3E251AC4">
        <w:tblPrEx>
          <w:tblCellMar>
            <w:top w:w="0" w:type="dxa"/>
            <w:left w:w="108" w:type="dxa"/>
            <w:bottom w:w="0" w:type="dxa"/>
            <w:right w:w="108" w:type="dxa"/>
          </w:tblCellMar>
        </w:tblPrEx>
        <w:trPr>
          <w:trHeight w:val="283" w:hRule="atLeast"/>
        </w:trPr>
        <w:tc>
          <w:tcPr>
            <w:tcW w:w="2116" w:type="pct"/>
            <w:vMerge w:val="continue"/>
            <w:tcBorders>
              <w:left w:val="single" w:color="000000" w:sz="4" w:space="0"/>
              <w:bottom w:val="single" w:color="000000" w:sz="4" w:space="0"/>
              <w:right w:val="single" w:color="000000" w:sz="4" w:space="0"/>
            </w:tcBorders>
            <w:shd w:val="clear" w:color="auto" w:fill="auto"/>
            <w:vAlign w:val="center"/>
          </w:tcPr>
          <w:p w14:paraId="7969C4CB">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1C119">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防控措施查核表设置</w:t>
            </w:r>
          </w:p>
        </w:tc>
      </w:tr>
      <w:tr w14:paraId="138E9083">
        <w:tblPrEx>
          <w:tblCellMar>
            <w:top w:w="0" w:type="dxa"/>
            <w:left w:w="108" w:type="dxa"/>
            <w:bottom w:w="0" w:type="dxa"/>
            <w:right w:w="108" w:type="dxa"/>
          </w:tblCellMar>
        </w:tblPrEx>
        <w:trPr>
          <w:trHeight w:val="283" w:hRule="atLeast"/>
        </w:trPr>
        <w:tc>
          <w:tcPr>
            <w:tcW w:w="2116" w:type="pct"/>
            <w:tcBorders>
              <w:top w:val="single" w:color="auto" w:sz="4" w:space="0"/>
              <w:left w:val="single" w:color="000000" w:sz="4" w:space="0"/>
              <w:bottom w:val="single" w:color="000000" w:sz="4" w:space="0"/>
              <w:right w:val="single" w:color="000000" w:sz="4" w:space="0"/>
            </w:tcBorders>
            <w:shd w:val="clear" w:color="auto" w:fill="auto"/>
            <w:vAlign w:val="center"/>
          </w:tcPr>
          <w:p w14:paraId="386DF395">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查核表督查记录</w:t>
            </w: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AEAAA">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各类科室</w:t>
            </w:r>
          </w:p>
        </w:tc>
      </w:tr>
      <w:tr w14:paraId="435802CF">
        <w:tblPrEx>
          <w:tblCellMar>
            <w:top w:w="0" w:type="dxa"/>
            <w:left w:w="108" w:type="dxa"/>
            <w:bottom w:w="0" w:type="dxa"/>
            <w:right w:w="108" w:type="dxa"/>
          </w:tblCellMar>
        </w:tblPrEx>
        <w:trPr>
          <w:trHeight w:val="283" w:hRule="atLeast"/>
        </w:trPr>
        <w:tc>
          <w:tcPr>
            <w:tcW w:w="2116" w:type="pct"/>
            <w:vMerge w:val="restart"/>
            <w:tcBorders>
              <w:top w:val="single" w:color="auto" w:sz="4" w:space="0"/>
              <w:left w:val="single" w:color="000000" w:sz="4" w:space="0"/>
              <w:right w:val="single" w:color="000000" w:sz="4" w:space="0"/>
            </w:tcBorders>
            <w:shd w:val="clear" w:color="auto" w:fill="auto"/>
            <w:vAlign w:val="center"/>
          </w:tcPr>
          <w:p w14:paraId="07D97F38">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查核表督查统计</w:t>
            </w: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79610">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督查任务记录</w:t>
            </w:r>
          </w:p>
        </w:tc>
      </w:tr>
      <w:tr w14:paraId="5F9C97BD">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1E974CB2">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571A9">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单元督查任务统计</w:t>
            </w:r>
          </w:p>
        </w:tc>
      </w:tr>
      <w:tr w14:paraId="2098A251">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343850DA">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D9AAE">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单元督查得分分析</w:t>
            </w:r>
          </w:p>
        </w:tc>
      </w:tr>
      <w:tr w14:paraId="2AF8F34E">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519B6539">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4ABA7">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单元未达成条目统计</w:t>
            </w:r>
          </w:p>
        </w:tc>
      </w:tr>
      <w:tr w14:paraId="1A62284B">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54595362">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2B9F2">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单元条目各指标统计</w:t>
            </w:r>
          </w:p>
        </w:tc>
      </w:tr>
      <w:tr w14:paraId="750D7F02">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1779780B">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76CC8">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督查工具单元得分排名</w:t>
            </w:r>
          </w:p>
        </w:tc>
      </w:tr>
      <w:tr w14:paraId="48883AC4">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62C29456">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D670B">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督查工具单元达成率排名</w:t>
            </w:r>
          </w:p>
        </w:tc>
      </w:tr>
      <w:tr w14:paraId="2845F006">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67689493">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692E7">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条目结果详情</w:t>
            </w:r>
          </w:p>
        </w:tc>
      </w:tr>
      <w:tr w14:paraId="31AA0D78">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19082020">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5B7A0">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条目分析</w:t>
            </w:r>
          </w:p>
        </w:tc>
      </w:tr>
      <w:tr w14:paraId="6503F23F">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2F898B10">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BED1D">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环境物表清洁统计</w:t>
            </w:r>
          </w:p>
        </w:tc>
      </w:tr>
      <w:tr w14:paraId="1814AE94">
        <w:tblPrEx>
          <w:tblCellMar>
            <w:top w:w="0" w:type="dxa"/>
            <w:left w:w="108" w:type="dxa"/>
            <w:bottom w:w="0" w:type="dxa"/>
            <w:right w:w="108" w:type="dxa"/>
          </w:tblCellMar>
        </w:tblPrEx>
        <w:trPr>
          <w:trHeight w:val="283" w:hRule="atLeast"/>
        </w:trPr>
        <w:tc>
          <w:tcPr>
            <w:tcW w:w="2116" w:type="pct"/>
            <w:vMerge w:val="continue"/>
            <w:tcBorders>
              <w:left w:val="single" w:color="000000" w:sz="4" w:space="0"/>
              <w:bottom w:val="single" w:color="000000" w:sz="4" w:space="0"/>
              <w:right w:val="single" w:color="000000" w:sz="4" w:space="0"/>
            </w:tcBorders>
            <w:shd w:val="clear" w:color="auto" w:fill="auto"/>
            <w:vAlign w:val="center"/>
          </w:tcPr>
          <w:p w14:paraId="554B513E">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76C86">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多重耐药督查项目统计</w:t>
            </w:r>
          </w:p>
        </w:tc>
      </w:tr>
      <w:tr w14:paraId="4D4723EC">
        <w:tblPrEx>
          <w:tblCellMar>
            <w:top w:w="0" w:type="dxa"/>
            <w:left w:w="108" w:type="dxa"/>
            <w:bottom w:w="0" w:type="dxa"/>
            <w:right w:w="108" w:type="dxa"/>
          </w:tblCellMar>
        </w:tblPrEx>
        <w:trPr>
          <w:trHeight w:val="283" w:hRule="atLeast"/>
        </w:trPr>
        <w:tc>
          <w:tcPr>
            <w:tcW w:w="2116" w:type="pct"/>
            <w:tcBorders>
              <w:top w:val="single" w:color="auto" w:sz="4" w:space="0"/>
              <w:left w:val="single" w:color="000000" w:sz="4" w:space="0"/>
              <w:bottom w:val="single" w:color="000000" w:sz="4" w:space="0"/>
              <w:right w:val="single" w:color="000000" w:sz="4" w:space="0"/>
            </w:tcBorders>
            <w:shd w:val="clear" w:color="auto" w:fill="auto"/>
            <w:vAlign w:val="center"/>
          </w:tcPr>
          <w:p w14:paraId="2B2E40C3">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问题台账本</w:t>
            </w: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36DC5">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台账本记录</w:t>
            </w:r>
          </w:p>
        </w:tc>
      </w:tr>
      <w:tr w14:paraId="1BE02D4C">
        <w:tblPrEx>
          <w:tblCellMar>
            <w:top w:w="0" w:type="dxa"/>
            <w:left w:w="108" w:type="dxa"/>
            <w:bottom w:w="0" w:type="dxa"/>
            <w:right w:w="108" w:type="dxa"/>
          </w:tblCellMar>
        </w:tblPrEx>
        <w:trPr>
          <w:trHeight w:val="283" w:hRule="atLeast"/>
        </w:trPr>
        <w:tc>
          <w:tcPr>
            <w:tcW w:w="2116" w:type="pct"/>
            <w:vMerge w:val="restart"/>
            <w:tcBorders>
              <w:top w:val="single" w:color="auto" w:sz="4" w:space="0"/>
              <w:left w:val="single" w:color="000000" w:sz="4" w:space="0"/>
              <w:right w:val="single" w:color="000000" w:sz="4" w:space="0"/>
            </w:tcBorders>
            <w:shd w:val="clear" w:color="auto" w:fill="auto"/>
            <w:vAlign w:val="center"/>
          </w:tcPr>
          <w:p w14:paraId="2C2A4F4C">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新督导本管理</w:t>
            </w: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4DDC2">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督导本设置</w:t>
            </w:r>
          </w:p>
        </w:tc>
      </w:tr>
      <w:tr w14:paraId="35305C6B">
        <w:tblPrEx>
          <w:tblCellMar>
            <w:top w:w="0" w:type="dxa"/>
            <w:left w:w="108" w:type="dxa"/>
            <w:bottom w:w="0" w:type="dxa"/>
            <w:right w:w="108" w:type="dxa"/>
          </w:tblCellMar>
        </w:tblPrEx>
        <w:trPr>
          <w:trHeight w:val="283" w:hRule="atLeast"/>
        </w:trPr>
        <w:tc>
          <w:tcPr>
            <w:tcW w:w="2116" w:type="pct"/>
            <w:vMerge w:val="continue"/>
            <w:tcBorders>
              <w:left w:val="single" w:color="000000" w:sz="4" w:space="0"/>
              <w:bottom w:val="single" w:color="000000" w:sz="4" w:space="0"/>
              <w:right w:val="single" w:color="000000" w:sz="4" w:space="0"/>
            </w:tcBorders>
            <w:shd w:val="clear" w:color="auto" w:fill="auto"/>
            <w:vAlign w:val="center"/>
          </w:tcPr>
          <w:p w14:paraId="072A264C">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358B2">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问题类别常见问题维护</w:t>
            </w:r>
          </w:p>
        </w:tc>
      </w:tr>
      <w:tr w14:paraId="7515CB48">
        <w:tblPrEx>
          <w:tblCellMar>
            <w:top w:w="0" w:type="dxa"/>
            <w:left w:w="108" w:type="dxa"/>
            <w:bottom w:w="0" w:type="dxa"/>
            <w:right w:w="108" w:type="dxa"/>
          </w:tblCellMar>
        </w:tblPrEx>
        <w:trPr>
          <w:trHeight w:val="283" w:hRule="atLeast"/>
        </w:trPr>
        <w:tc>
          <w:tcPr>
            <w:tcW w:w="2116" w:type="pct"/>
            <w:vMerge w:val="restart"/>
            <w:tcBorders>
              <w:top w:val="single" w:color="auto" w:sz="4" w:space="0"/>
              <w:left w:val="single" w:color="000000" w:sz="4" w:space="0"/>
              <w:right w:val="single" w:color="000000" w:sz="4" w:space="0"/>
            </w:tcBorders>
            <w:shd w:val="clear" w:color="auto" w:fill="auto"/>
            <w:vAlign w:val="center"/>
          </w:tcPr>
          <w:p w14:paraId="785BB890">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新督导本统计</w:t>
            </w: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7F59F">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单元问题类别统计</w:t>
            </w:r>
          </w:p>
        </w:tc>
      </w:tr>
      <w:tr w14:paraId="0442DFB2">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20106266">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0D34E">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督导本改进任务记录</w:t>
            </w:r>
          </w:p>
        </w:tc>
      </w:tr>
      <w:tr w14:paraId="769A6CE4">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52B256D8">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1CE95">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督导本任务统计</w:t>
            </w:r>
          </w:p>
        </w:tc>
      </w:tr>
      <w:tr w14:paraId="32190345">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0280A93B">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79C23">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问题类别排名分析</w:t>
            </w:r>
          </w:p>
        </w:tc>
      </w:tr>
      <w:tr w14:paraId="099CB074">
        <w:tblPrEx>
          <w:tblCellMar>
            <w:top w:w="0" w:type="dxa"/>
            <w:left w:w="108" w:type="dxa"/>
            <w:bottom w:w="0" w:type="dxa"/>
            <w:right w:w="108" w:type="dxa"/>
          </w:tblCellMar>
        </w:tblPrEx>
        <w:trPr>
          <w:trHeight w:val="283" w:hRule="atLeast"/>
        </w:trPr>
        <w:tc>
          <w:tcPr>
            <w:tcW w:w="2116" w:type="pct"/>
            <w:vMerge w:val="continue"/>
            <w:tcBorders>
              <w:left w:val="single" w:color="000000" w:sz="4" w:space="0"/>
              <w:bottom w:val="single" w:color="000000" w:sz="4" w:space="0"/>
              <w:right w:val="single" w:color="000000" w:sz="4" w:space="0"/>
            </w:tcBorders>
            <w:shd w:val="clear" w:color="auto" w:fill="auto"/>
            <w:vAlign w:val="center"/>
          </w:tcPr>
          <w:p w14:paraId="463E7C60">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3052F">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单元问题类型构成分析</w:t>
            </w:r>
          </w:p>
        </w:tc>
      </w:tr>
      <w:tr w14:paraId="771E0232">
        <w:tblPrEx>
          <w:tblCellMar>
            <w:top w:w="0" w:type="dxa"/>
            <w:left w:w="108" w:type="dxa"/>
            <w:bottom w:w="0" w:type="dxa"/>
            <w:right w:w="108" w:type="dxa"/>
          </w:tblCellMar>
        </w:tblPrEx>
        <w:trPr>
          <w:trHeight w:val="283" w:hRule="atLeast"/>
        </w:trPr>
        <w:tc>
          <w:tcPr>
            <w:tcW w:w="2116" w:type="pct"/>
            <w:vMerge w:val="restart"/>
            <w:tcBorders>
              <w:top w:val="single" w:color="auto" w:sz="4" w:space="0"/>
              <w:left w:val="single" w:color="000000" w:sz="4" w:space="0"/>
              <w:right w:val="single" w:color="000000" w:sz="4" w:space="0"/>
            </w:tcBorders>
            <w:shd w:val="clear" w:color="auto" w:fill="auto"/>
            <w:vAlign w:val="center"/>
          </w:tcPr>
          <w:p w14:paraId="65C34EBF">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督导本统计</w:t>
            </w: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48D32">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督导本改进任务记录</w:t>
            </w:r>
          </w:p>
        </w:tc>
      </w:tr>
      <w:tr w14:paraId="208D4680">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767F8A3C">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7BB7D">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质量督查任务详情</w:t>
            </w:r>
          </w:p>
        </w:tc>
      </w:tr>
      <w:tr w14:paraId="102C9D11">
        <w:tblPrEx>
          <w:tblCellMar>
            <w:top w:w="0" w:type="dxa"/>
            <w:left w:w="108" w:type="dxa"/>
            <w:bottom w:w="0" w:type="dxa"/>
            <w:right w:w="108" w:type="dxa"/>
          </w:tblCellMar>
        </w:tblPrEx>
        <w:trPr>
          <w:trHeight w:val="283" w:hRule="atLeast"/>
        </w:trPr>
        <w:tc>
          <w:tcPr>
            <w:tcW w:w="2116" w:type="pct"/>
            <w:vMerge w:val="continue"/>
            <w:tcBorders>
              <w:left w:val="single" w:color="000000" w:sz="4" w:space="0"/>
              <w:right w:val="single" w:color="000000" w:sz="4" w:space="0"/>
            </w:tcBorders>
            <w:shd w:val="clear" w:color="auto" w:fill="auto"/>
            <w:vAlign w:val="center"/>
          </w:tcPr>
          <w:p w14:paraId="4923E033">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A85D2">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问题类别排名分析</w:t>
            </w:r>
          </w:p>
        </w:tc>
      </w:tr>
      <w:tr w14:paraId="100B334F">
        <w:tblPrEx>
          <w:tblCellMar>
            <w:top w:w="0" w:type="dxa"/>
            <w:left w:w="108" w:type="dxa"/>
            <w:bottom w:w="0" w:type="dxa"/>
            <w:right w:w="108" w:type="dxa"/>
          </w:tblCellMar>
        </w:tblPrEx>
        <w:trPr>
          <w:trHeight w:val="283" w:hRule="atLeast"/>
        </w:trPr>
        <w:tc>
          <w:tcPr>
            <w:tcW w:w="2116" w:type="pct"/>
            <w:vMerge w:val="continue"/>
            <w:tcBorders>
              <w:left w:val="single" w:color="000000" w:sz="4" w:space="0"/>
              <w:bottom w:val="single" w:color="000000" w:sz="4" w:space="0"/>
              <w:right w:val="single" w:color="000000" w:sz="4" w:space="0"/>
            </w:tcBorders>
            <w:shd w:val="clear" w:color="auto" w:fill="auto"/>
            <w:vAlign w:val="center"/>
          </w:tcPr>
          <w:p w14:paraId="6CF2BAF4">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FC23F">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单元问题类型构成分析</w:t>
            </w:r>
          </w:p>
        </w:tc>
      </w:tr>
      <w:tr w14:paraId="5BBE139A">
        <w:tblPrEx>
          <w:tblCellMar>
            <w:top w:w="0" w:type="dxa"/>
            <w:left w:w="108" w:type="dxa"/>
            <w:bottom w:w="0" w:type="dxa"/>
            <w:right w:w="108" w:type="dxa"/>
          </w:tblCellMar>
        </w:tblPrEx>
        <w:trPr>
          <w:trHeight w:val="283" w:hRule="atLeast"/>
        </w:trPr>
        <w:tc>
          <w:tcPr>
            <w:tcW w:w="2116" w:type="pct"/>
            <w:vMerge w:val="restart"/>
            <w:tcBorders>
              <w:top w:val="single" w:color="auto" w:sz="4" w:space="0"/>
              <w:left w:val="single" w:color="000000" w:sz="4" w:space="0"/>
              <w:right w:val="single" w:color="000000" w:sz="4" w:space="0"/>
            </w:tcBorders>
            <w:shd w:val="clear" w:color="auto" w:fill="auto"/>
            <w:vAlign w:val="center"/>
          </w:tcPr>
          <w:p w14:paraId="344BBDE1">
            <w:pPr>
              <w:snapToGrid w:val="0"/>
              <w:spacing w:line="360" w:lineRule="auto"/>
              <w:jc w:val="center"/>
              <w:rPr>
                <w:rFonts w:ascii="仿宋" w:hAnsi="仿宋" w:eastAsia="仿宋" w:cs="仿宋"/>
                <w:color w:val="000000"/>
                <w:kern w:val="0"/>
                <w:sz w:val="24"/>
              </w:rPr>
            </w:pPr>
            <w:r>
              <w:rPr>
                <w:rFonts w:hint="eastAsia" w:ascii="仿宋" w:hAnsi="仿宋" w:eastAsia="仿宋" w:cs="仿宋"/>
                <w:color w:val="000000"/>
                <w:kern w:val="0"/>
                <w:sz w:val="24"/>
              </w:rPr>
              <w:t>区域任务</w:t>
            </w: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B42AA">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全国手卫生检测上报</w:t>
            </w:r>
          </w:p>
        </w:tc>
      </w:tr>
      <w:tr w14:paraId="6170A162">
        <w:tblPrEx>
          <w:tblCellMar>
            <w:top w:w="0" w:type="dxa"/>
            <w:left w:w="108" w:type="dxa"/>
            <w:bottom w:w="0" w:type="dxa"/>
            <w:right w:w="108" w:type="dxa"/>
          </w:tblCellMar>
        </w:tblPrEx>
        <w:trPr>
          <w:trHeight w:val="283" w:hRule="atLeast"/>
        </w:trPr>
        <w:tc>
          <w:tcPr>
            <w:tcW w:w="2116" w:type="pct"/>
            <w:vMerge w:val="continue"/>
            <w:tcBorders>
              <w:left w:val="single" w:color="000000" w:sz="4" w:space="0"/>
              <w:bottom w:val="single" w:color="000000" w:sz="4" w:space="0"/>
              <w:right w:val="single" w:color="000000" w:sz="4" w:space="0"/>
            </w:tcBorders>
            <w:shd w:val="clear" w:color="auto" w:fill="auto"/>
            <w:vAlign w:val="center"/>
          </w:tcPr>
          <w:p w14:paraId="7787EFD1">
            <w:pPr>
              <w:snapToGrid w:val="0"/>
              <w:spacing w:line="360" w:lineRule="auto"/>
              <w:jc w:val="center"/>
              <w:rPr>
                <w:rFonts w:ascii="仿宋" w:hAnsi="仿宋" w:eastAsia="仿宋" w:cs="仿宋"/>
                <w:color w:val="000000"/>
                <w:kern w:val="0"/>
                <w:sz w:val="24"/>
              </w:rPr>
            </w:pPr>
          </w:p>
        </w:tc>
        <w:tc>
          <w:tcPr>
            <w:tcW w:w="2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1F8BC">
            <w:pPr>
              <w:snapToGrid w:val="0"/>
              <w:spacing w:line="360" w:lineRule="auto"/>
              <w:rPr>
                <w:rFonts w:ascii="仿宋" w:hAnsi="仿宋" w:eastAsia="仿宋" w:cs="仿宋"/>
                <w:color w:val="000000"/>
                <w:kern w:val="0"/>
                <w:sz w:val="24"/>
              </w:rPr>
            </w:pPr>
            <w:r>
              <w:rPr>
                <w:rFonts w:hint="eastAsia" w:ascii="仿宋" w:hAnsi="仿宋" w:eastAsia="仿宋" w:cs="仿宋"/>
                <w:color w:val="000000"/>
                <w:kern w:val="0"/>
                <w:sz w:val="24"/>
              </w:rPr>
              <w:t>质量督查自查记录</w:t>
            </w:r>
          </w:p>
        </w:tc>
      </w:tr>
    </w:tbl>
    <w:p w14:paraId="5EC60E38">
      <w:pPr>
        <w:snapToGrid w:val="0"/>
        <w:spacing w:line="360" w:lineRule="auto"/>
        <w:rPr>
          <w:rFonts w:ascii="仿宋" w:hAnsi="仿宋" w:eastAsia="仿宋" w:cs="仿宋"/>
          <w:sz w:val="24"/>
        </w:rPr>
      </w:pPr>
      <w:r>
        <w:rPr>
          <w:rFonts w:hint="eastAsia" w:ascii="仿宋" w:hAnsi="仿宋" w:eastAsia="仿宋" w:cs="仿宋"/>
          <w:b/>
          <w:sz w:val="24"/>
        </w:rPr>
        <w:t>3. 故障分级标准及服务级别协议（SLA）要求</w:t>
      </w:r>
    </w:p>
    <w:p w14:paraId="141B3E91">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结合医疗行业业务连续性要求与《医疗卫生机构网络安全管理办法》事件分级标准，制定四级故障分级与刚性SLA要求，服务商须提供7×24小时全时段服务，工作日、节假日、夜间执行统一响应与处置标准，具体如下：</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77"/>
        <w:gridCol w:w="1720"/>
        <w:gridCol w:w="3442"/>
        <w:gridCol w:w="3199"/>
      </w:tblGrid>
      <w:tr w14:paraId="4E6D0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3FEC4001">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941" w:type="pct"/>
            <w:tcMar>
              <w:top w:w="60" w:type="dxa"/>
              <w:left w:w="120" w:type="dxa"/>
              <w:bottom w:w="30" w:type="dxa"/>
              <w:right w:w="120" w:type="dxa"/>
            </w:tcMar>
            <w:vAlign w:val="center"/>
          </w:tcPr>
          <w:p w14:paraId="3DF4A2A3">
            <w:pPr>
              <w:snapToGrid w:val="0"/>
              <w:spacing w:line="360" w:lineRule="auto"/>
              <w:jc w:val="center"/>
              <w:rPr>
                <w:rFonts w:ascii="仿宋" w:hAnsi="仿宋" w:eastAsia="仿宋" w:cs="仿宋"/>
                <w:b/>
                <w:sz w:val="24"/>
              </w:rPr>
            </w:pPr>
            <w:r>
              <w:rPr>
                <w:rFonts w:hint="eastAsia" w:ascii="仿宋" w:hAnsi="仿宋" w:eastAsia="仿宋" w:cs="仿宋"/>
                <w:b/>
                <w:sz w:val="24"/>
              </w:rPr>
              <w:t>故障等级</w:t>
            </w:r>
          </w:p>
        </w:tc>
        <w:tc>
          <w:tcPr>
            <w:tcW w:w="1883" w:type="pct"/>
            <w:tcMar>
              <w:top w:w="60" w:type="dxa"/>
              <w:left w:w="120" w:type="dxa"/>
              <w:bottom w:w="30" w:type="dxa"/>
              <w:right w:w="120" w:type="dxa"/>
            </w:tcMar>
            <w:vAlign w:val="center"/>
          </w:tcPr>
          <w:p w14:paraId="084B8A88">
            <w:pPr>
              <w:snapToGrid w:val="0"/>
              <w:spacing w:line="360" w:lineRule="auto"/>
              <w:jc w:val="center"/>
              <w:rPr>
                <w:rFonts w:ascii="仿宋" w:hAnsi="仿宋" w:eastAsia="仿宋" w:cs="仿宋"/>
                <w:b/>
                <w:sz w:val="24"/>
              </w:rPr>
            </w:pPr>
            <w:r>
              <w:rPr>
                <w:rFonts w:hint="eastAsia" w:ascii="仿宋" w:hAnsi="仿宋" w:eastAsia="仿宋" w:cs="仿宋"/>
                <w:b/>
                <w:sz w:val="24"/>
              </w:rPr>
              <w:t>故障情况描述</w:t>
            </w:r>
          </w:p>
        </w:tc>
        <w:tc>
          <w:tcPr>
            <w:tcW w:w="1750" w:type="pct"/>
            <w:tcMar>
              <w:top w:w="60" w:type="dxa"/>
              <w:left w:w="120" w:type="dxa"/>
              <w:bottom w:w="30" w:type="dxa"/>
              <w:right w:w="120" w:type="dxa"/>
            </w:tcMar>
            <w:vAlign w:val="center"/>
          </w:tcPr>
          <w:p w14:paraId="2F23378E">
            <w:pPr>
              <w:snapToGrid w:val="0"/>
              <w:spacing w:line="360" w:lineRule="auto"/>
              <w:jc w:val="center"/>
              <w:rPr>
                <w:rFonts w:ascii="仿宋" w:hAnsi="仿宋" w:eastAsia="仿宋" w:cs="仿宋"/>
                <w:b/>
                <w:sz w:val="24"/>
              </w:rPr>
            </w:pPr>
            <w:r>
              <w:rPr>
                <w:rFonts w:hint="eastAsia" w:ascii="仿宋" w:hAnsi="仿宋" w:eastAsia="仿宋" w:cs="仿宋"/>
                <w:b/>
                <w:sz w:val="24"/>
              </w:rPr>
              <w:t>刚性SLA要求</w:t>
            </w:r>
          </w:p>
        </w:tc>
      </w:tr>
      <w:tr w14:paraId="086C0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10FDA41D">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941" w:type="pct"/>
            <w:tcMar>
              <w:top w:w="60" w:type="dxa"/>
              <w:left w:w="120" w:type="dxa"/>
              <w:bottom w:w="30" w:type="dxa"/>
              <w:right w:w="120" w:type="dxa"/>
            </w:tcMar>
            <w:vAlign w:val="center"/>
          </w:tcPr>
          <w:p w14:paraId="0326D9D4">
            <w:pPr>
              <w:snapToGrid w:val="0"/>
              <w:spacing w:line="360" w:lineRule="auto"/>
              <w:jc w:val="center"/>
              <w:rPr>
                <w:rFonts w:ascii="仿宋" w:hAnsi="仿宋" w:eastAsia="仿宋" w:cs="仿宋"/>
                <w:sz w:val="24"/>
              </w:rPr>
            </w:pPr>
            <w:r>
              <w:rPr>
                <w:rFonts w:hint="eastAsia" w:ascii="仿宋" w:hAnsi="仿宋" w:eastAsia="仿宋" w:cs="仿宋"/>
                <w:sz w:val="24"/>
              </w:rPr>
              <w:t>一级故障（重大）</w:t>
            </w:r>
          </w:p>
        </w:tc>
        <w:tc>
          <w:tcPr>
            <w:tcW w:w="1883" w:type="pct"/>
            <w:tcMar>
              <w:top w:w="60" w:type="dxa"/>
              <w:left w:w="120" w:type="dxa"/>
              <w:bottom w:w="30" w:type="dxa"/>
              <w:right w:w="120" w:type="dxa"/>
            </w:tcMar>
          </w:tcPr>
          <w:p w14:paraId="704C2CC2">
            <w:pPr>
              <w:snapToGrid w:val="0"/>
              <w:spacing w:line="360" w:lineRule="auto"/>
              <w:rPr>
                <w:rFonts w:ascii="仿宋" w:hAnsi="仿宋" w:eastAsia="仿宋" w:cs="仿宋"/>
                <w:sz w:val="24"/>
              </w:rPr>
            </w:pPr>
            <w:r>
              <w:rPr>
                <w:rFonts w:hint="eastAsia" w:ascii="仿宋" w:hAnsi="仿宋" w:eastAsia="仿宋" w:cs="仿宋"/>
                <w:sz w:val="24"/>
              </w:rPr>
              <w:t>1. 系统核心服务瘫痪，导致业务中断，多部门终端无法办理业务，严重影响医院正常医疗秩序；</w:t>
            </w:r>
          </w:p>
          <w:p w14:paraId="2B1FBC0C">
            <w:pPr>
              <w:snapToGrid w:val="0"/>
              <w:spacing w:line="360" w:lineRule="auto"/>
              <w:rPr>
                <w:rFonts w:ascii="仿宋" w:hAnsi="仿宋" w:eastAsia="仿宋" w:cs="仿宋"/>
                <w:sz w:val="24"/>
              </w:rPr>
            </w:pPr>
            <w:r>
              <w:rPr>
                <w:rFonts w:hint="eastAsia" w:ascii="仿宋" w:hAnsi="仿宋" w:eastAsia="仿宋" w:cs="仿宋"/>
                <w:sz w:val="24"/>
              </w:rPr>
              <w:t>2. 系统与HIS、EMR、PACS等核心系统接口完全中断，导致业务数据无法传输，严重影响医院正常医疗秩序</w:t>
            </w:r>
          </w:p>
          <w:p w14:paraId="1AD499E9">
            <w:pPr>
              <w:snapToGrid w:val="0"/>
              <w:spacing w:line="360" w:lineRule="auto"/>
              <w:rPr>
                <w:rFonts w:ascii="仿宋" w:hAnsi="仿宋" w:eastAsia="仿宋" w:cs="仿宋"/>
                <w:sz w:val="24"/>
              </w:rPr>
            </w:pPr>
            <w:r>
              <w:rPr>
                <w:rFonts w:hint="eastAsia" w:ascii="仿宋" w:hAnsi="仿宋" w:eastAsia="仿宋" w:cs="仿宋"/>
                <w:sz w:val="24"/>
              </w:rPr>
              <w:t>3.  发生患者个人信息批量泄露、医疗数据被篡改/丢失等重大数据安全事件；</w:t>
            </w:r>
          </w:p>
          <w:p w14:paraId="58F86C47">
            <w:pPr>
              <w:snapToGrid w:val="0"/>
              <w:spacing w:line="360" w:lineRule="auto"/>
              <w:rPr>
                <w:rFonts w:ascii="仿宋" w:hAnsi="仿宋" w:eastAsia="仿宋" w:cs="仿宋"/>
                <w:sz w:val="24"/>
              </w:rPr>
            </w:pPr>
            <w:r>
              <w:rPr>
                <w:rFonts w:hint="eastAsia" w:ascii="仿宋" w:hAnsi="仿宋" w:eastAsia="仿宋" w:cs="仿宋"/>
                <w:sz w:val="24"/>
              </w:rPr>
              <w:t>4. 系统被非法入侵、攻击，出现高危安全漏洞，威胁医院整体网络安全。</w:t>
            </w:r>
          </w:p>
        </w:tc>
        <w:tc>
          <w:tcPr>
            <w:tcW w:w="1750" w:type="pct"/>
            <w:tcMar>
              <w:top w:w="60" w:type="dxa"/>
              <w:left w:w="120" w:type="dxa"/>
              <w:bottom w:w="30" w:type="dxa"/>
              <w:right w:w="120" w:type="dxa"/>
            </w:tcMar>
          </w:tcPr>
          <w:p w14:paraId="5A7E9614">
            <w:pPr>
              <w:snapToGrid w:val="0"/>
              <w:spacing w:line="360" w:lineRule="auto"/>
              <w:rPr>
                <w:rFonts w:ascii="仿宋" w:hAnsi="仿宋" w:eastAsia="仿宋" w:cs="仿宋"/>
                <w:sz w:val="24"/>
              </w:rPr>
            </w:pPr>
            <w:r>
              <w:rPr>
                <w:rFonts w:hint="eastAsia" w:ascii="仿宋" w:hAnsi="仿宋" w:eastAsia="仿宋" w:cs="仿宋"/>
                <w:sz w:val="24"/>
              </w:rPr>
              <w:t>1. 10分钟内必须响应，与采购人明确故障情况，出具应急处置方案；</w:t>
            </w:r>
          </w:p>
          <w:p w14:paraId="30B6B782">
            <w:pPr>
              <w:snapToGrid w:val="0"/>
              <w:spacing w:line="360" w:lineRule="auto"/>
              <w:rPr>
                <w:rFonts w:ascii="仿宋" w:hAnsi="仿宋" w:eastAsia="仿宋" w:cs="仿宋"/>
                <w:sz w:val="24"/>
              </w:rPr>
            </w:pPr>
            <w:r>
              <w:rPr>
                <w:rFonts w:hint="eastAsia" w:ascii="仿宋" w:hAnsi="仿宋" w:eastAsia="仿宋" w:cs="仿宋"/>
                <w:sz w:val="24"/>
              </w:rPr>
              <w:t>2. 4小时内派驻具备资质的技术人员到达现场；</w:t>
            </w:r>
          </w:p>
          <w:p w14:paraId="2A39CB5C">
            <w:pPr>
              <w:snapToGrid w:val="0"/>
              <w:spacing w:line="360" w:lineRule="auto"/>
              <w:rPr>
                <w:rFonts w:ascii="仿宋" w:hAnsi="仿宋" w:eastAsia="仿宋" w:cs="仿宋"/>
                <w:sz w:val="24"/>
              </w:rPr>
            </w:pPr>
            <w:r>
              <w:rPr>
                <w:rFonts w:hint="eastAsia" w:ascii="仿宋" w:hAnsi="仿宋" w:eastAsia="仿宋" w:cs="仿宋"/>
                <w:sz w:val="24"/>
              </w:rPr>
              <w:t>3. 6小时内完成故障修复，恢复系统核心业务正常运行；</w:t>
            </w:r>
          </w:p>
          <w:p w14:paraId="6436662D">
            <w:pPr>
              <w:snapToGrid w:val="0"/>
              <w:spacing w:line="360" w:lineRule="auto"/>
              <w:rPr>
                <w:rFonts w:ascii="仿宋" w:hAnsi="仿宋" w:eastAsia="仿宋" w:cs="仿宋"/>
                <w:sz w:val="24"/>
              </w:rPr>
            </w:pPr>
            <w:r>
              <w:rPr>
                <w:rFonts w:hint="eastAsia" w:ascii="仿宋" w:hAnsi="仿宋" w:eastAsia="仿宋" w:cs="仿宋"/>
                <w:sz w:val="24"/>
              </w:rPr>
              <w:t>4. 无法在时限内完全修复的，须提供临时应急方案保障业务连续性，直至系统完全恢复；</w:t>
            </w:r>
          </w:p>
          <w:p w14:paraId="48FBD651">
            <w:pPr>
              <w:snapToGrid w:val="0"/>
              <w:spacing w:line="360" w:lineRule="auto"/>
              <w:rPr>
                <w:rFonts w:ascii="仿宋" w:hAnsi="仿宋" w:eastAsia="仿宋" w:cs="仿宋"/>
                <w:sz w:val="24"/>
              </w:rPr>
            </w:pPr>
            <w:r>
              <w:rPr>
                <w:rFonts w:hint="eastAsia" w:ascii="仿宋" w:hAnsi="仿宋" w:eastAsia="仿宋" w:cs="仿宋"/>
                <w:sz w:val="24"/>
              </w:rPr>
              <w:t>5. 故障处置完成后24小时内提交正式故障分析与复盘报告。</w:t>
            </w:r>
          </w:p>
        </w:tc>
      </w:tr>
      <w:tr w14:paraId="38641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0A9D3B9A">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941" w:type="pct"/>
            <w:tcMar>
              <w:top w:w="60" w:type="dxa"/>
              <w:left w:w="120" w:type="dxa"/>
              <w:bottom w:w="30" w:type="dxa"/>
              <w:right w:w="120" w:type="dxa"/>
            </w:tcMar>
            <w:vAlign w:val="center"/>
          </w:tcPr>
          <w:p w14:paraId="566E56E2">
            <w:pPr>
              <w:snapToGrid w:val="0"/>
              <w:spacing w:line="360" w:lineRule="auto"/>
              <w:jc w:val="center"/>
              <w:rPr>
                <w:rFonts w:ascii="仿宋" w:hAnsi="仿宋" w:eastAsia="仿宋" w:cs="仿宋"/>
                <w:sz w:val="24"/>
              </w:rPr>
            </w:pPr>
            <w:r>
              <w:rPr>
                <w:rFonts w:hint="eastAsia" w:ascii="仿宋" w:hAnsi="仿宋" w:eastAsia="仿宋" w:cs="仿宋"/>
                <w:sz w:val="24"/>
              </w:rPr>
              <w:t>二级故障（严重）</w:t>
            </w:r>
          </w:p>
        </w:tc>
        <w:tc>
          <w:tcPr>
            <w:tcW w:w="1883" w:type="pct"/>
            <w:tcMar>
              <w:top w:w="60" w:type="dxa"/>
              <w:left w:w="120" w:type="dxa"/>
              <w:bottom w:w="30" w:type="dxa"/>
              <w:right w:w="120" w:type="dxa"/>
            </w:tcMar>
          </w:tcPr>
          <w:p w14:paraId="1C2ADBFE">
            <w:pPr>
              <w:snapToGrid w:val="0"/>
              <w:spacing w:line="360" w:lineRule="auto"/>
              <w:rPr>
                <w:rFonts w:ascii="仿宋" w:hAnsi="仿宋" w:eastAsia="仿宋" w:cs="仿宋"/>
                <w:sz w:val="24"/>
              </w:rPr>
            </w:pPr>
            <w:r>
              <w:rPr>
                <w:rFonts w:hint="eastAsia" w:ascii="仿宋" w:hAnsi="仿宋" w:eastAsia="仿宋" w:cs="仿宋"/>
                <w:sz w:val="24"/>
              </w:rPr>
              <w:t>1. 系统操作性能严重降级，核心功能响应延迟超500%，严重影响医生操作与患者业务办理；</w:t>
            </w:r>
          </w:p>
          <w:p w14:paraId="42806540">
            <w:pPr>
              <w:snapToGrid w:val="0"/>
              <w:spacing w:line="360" w:lineRule="auto"/>
              <w:rPr>
                <w:rFonts w:ascii="仿宋" w:hAnsi="仿宋" w:eastAsia="仿宋" w:cs="仿宋"/>
                <w:sz w:val="24"/>
              </w:rPr>
            </w:pPr>
            <w:r>
              <w:rPr>
                <w:rFonts w:hint="eastAsia" w:ascii="仿宋" w:hAnsi="仿宋" w:eastAsia="仿宋" w:cs="仿宋"/>
                <w:sz w:val="24"/>
              </w:rPr>
              <w:t>2. 核心科室、门诊3个及以上科室系统无法正常使用，影响大面积患者就医；</w:t>
            </w:r>
          </w:p>
          <w:p w14:paraId="02F5AC1F">
            <w:pPr>
              <w:snapToGrid w:val="0"/>
              <w:spacing w:line="360" w:lineRule="auto"/>
              <w:rPr>
                <w:rFonts w:ascii="仿宋" w:hAnsi="仿宋" w:eastAsia="仿宋" w:cs="仿宋"/>
                <w:sz w:val="24"/>
              </w:rPr>
            </w:pPr>
            <w:r>
              <w:rPr>
                <w:rFonts w:hint="eastAsia" w:ascii="仿宋" w:hAnsi="仿宋" w:eastAsia="仿宋" w:cs="仿宋"/>
                <w:sz w:val="24"/>
              </w:rPr>
              <w:t>3. 系统出现数据异常、统计错误，影响医疗业务正常开展，存在数据安全隐患。</w:t>
            </w:r>
          </w:p>
        </w:tc>
        <w:tc>
          <w:tcPr>
            <w:tcW w:w="1750" w:type="pct"/>
            <w:tcMar>
              <w:top w:w="60" w:type="dxa"/>
              <w:left w:w="120" w:type="dxa"/>
              <w:bottom w:w="30" w:type="dxa"/>
              <w:right w:w="120" w:type="dxa"/>
            </w:tcMar>
          </w:tcPr>
          <w:p w14:paraId="6BB77CEA">
            <w:pPr>
              <w:snapToGrid w:val="0"/>
              <w:spacing w:line="360" w:lineRule="auto"/>
              <w:rPr>
                <w:rFonts w:ascii="仿宋" w:hAnsi="仿宋" w:eastAsia="仿宋" w:cs="仿宋"/>
                <w:sz w:val="24"/>
              </w:rPr>
            </w:pPr>
            <w:r>
              <w:rPr>
                <w:rFonts w:hint="eastAsia" w:ascii="仿宋" w:hAnsi="仿宋" w:eastAsia="仿宋" w:cs="仿宋"/>
                <w:sz w:val="24"/>
              </w:rPr>
              <w:t>1. 30分钟内必须响应，出具初步处置方案；</w:t>
            </w:r>
          </w:p>
          <w:p w14:paraId="55961BB5">
            <w:pPr>
              <w:snapToGrid w:val="0"/>
              <w:spacing w:line="360" w:lineRule="auto"/>
              <w:rPr>
                <w:rFonts w:ascii="仿宋" w:hAnsi="仿宋" w:eastAsia="仿宋" w:cs="仿宋"/>
                <w:sz w:val="24"/>
              </w:rPr>
            </w:pPr>
            <w:r>
              <w:rPr>
                <w:rFonts w:hint="eastAsia" w:ascii="仿宋" w:hAnsi="仿宋" w:eastAsia="仿宋" w:cs="仿宋"/>
                <w:sz w:val="24"/>
              </w:rPr>
              <w:t>2. 6小时内到达现场或通过安全远程方式完成故障处置；</w:t>
            </w:r>
          </w:p>
          <w:p w14:paraId="7830162D">
            <w:pPr>
              <w:snapToGrid w:val="0"/>
              <w:spacing w:line="360" w:lineRule="auto"/>
              <w:rPr>
                <w:rFonts w:ascii="仿宋" w:hAnsi="仿宋" w:eastAsia="仿宋" w:cs="仿宋"/>
                <w:sz w:val="24"/>
              </w:rPr>
            </w:pPr>
            <w:r>
              <w:rPr>
                <w:rFonts w:hint="eastAsia" w:ascii="仿宋" w:hAnsi="仿宋" w:eastAsia="仿宋" w:cs="仿宋"/>
                <w:sz w:val="24"/>
              </w:rPr>
              <w:t>3. 12小时内完成故障修复，系统恢复正常运行；</w:t>
            </w:r>
          </w:p>
          <w:p w14:paraId="6664A0FC">
            <w:pPr>
              <w:snapToGrid w:val="0"/>
              <w:spacing w:line="360" w:lineRule="auto"/>
              <w:rPr>
                <w:rFonts w:ascii="仿宋" w:hAnsi="仿宋" w:eastAsia="仿宋" w:cs="仿宋"/>
                <w:sz w:val="24"/>
              </w:rPr>
            </w:pPr>
            <w:r>
              <w:rPr>
                <w:rFonts w:hint="eastAsia" w:ascii="仿宋" w:hAnsi="仿宋" w:eastAsia="仿宋" w:cs="仿宋"/>
                <w:sz w:val="24"/>
              </w:rPr>
              <w:t>4. 故障处置完成后3个工作日内提交故障分析报告。</w:t>
            </w:r>
          </w:p>
        </w:tc>
      </w:tr>
      <w:tr w14:paraId="6B192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212" w:hRule="atLeast"/>
        </w:trPr>
        <w:tc>
          <w:tcPr>
            <w:tcW w:w="425" w:type="pct"/>
            <w:tcMar>
              <w:top w:w="60" w:type="dxa"/>
              <w:left w:w="120" w:type="dxa"/>
              <w:bottom w:w="30" w:type="dxa"/>
              <w:right w:w="120" w:type="dxa"/>
            </w:tcMar>
            <w:vAlign w:val="center"/>
          </w:tcPr>
          <w:p w14:paraId="2A84322A">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941" w:type="pct"/>
            <w:tcMar>
              <w:top w:w="60" w:type="dxa"/>
              <w:left w:w="120" w:type="dxa"/>
              <w:bottom w:w="30" w:type="dxa"/>
              <w:right w:w="120" w:type="dxa"/>
            </w:tcMar>
            <w:vAlign w:val="center"/>
          </w:tcPr>
          <w:p w14:paraId="6C91CBAE">
            <w:pPr>
              <w:snapToGrid w:val="0"/>
              <w:spacing w:line="360" w:lineRule="auto"/>
              <w:jc w:val="center"/>
              <w:rPr>
                <w:rFonts w:ascii="仿宋" w:hAnsi="仿宋" w:eastAsia="仿宋" w:cs="仿宋"/>
                <w:sz w:val="24"/>
              </w:rPr>
            </w:pPr>
            <w:r>
              <w:rPr>
                <w:rFonts w:hint="eastAsia" w:ascii="仿宋" w:hAnsi="仿宋" w:eastAsia="仿宋" w:cs="仿宋"/>
                <w:sz w:val="24"/>
              </w:rPr>
              <w:t>三级故障（一般）</w:t>
            </w:r>
          </w:p>
        </w:tc>
        <w:tc>
          <w:tcPr>
            <w:tcW w:w="1883" w:type="pct"/>
            <w:tcMar>
              <w:top w:w="60" w:type="dxa"/>
              <w:left w:w="120" w:type="dxa"/>
              <w:bottom w:w="30" w:type="dxa"/>
              <w:right w:w="120" w:type="dxa"/>
            </w:tcMar>
          </w:tcPr>
          <w:p w14:paraId="602F8A2E">
            <w:pPr>
              <w:snapToGrid w:val="0"/>
              <w:spacing w:line="360" w:lineRule="auto"/>
              <w:rPr>
                <w:rFonts w:ascii="仿宋" w:hAnsi="仿宋" w:eastAsia="仿宋" w:cs="仿宋"/>
                <w:sz w:val="24"/>
              </w:rPr>
            </w:pPr>
            <w:r>
              <w:rPr>
                <w:rFonts w:hint="eastAsia" w:ascii="仿宋" w:hAnsi="仿宋" w:eastAsia="仿宋" w:cs="仿宋"/>
                <w:sz w:val="24"/>
              </w:rPr>
              <w:t>1. 系统非核心功能受损，仅影响单个科室/少量终端使用，医院核心业务可正常开展；</w:t>
            </w:r>
          </w:p>
          <w:p w14:paraId="6D3DA190">
            <w:pPr>
              <w:snapToGrid w:val="0"/>
              <w:spacing w:line="360" w:lineRule="auto"/>
              <w:rPr>
                <w:rFonts w:ascii="仿宋" w:hAnsi="仿宋" w:eastAsia="仿宋" w:cs="仿宋"/>
                <w:sz w:val="24"/>
              </w:rPr>
            </w:pPr>
            <w:r>
              <w:rPr>
                <w:rFonts w:hint="eastAsia" w:ascii="仿宋" w:hAnsi="仿宋" w:eastAsia="仿宋" w:cs="仿宋"/>
                <w:sz w:val="24"/>
              </w:rPr>
              <w:t>2. 系统出现局部数据异常、报表统计偏差，不影响核心业务办理；</w:t>
            </w:r>
          </w:p>
          <w:p w14:paraId="6D231A10">
            <w:pPr>
              <w:snapToGrid w:val="0"/>
              <w:spacing w:line="360" w:lineRule="auto"/>
              <w:rPr>
                <w:rFonts w:ascii="仿宋" w:hAnsi="仿宋" w:eastAsia="仿宋" w:cs="仿宋"/>
                <w:sz w:val="24"/>
              </w:rPr>
            </w:pPr>
            <w:r>
              <w:rPr>
                <w:rFonts w:hint="eastAsia" w:ascii="仿宋" w:hAnsi="仿宋" w:eastAsia="仿宋" w:cs="仿宋"/>
                <w:sz w:val="24"/>
              </w:rPr>
              <w:t>3.配套设备故障，不影响整体业务流程。</w:t>
            </w:r>
          </w:p>
        </w:tc>
        <w:tc>
          <w:tcPr>
            <w:tcW w:w="1750" w:type="pct"/>
            <w:tcMar>
              <w:top w:w="60" w:type="dxa"/>
              <w:left w:w="120" w:type="dxa"/>
              <w:bottom w:w="30" w:type="dxa"/>
              <w:right w:w="120" w:type="dxa"/>
            </w:tcMar>
          </w:tcPr>
          <w:p w14:paraId="526F59C8">
            <w:pPr>
              <w:snapToGrid w:val="0"/>
              <w:spacing w:line="360" w:lineRule="auto"/>
              <w:rPr>
                <w:rFonts w:ascii="仿宋" w:hAnsi="仿宋" w:eastAsia="仿宋" w:cs="仿宋"/>
                <w:sz w:val="24"/>
              </w:rPr>
            </w:pPr>
            <w:r>
              <w:rPr>
                <w:rFonts w:hint="eastAsia" w:ascii="仿宋" w:hAnsi="仿宋" w:eastAsia="仿宋" w:cs="仿宋"/>
                <w:sz w:val="24"/>
              </w:rPr>
              <w:t>1. 30分钟内必须响应，出具处置方案；</w:t>
            </w:r>
          </w:p>
          <w:p w14:paraId="338D649F">
            <w:pPr>
              <w:snapToGrid w:val="0"/>
              <w:spacing w:line="360" w:lineRule="auto"/>
              <w:rPr>
                <w:rFonts w:ascii="仿宋" w:hAnsi="仿宋" w:eastAsia="仿宋" w:cs="仿宋"/>
                <w:sz w:val="24"/>
              </w:rPr>
            </w:pPr>
            <w:r>
              <w:rPr>
                <w:rFonts w:hint="eastAsia" w:ascii="仿宋" w:hAnsi="仿宋" w:eastAsia="仿宋" w:cs="仿宋"/>
                <w:sz w:val="24"/>
              </w:rPr>
              <w:t>2. 12小时内到达现场或通过远程方式完成故障处置；</w:t>
            </w:r>
          </w:p>
          <w:p w14:paraId="338B6A2B">
            <w:pPr>
              <w:snapToGrid w:val="0"/>
              <w:spacing w:line="360" w:lineRule="auto"/>
              <w:rPr>
                <w:rFonts w:ascii="仿宋" w:hAnsi="仿宋" w:eastAsia="仿宋" w:cs="仿宋"/>
                <w:sz w:val="24"/>
              </w:rPr>
            </w:pPr>
            <w:r>
              <w:rPr>
                <w:rFonts w:hint="eastAsia" w:ascii="仿宋" w:hAnsi="仿宋" w:eastAsia="仿宋" w:cs="仿宋"/>
                <w:sz w:val="24"/>
              </w:rPr>
              <w:t>3. 24小时内完成故障修复，闭环处置问题。</w:t>
            </w:r>
          </w:p>
        </w:tc>
      </w:tr>
      <w:tr w14:paraId="23042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3203440A">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941" w:type="pct"/>
            <w:tcMar>
              <w:top w:w="60" w:type="dxa"/>
              <w:left w:w="120" w:type="dxa"/>
              <w:bottom w:w="30" w:type="dxa"/>
              <w:right w:w="120" w:type="dxa"/>
            </w:tcMar>
            <w:vAlign w:val="center"/>
          </w:tcPr>
          <w:p w14:paraId="65007D67">
            <w:pPr>
              <w:snapToGrid w:val="0"/>
              <w:spacing w:line="360" w:lineRule="auto"/>
              <w:jc w:val="center"/>
              <w:rPr>
                <w:rFonts w:ascii="仿宋" w:hAnsi="仿宋" w:eastAsia="仿宋" w:cs="仿宋"/>
                <w:sz w:val="24"/>
              </w:rPr>
            </w:pPr>
            <w:r>
              <w:rPr>
                <w:rFonts w:hint="eastAsia" w:ascii="仿宋" w:hAnsi="仿宋" w:eastAsia="仿宋" w:cs="仿宋"/>
                <w:sz w:val="24"/>
              </w:rPr>
              <w:t>四级故障（轻微）</w:t>
            </w:r>
          </w:p>
        </w:tc>
        <w:tc>
          <w:tcPr>
            <w:tcW w:w="1883" w:type="pct"/>
            <w:tcMar>
              <w:top w:w="60" w:type="dxa"/>
              <w:left w:w="120" w:type="dxa"/>
              <w:bottom w:w="30" w:type="dxa"/>
              <w:right w:w="120" w:type="dxa"/>
            </w:tcMar>
          </w:tcPr>
          <w:p w14:paraId="20FFD05E">
            <w:pPr>
              <w:snapToGrid w:val="0"/>
              <w:spacing w:line="360" w:lineRule="auto"/>
              <w:rPr>
                <w:rFonts w:ascii="仿宋" w:hAnsi="仿宋" w:eastAsia="仿宋" w:cs="仿宋"/>
                <w:sz w:val="24"/>
              </w:rPr>
            </w:pPr>
            <w:r>
              <w:rPr>
                <w:rFonts w:hint="eastAsia" w:ascii="仿宋" w:hAnsi="仿宋" w:eastAsia="仿宋" w:cs="仿宋"/>
                <w:sz w:val="24"/>
              </w:rPr>
              <w:t>1. 系统出现一般性操作问题、界面显示异常，对患者就医、系统运行几乎无影响；</w:t>
            </w:r>
          </w:p>
          <w:p w14:paraId="2AF5ED57">
            <w:pPr>
              <w:snapToGrid w:val="0"/>
              <w:spacing w:line="360" w:lineRule="auto"/>
              <w:rPr>
                <w:rFonts w:ascii="仿宋" w:hAnsi="仿宋" w:eastAsia="仿宋" w:cs="仿宋"/>
                <w:sz w:val="24"/>
              </w:rPr>
            </w:pPr>
            <w:r>
              <w:rPr>
                <w:rFonts w:hint="eastAsia" w:ascii="仿宋" w:hAnsi="仿宋" w:eastAsia="仿宋" w:cs="仿宋"/>
                <w:sz w:val="24"/>
              </w:rPr>
              <w:t>2. 医护人员提出的系统操作咨询、功能配置调整等非故障类服务请求。</w:t>
            </w:r>
          </w:p>
        </w:tc>
        <w:tc>
          <w:tcPr>
            <w:tcW w:w="1750" w:type="pct"/>
            <w:tcMar>
              <w:top w:w="60" w:type="dxa"/>
              <w:left w:w="120" w:type="dxa"/>
              <w:bottom w:w="30" w:type="dxa"/>
              <w:right w:w="120" w:type="dxa"/>
            </w:tcMar>
          </w:tcPr>
          <w:p w14:paraId="62FC3EDA">
            <w:pPr>
              <w:snapToGrid w:val="0"/>
              <w:spacing w:line="360" w:lineRule="auto"/>
              <w:rPr>
                <w:rFonts w:ascii="仿宋" w:hAnsi="仿宋" w:eastAsia="仿宋" w:cs="仿宋"/>
                <w:sz w:val="24"/>
              </w:rPr>
            </w:pPr>
            <w:r>
              <w:rPr>
                <w:rFonts w:hint="eastAsia" w:ascii="仿宋" w:hAnsi="仿宋" w:eastAsia="仿宋" w:cs="仿宋"/>
                <w:sz w:val="24"/>
              </w:rPr>
              <w:t>1. 30分钟内必须响应，提供技术指导与解决方案；</w:t>
            </w:r>
          </w:p>
          <w:p w14:paraId="63A81703">
            <w:pPr>
              <w:snapToGrid w:val="0"/>
              <w:spacing w:line="360" w:lineRule="auto"/>
              <w:rPr>
                <w:rFonts w:ascii="仿宋" w:hAnsi="仿宋" w:eastAsia="仿宋" w:cs="仿宋"/>
                <w:sz w:val="24"/>
              </w:rPr>
            </w:pPr>
            <w:r>
              <w:rPr>
                <w:rFonts w:hint="eastAsia" w:ascii="仿宋" w:hAnsi="仿宋" w:eastAsia="仿宋" w:cs="仿宋"/>
                <w:sz w:val="24"/>
              </w:rPr>
              <w:t>2. 24小时内通过远程或现场方式完成处置；</w:t>
            </w:r>
          </w:p>
          <w:p w14:paraId="71A528A1">
            <w:pPr>
              <w:snapToGrid w:val="0"/>
              <w:spacing w:line="360" w:lineRule="auto"/>
              <w:rPr>
                <w:rFonts w:ascii="仿宋" w:hAnsi="仿宋" w:eastAsia="仿宋" w:cs="仿宋"/>
                <w:sz w:val="24"/>
              </w:rPr>
            </w:pPr>
            <w:r>
              <w:rPr>
                <w:rFonts w:hint="eastAsia" w:ascii="仿宋" w:hAnsi="仿宋" w:eastAsia="仿宋" w:cs="仿宋"/>
                <w:sz w:val="24"/>
              </w:rPr>
              <w:t>3. 48小时内完成问题闭环。</w:t>
            </w:r>
          </w:p>
        </w:tc>
      </w:tr>
    </w:tbl>
    <w:p w14:paraId="026C42D1">
      <w:pPr>
        <w:snapToGrid w:val="0"/>
        <w:spacing w:line="360" w:lineRule="auto"/>
        <w:rPr>
          <w:rFonts w:ascii="仿宋" w:hAnsi="仿宋" w:eastAsia="仿宋" w:cs="仿宋"/>
          <w:sz w:val="24"/>
        </w:rPr>
      </w:pPr>
      <w:r>
        <w:rPr>
          <w:rFonts w:hint="eastAsia" w:ascii="仿宋" w:hAnsi="仿宋" w:eastAsia="仿宋" w:cs="仿宋"/>
          <w:b/>
          <w:sz w:val="24"/>
        </w:rPr>
        <w:t>4. 售后运维服务核心要求</w:t>
      </w:r>
    </w:p>
    <w:p w14:paraId="4FFF0926">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服务商须严格按照以下要求提供全流程售后运维服务，可依据自身技术能力提供增值服务，但不得低于以下标准要求，所有服务须留存完整、可追溯的工作记录，接受采购人全程监督。</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591"/>
        <w:gridCol w:w="885"/>
        <w:gridCol w:w="5024"/>
        <w:gridCol w:w="1311"/>
        <w:gridCol w:w="1327"/>
      </w:tblGrid>
      <w:tr w14:paraId="6FC9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24884402">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484" w:type="pct"/>
            <w:tcMar>
              <w:top w:w="60" w:type="dxa"/>
              <w:left w:w="120" w:type="dxa"/>
              <w:bottom w:w="30" w:type="dxa"/>
              <w:right w:w="120" w:type="dxa"/>
            </w:tcMar>
            <w:vAlign w:val="center"/>
          </w:tcPr>
          <w:p w14:paraId="351B1498">
            <w:pPr>
              <w:snapToGrid w:val="0"/>
              <w:spacing w:line="360" w:lineRule="auto"/>
              <w:jc w:val="center"/>
              <w:rPr>
                <w:rFonts w:ascii="仿宋" w:hAnsi="仿宋" w:eastAsia="仿宋" w:cs="仿宋"/>
                <w:b/>
                <w:sz w:val="24"/>
              </w:rPr>
            </w:pPr>
            <w:r>
              <w:rPr>
                <w:rFonts w:hint="eastAsia" w:ascii="仿宋" w:hAnsi="仿宋" w:eastAsia="仿宋" w:cs="仿宋"/>
                <w:b/>
                <w:sz w:val="24"/>
              </w:rPr>
              <w:t>服务项目</w:t>
            </w:r>
          </w:p>
        </w:tc>
        <w:tc>
          <w:tcPr>
            <w:tcW w:w="2748" w:type="pct"/>
            <w:tcMar>
              <w:top w:w="60" w:type="dxa"/>
              <w:left w:w="120" w:type="dxa"/>
              <w:bottom w:w="30" w:type="dxa"/>
              <w:right w:w="120" w:type="dxa"/>
            </w:tcMar>
            <w:vAlign w:val="center"/>
          </w:tcPr>
          <w:p w14:paraId="6D7541CB">
            <w:pPr>
              <w:snapToGrid w:val="0"/>
              <w:spacing w:line="360" w:lineRule="auto"/>
              <w:jc w:val="center"/>
              <w:rPr>
                <w:rFonts w:ascii="仿宋" w:hAnsi="仿宋" w:eastAsia="仿宋" w:cs="仿宋"/>
                <w:b/>
                <w:sz w:val="24"/>
              </w:rPr>
            </w:pPr>
            <w:r>
              <w:rPr>
                <w:rFonts w:hint="eastAsia" w:ascii="仿宋" w:hAnsi="仿宋" w:eastAsia="仿宋" w:cs="仿宋"/>
                <w:b/>
                <w:sz w:val="24"/>
              </w:rPr>
              <w:t>服务内涵</w:t>
            </w:r>
          </w:p>
        </w:tc>
        <w:tc>
          <w:tcPr>
            <w:tcW w:w="717" w:type="pct"/>
            <w:tcMar>
              <w:top w:w="60" w:type="dxa"/>
              <w:left w:w="120" w:type="dxa"/>
              <w:bottom w:w="30" w:type="dxa"/>
              <w:right w:w="120" w:type="dxa"/>
            </w:tcMar>
            <w:vAlign w:val="center"/>
          </w:tcPr>
          <w:p w14:paraId="1E4F23C0">
            <w:pPr>
              <w:snapToGrid w:val="0"/>
              <w:spacing w:line="360" w:lineRule="auto"/>
              <w:jc w:val="center"/>
              <w:rPr>
                <w:rFonts w:ascii="仿宋" w:hAnsi="仿宋" w:eastAsia="仿宋" w:cs="仿宋"/>
                <w:b/>
                <w:sz w:val="24"/>
              </w:rPr>
            </w:pPr>
            <w:r>
              <w:rPr>
                <w:rFonts w:hint="eastAsia" w:ascii="仿宋" w:hAnsi="仿宋" w:eastAsia="仿宋" w:cs="仿宋"/>
                <w:b/>
                <w:sz w:val="24"/>
              </w:rPr>
              <w:t>服务方式</w:t>
            </w:r>
          </w:p>
        </w:tc>
        <w:tc>
          <w:tcPr>
            <w:tcW w:w="726" w:type="pct"/>
            <w:tcMar>
              <w:top w:w="60" w:type="dxa"/>
              <w:left w:w="120" w:type="dxa"/>
              <w:bottom w:w="30" w:type="dxa"/>
              <w:right w:w="120" w:type="dxa"/>
            </w:tcMar>
            <w:vAlign w:val="center"/>
          </w:tcPr>
          <w:p w14:paraId="0B3928A3">
            <w:pPr>
              <w:snapToGrid w:val="0"/>
              <w:spacing w:line="360" w:lineRule="auto"/>
              <w:jc w:val="center"/>
              <w:rPr>
                <w:rFonts w:ascii="仿宋" w:hAnsi="仿宋" w:eastAsia="仿宋" w:cs="仿宋"/>
                <w:b/>
                <w:sz w:val="24"/>
              </w:rPr>
            </w:pPr>
            <w:r>
              <w:rPr>
                <w:rFonts w:hint="eastAsia" w:ascii="仿宋" w:hAnsi="仿宋" w:eastAsia="仿宋" w:cs="仿宋"/>
                <w:b/>
                <w:sz w:val="24"/>
              </w:rPr>
              <w:t>服务频次/次数要求</w:t>
            </w:r>
          </w:p>
        </w:tc>
      </w:tr>
      <w:tr w14:paraId="0C926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54E7E191">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484" w:type="pct"/>
            <w:tcMar>
              <w:top w:w="60" w:type="dxa"/>
              <w:left w:w="120" w:type="dxa"/>
              <w:bottom w:w="30" w:type="dxa"/>
              <w:right w:w="120" w:type="dxa"/>
            </w:tcMar>
            <w:vAlign w:val="center"/>
          </w:tcPr>
          <w:p w14:paraId="6537B15C">
            <w:pPr>
              <w:snapToGrid w:val="0"/>
              <w:spacing w:line="360" w:lineRule="auto"/>
              <w:jc w:val="center"/>
              <w:rPr>
                <w:rFonts w:ascii="仿宋" w:hAnsi="仿宋" w:eastAsia="仿宋" w:cs="仿宋"/>
                <w:sz w:val="24"/>
              </w:rPr>
            </w:pPr>
            <w:r>
              <w:rPr>
                <w:rFonts w:hint="eastAsia" w:ascii="仿宋" w:hAnsi="仿宋" w:eastAsia="仿宋" w:cs="仿宋"/>
                <w:sz w:val="24"/>
              </w:rPr>
              <w:t>信息系统基础运维服务</w:t>
            </w:r>
          </w:p>
        </w:tc>
        <w:tc>
          <w:tcPr>
            <w:tcW w:w="2748" w:type="pct"/>
            <w:tcMar>
              <w:top w:w="60" w:type="dxa"/>
              <w:left w:w="120" w:type="dxa"/>
              <w:bottom w:w="30" w:type="dxa"/>
              <w:right w:w="120" w:type="dxa"/>
            </w:tcMar>
            <w:vAlign w:val="center"/>
          </w:tcPr>
          <w:p w14:paraId="40AB811E">
            <w:pPr>
              <w:snapToGrid w:val="0"/>
              <w:spacing w:line="360" w:lineRule="auto"/>
              <w:rPr>
                <w:rFonts w:ascii="仿宋" w:hAnsi="仿宋" w:eastAsia="仿宋" w:cs="仿宋"/>
                <w:sz w:val="24"/>
              </w:rPr>
            </w:pPr>
            <w:r>
              <w:rPr>
                <w:rFonts w:hint="eastAsia" w:ascii="仿宋" w:hAnsi="仿宋" w:eastAsia="仿宋" w:cs="仿宋"/>
                <w:sz w:val="24"/>
              </w:rPr>
              <w:t>1. 运维服务系统范围所列全部系统模块的软件操作指导、故障排查、bug修复、配置管理服务；</w:t>
            </w:r>
          </w:p>
          <w:p w14:paraId="033CCD75">
            <w:pPr>
              <w:snapToGrid w:val="0"/>
              <w:spacing w:line="360" w:lineRule="auto"/>
              <w:rPr>
                <w:rFonts w:ascii="仿宋" w:hAnsi="仿宋" w:eastAsia="仿宋" w:cs="仿宋"/>
                <w:sz w:val="24"/>
              </w:rPr>
            </w:pPr>
            <w:r>
              <w:rPr>
                <w:rFonts w:hint="eastAsia" w:ascii="仿宋" w:hAnsi="仿宋" w:eastAsia="仿宋" w:cs="仿宋"/>
                <w:sz w:val="24"/>
              </w:rPr>
              <w:t>2. 系统死机、数据错误、运行异常、兼容性问题等全场景故障处置；</w:t>
            </w:r>
          </w:p>
          <w:p w14:paraId="743E0C24">
            <w:pPr>
              <w:snapToGrid w:val="0"/>
              <w:spacing w:line="360" w:lineRule="auto"/>
              <w:rPr>
                <w:rFonts w:ascii="仿宋" w:hAnsi="仿宋" w:eastAsia="仿宋" w:cs="仿宋"/>
                <w:sz w:val="24"/>
              </w:rPr>
            </w:pPr>
            <w:r>
              <w:rPr>
                <w:rFonts w:hint="eastAsia" w:ascii="仿宋" w:hAnsi="仿宋" w:eastAsia="仿宋" w:cs="仿宋"/>
                <w:sz w:val="24"/>
              </w:rPr>
              <w:t>3. 系统运行环境适配、显示异常、运行效率降低等问题的优化处置；</w:t>
            </w:r>
          </w:p>
          <w:p w14:paraId="1757FE05">
            <w:pPr>
              <w:snapToGrid w:val="0"/>
              <w:spacing w:line="360" w:lineRule="auto"/>
              <w:rPr>
                <w:rFonts w:ascii="仿宋" w:hAnsi="仿宋" w:eastAsia="仿宋" w:cs="仿宋"/>
                <w:sz w:val="24"/>
              </w:rPr>
            </w:pPr>
            <w:r>
              <w:rPr>
                <w:rFonts w:hint="eastAsia" w:ascii="仿宋" w:hAnsi="仿宋" w:eastAsia="仿宋" w:cs="仿宋"/>
                <w:sz w:val="24"/>
              </w:rPr>
              <w:t>4. 系统与院内其他信息系统的接口运维、适配调整、故障修复；</w:t>
            </w:r>
          </w:p>
          <w:p w14:paraId="4CFE93C7">
            <w:pPr>
              <w:snapToGrid w:val="0"/>
              <w:spacing w:line="360" w:lineRule="auto"/>
              <w:rPr>
                <w:rFonts w:ascii="仿宋" w:hAnsi="仿宋" w:eastAsia="仿宋" w:cs="仿宋"/>
                <w:sz w:val="24"/>
              </w:rPr>
            </w:pPr>
            <w:r>
              <w:rPr>
                <w:rFonts w:hint="eastAsia" w:ascii="仿宋" w:hAnsi="仿宋" w:eastAsia="仿宋" w:cs="仿宋"/>
                <w:sz w:val="24"/>
              </w:rPr>
              <w:t>5. 系统终端设备、服务器运行状态的定期巡检与隐患排查。</w:t>
            </w:r>
          </w:p>
        </w:tc>
        <w:tc>
          <w:tcPr>
            <w:tcW w:w="717" w:type="pct"/>
            <w:tcMar>
              <w:top w:w="60" w:type="dxa"/>
              <w:left w:w="120" w:type="dxa"/>
              <w:bottom w:w="30" w:type="dxa"/>
              <w:right w:w="120" w:type="dxa"/>
            </w:tcMar>
            <w:vAlign w:val="center"/>
          </w:tcPr>
          <w:p w14:paraId="478622B4">
            <w:pPr>
              <w:snapToGrid w:val="0"/>
              <w:spacing w:line="360" w:lineRule="auto"/>
              <w:jc w:val="center"/>
              <w:rPr>
                <w:rFonts w:ascii="仿宋" w:hAnsi="仿宋" w:eastAsia="仿宋" w:cs="仿宋"/>
                <w:sz w:val="24"/>
              </w:rPr>
            </w:pPr>
            <w:r>
              <w:rPr>
                <w:rFonts w:hint="eastAsia" w:ascii="仿宋" w:hAnsi="仿宋" w:eastAsia="仿宋" w:cs="仿宋"/>
                <w:sz w:val="24"/>
              </w:rPr>
              <w:t>7×24小时热线服务安全远程运维服务现场驻场/上门服务</w:t>
            </w:r>
          </w:p>
        </w:tc>
        <w:tc>
          <w:tcPr>
            <w:tcW w:w="726" w:type="pct"/>
            <w:tcMar>
              <w:top w:w="60" w:type="dxa"/>
              <w:left w:w="120" w:type="dxa"/>
              <w:bottom w:w="30" w:type="dxa"/>
              <w:right w:w="120" w:type="dxa"/>
            </w:tcMar>
            <w:vAlign w:val="center"/>
          </w:tcPr>
          <w:p w14:paraId="194B7C77">
            <w:pPr>
              <w:snapToGrid w:val="0"/>
              <w:spacing w:line="360" w:lineRule="auto"/>
              <w:jc w:val="center"/>
              <w:rPr>
                <w:rFonts w:ascii="仿宋" w:hAnsi="仿宋" w:eastAsia="仿宋" w:cs="仿宋"/>
                <w:sz w:val="24"/>
              </w:rPr>
            </w:pPr>
            <w:r>
              <w:rPr>
                <w:rFonts w:hint="eastAsia" w:ascii="仿宋" w:hAnsi="仿宋" w:eastAsia="仿宋" w:cs="仿宋"/>
                <w:sz w:val="24"/>
              </w:rPr>
              <w:t>不限次数，全时段响应</w:t>
            </w:r>
          </w:p>
        </w:tc>
      </w:tr>
      <w:tr w14:paraId="30E97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48D790B2">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484" w:type="pct"/>
            <w:tcMar>
              <w:top w:w="60" w:type="dxa"/>
              <w:left w:w="120" w:type="dxa"/>
              <w:bottom w:w="30" w:type="dxa"/>
              <w:right w:w="120" w:type="dxa"/>
            </w:tcMar>
            <w:vAlign w:val="center"/>
          </w:tcPr>
          <w:p w14:paraId="62AD106E">
            <w:pPr>
              <w:snapToGrid w:val="0"/>
              <w:spacing w:line="360" w:lineRule="auto"/>
              <w:jc w:val="center"/>
              <w:rPr>
                <w:rFonts w:ascii="仿宋" w:hAnsi="仿宋" w:eastAsia="仿宋" w:cs="仿宋"/>
                <w:sz w:val="24"/>
              </w:rPr>
            </w:pPr>
            <w:r>
              <w:rPr>
                <w:rFonts w:hint="eastAsia" w:ascii="仿宋" w:hAnsi="仿宋" w:eastAsia="仿宋" w:cs="仿宋"/>
                <w:sz w:val="24"/>
              </w:rPr>
              <w:t>数据库专项运维服务</w:t>
            </w:r>
          </w:p>
        </w:tc>
        <w:tc>
          <w:tcPr>
            <w:tcW w:w="2748" w:type="pct"/>
            <w:tcMar>
              <w:top w:w="60" w:type="dxa"/>
              <w:left w:w="120" w:type="dxa"/>
              <w:bottom w:w="30" w:type="dxa"/>
              <w:right w:w="120" w:type="dxa"/>
            </w:tcMar>
            <w:vAlign w:val="center"/>
          </w:tcPr>
          <w:p w14:paraId="7B199802">
            <w:pPr>
              <w:snapToGrid w:val="0"/>
              <w:spacing w:line="360" w:lineRule="auto"/>
              <w:rPr>
                <w:rFonts w:ascii="仿宋" w:hAnsi="仿宋" w:eastAsia="仿宋" w:cs="仿宋"/>
                <w:sz w:val="24"/>
              </w:rPr>
            </w:pPr>
            <w:r>
              <w:rPr>
                <w:rFonts w:hint="eastAsia" w:ascii="仿宋" w:hAnsi="仿宋" w:eastAsia="仿宋" w:cs="仿宋"/>
                <w:sz w:val="24"/>
              </w:rPr>
              <w:t>1. 每月开展数据库全量巡检，检查内容包括服务器系统日志、磁盘空间、CPU/内存使用率、数据库表空间、数据文件大小、数据库运行日志、异常操作审计日志等，及时发现并处置潜在风险；</w:t>
            </w:r>
          </w:p>
          <w:p w14:paraId="5B72D7BE">
            <w:pPr>
              <w:snapToGrid w:val="0"/>
              <w:spacing w:line="360" w:lineRule="auto"/>
              <w:rPr>
                <w:rFonts w:ascii="仿宋" w:hAnsi="仿宋" w:eastAsia="仿宋" w:cs="仿宋"/>
                <w:sz w:val="24"/>
              </w:rPr>
            </w:pPr>
            <w:r>
              <w:rPr>
                <w:rFonts w:hint="eastAsia" w:ascii="仿宋" w:hAnsi="仿宋" w:eastAsia="仿宋" w:cs="仿宋"/>
                <w:sz w:val="24"/>
              </w:rPr>
              <w:t>2. 每季度完成数据库安全加固、高危漏洞修复，确保数据库符合等保合规要求；</w:t>
            </w:r>
          </w:p>
          <w:p w14:paraId="7FE16739">
            <w:pPr>
              <w:snapToGrid w:val="0"/>
              <w:spacing w:line="360" w:lineRule="auto"/>
              <w:rPr>
                <w:rFonts w:ascii="仿宋" w:hAnsi="仿宋" w:eastAsia="仿宋" w:cs="仿宋"/>
                <w:sz w:val="24"/>
              </w:rPr>
            </w:pPr>
            <w:r>
              <w:rPr>
                <w:rFonts w:hint="eastAsia" w:ascii="仿宋" w:hAnsi="仿宋" w:eastAsia="仿宋" w:cs="仿宋"/>
                <w:sz w:val="24"/>
              </w:rPr>
              <w:t>3. 提供同版本数据库迁移、数据备份与恢复服务，配合采购人完成数据备份有效性验证；</w:t>
            </w:r>
          </w:p>
          <w:p w14:paraId="2D65F42F">
            <w:pPr>
              <w:snapToGrid w:val="0"/>
              <w:spacing w:line="360" w:lineRule="auto"/>
              <w:rPr>
                <w:rFonts w:ascii="仿宋" w:hAnsi="仿宋" w:eastAsia="仿宋" w:cs="仿宋"/>
                <w:sz w:val="24"/>
              </w:rPr>
            </w:pPr>
            <w:r>
              <w:rPr>
                <w:rFonts w:hint="eastAsia" w:ascii="仿宋" w:hAnsi="仿宋" w:eastAsia="仿宋" w:cs="仿宋"/>
                <w:sz w:val="24"/>
              </w:rPr>
              <w:t>4. 针对巡检发现的问题，完成数据库性能优化、参数调整，保障数据库持续处于最佳运行状态；</w:t>
            </w:r>
          </w:p>
          <w:p w14:paraId="3084F196">
            <w:pPr>
              <w:snapToGrid w:val="0"/>
              <w:spacing w:line="360" w:lineRule="auto"/>
              <w:rPr>
                <w:rFonts w:ascii="仿宋" w:hAnsi="仿宋" w:eastAsia="仿宋" w:cs="仿宋"/>
                <w:sz w:val="24"/>
              </w:rPr>
            </w:pPr>
            <w:r>
              <w:rPr>
                <w:rFonts w:hint="eastAsia" w:ascii="仿宋" w:hAnsi="仿宋" w:eastAsia="仿宋" w:cs="仿宋"/>
                <w:sz w:val="24"/>
              </w:rPr>
              <w:t>5. 数据库故障的应急处置，保障医疗数据不丢失、不泄露、不篡改。</w:t>
            </w:r>
          </w:p>
        </w:tc>
        <w:tc>
          <w:tcPr>
            <w:tcW w:w="717" w:type="pct"/>
            <w:tcMar>
              <w:top w:w="60" w:type="dxa"/>
              <w:left w:w="120" w:type="dxa"/>
              <w:bottom w:w="30" w:type="dxa"/>
              <w:right w:w="120" w:type="dxa"/>
            </w:tcMar>
            <w:vAlign w:val="center"/>
          </w:tcPr>
          <w:p w14:paraId="007CA469">
            <w:pPr>
              <w:snapToGrid w:val="0"/>
              <w:spacing w:line="360" w:lineRule="auto"/>
              <w:jc w:val="center"/>
              <w:rPr>
                <w:rFonts w:ascii="仿宋" w:hAnsi="仿宋" w:eastAsia="仿宋" w:cs="仿宋"/>
                <w:sz w:val="24"/>
              </w:rPr>
            </w:pPr>
            <w:r>
              <w:rPr>
                <w:rFonts w:hint="eastAsia" w:ascii="仿宋" w:hAnsi="仿宋" w:eastAsia="仿宋" w:cs="仿宋"/>
                <w:sz w:val="24"/>
              </w:rPr>
              <w:t>热线服务安全远程服务现场服务</w:t>
            </w:r>
          </w:p>
        </w:tc>
        <w:tc>
          <w:tcPr>
            <w:tcW w:w="726" w:type="pct"/>
            <w:tcMar>
              <w:top w:w="60" w:type="dxa"/>
              <w:left w:w="120" w:type="dxa"/>
              <w:bottom w:w="30" w:type="dxa"/>
              <w:right w:w="120" w:type="dxa"/>
            </w:tcMar>
            <w:vAlign w:val="center"/>
          </w:tcPr>
          <w:p w14:paraId="5B9043F9">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不限次数，每月至少1次全量巡检，每季度至少1次性能优化，每年至少2次备份恢复演练</w:t>
            </w:r>
          </w:p>
        </w:tc>
      </w:tr>
      <w:tr w14:paraId="3C306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46FD337E">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484" w:type="pct"/>
            <w:tcMar>
              <w:top w:w="60" w:type="dxa"/>
              <w:left w:w="120" w:type="dxa"/>
              <w:bottom w:w="30" w:type="dxa"/>
              <w:right w:w="120" w:type="dxa"/>
            </w:tcMar>
            <w:vAlign w:val="center"/>
          </w:tcPr>
          <w:p w14:paraId="7C4B0299">
            <w:pPr>
              <w:snapToGrid w:val="0"/>
              <w:spacing w:line="360" w:lineRule="auto"/>
              <w:jc w:val="center"/>
              <w:rPr>
                <w:rFonts w:ascii="仿宋" w:hAnsi="仿宋" w:eastAsia="仿宋" w:cs="仿宋"/>
                <w:sz w:val="24"/>
              </w:rPr>
            </w:pPr>
            <w:r>
              <w:rPr>
                <w:rFonts w:hint="eastAsia" w:ascii="仿宋" w:hAnsi="仿宋" w:eastAsia="仿宋" w:cs="仿宋"/>
                <w:sz w:val="24"/>
              </w:rPr>
              <w:t>系统升级与合规更新服务</w:t>
            </w:r>
          </w:p>
        </w:tc>
        <w:tc>
          <w:tcPr>
            <w:tcW w:w="2748" w:type="pct"/>
            <w:tcMar>
              <w:top w:w="60" w:type="dxa"/>
              <w:left w:w="120" w:type="dxa"/>
              <w:bottom w:w="30" w:type="dxa"/>
              <w:right w:w="120" w:type="dxa"/>
            </w:tcMar>
            <w:vAlign w:val="center"/>
          </w:tcPr>
          <w:p w14:paraId="58F58BA0">
            <w:pPr>
              <w:snapToGrid w:val="0"/>
              <w:spacing w:line="360" w:lineRule="auto"/>
              <w:rPr>
                <w:rFonts w:ascii="仿宋" w:hAnsi="仿宋" w:eastAsia="仿宋" w:cs="仿宋"/>
                <w:sz w:val="24"/>
              </w:rPr>
            </w:pPr>
            <w:r>
              <w:rPr>
                <w:rFonts w:hint="eastAsia" w:ascii="仿宋" w:hAnsi="仿宋" w:eastAsia="仿宋" w:cs="仿宋"/>
                <w:sz w:val="24"/>
              </w:rPr>
              <w:t>1. 依据国家、省、市卫健、医保、网信等部门新增或变更的政策法规、标准规范，免费、及时完成系统的合规性适配与更新服务，确保系统符合最新监管要求；</w:t>
            </w:r>
          </w:p>
          <w:p w14:paraId="5A3DE3BF">
            <w:pPr>
              <w:snapToGrid w:val="0"/>
              <w:spacing w:line="360" w:lineRule="auto"/>
              <w:rPr>
                <w:rFonts w:ascii="仿宋" w:hAnsi="仿宋" w:eastAsia="仿宋" w:cs="仿宋"/>
                <w:sz w:val="24"/>
              </w:rPr>
            </w:pPr>
            <w:r>
              <w:rPr>
                <w:rFonts w:hint="eastAsia" w:ascii="仿宋" w:hAnsi="仿宋" w:eastAsia="仿宋" w:cs="仿宋"/>
                <w:sz w:val="24"/>
              </w:rPr>
              <w:t>2. 提供系统同版本内的免费升级、功能优化服务，组织专业技术人员完成升级方案制定、测试、上线全流程工作，确保升级过程不影响医院正常业务；</w:t>
            </w:r>
          </w:p>
          <w:p w14:paraId="2BA7F3C9">
            <w:pPr>
              <w:snapToGrid w:val="0"/>
              <w:spacing w:line="360" w:lineRule="auto"/>
              <w:rPr>
                <w:rFonts w:ascii="仿宋" w:hAnsi="仿宋" w:eastAsia="仿宋" w:cs="仿宋"/>
                <w:sz w:val="24"/>
              </w:rPr>
            </w:pPr>
            <w:r>
              <w:rPr>
                <w:rFonts w:hint="eastAsia" w:ascii="仿宋" w:hAnsi="仿宋" w:eastAsia="仿宋" w:cs="仿宋"/>
                <w:sz w:val="24"/>
              </w:rPr>
              <w:t>3. 定期完成系统安全补丁、漏洞修复包的安装与调试，每月完成高危漏洞排查与修复；</w:t>
            </w:r>
          </w:p>
          <w:p w14:paraId="617012EC">
            <w:pPr>
              <w:snapToGrid w:val="0"/>
              <w:spacing w:line="360" w:lineRule="auto"/>
              <w:rPr>
                <w:rFonts w:ascii="仿宋" w:hAnsi="仿宋" w:eastAsia="仿宋" w:cs="仿宋"/>
                <w:sz w:val="24"/>
              </w:rPr>
            </w:pPr>
            <w:r>
              <w:rPr>
                <w:rFonts w:hint="eastAsia" w:ascii="仿宋" w:hAnsi="仿宋" w:eastAsia="仿宋" w:cs="仿宋"/>
                <w:sz w:val="24"/>
              </w:rPr>
              <w:t>4. 配合采购人完成网络安全等级保护测评、医院信息互联互通标准化成熟度测评等相关工作，完成对应整改与系统适配。</w:t>
            </w:r>
          </w:p>
        </w:tc>
        <w:tc>
          <w:tcPr>
            <w:tcW w:w="717" w:type="pct"/>
            <w:tcMar>
              <w:top w:w="60" w:type="dxa"/>
              <w:left w:w="120" w:type="dxa"/>
              <w:bottom w:w="30" w:type="dxa"/>
              <w:right w:w="120" w:type="dxa"/>
            </w:tcMar>
            <w:vAlign w:val="center"/>
          </w:tcPr>
          <w:p w14:paraId="65FD1302">
            <w:pPr>
              <w:snapToGrid w:val="0"/>
              <w:spacing w:line="360" w:lineRule="auto"/>
              <w:jc w:val="center"/>
              <w:rPr>
                <w:rFonts w:ascii="仿宋" w:hAnsi="仿宋" w:eastAsia="仿宋" w:cs="仿宋"/>
                <w:sz w:val="24"/>
              </w:rPr>
            </w:pPr>
            <w:r>
              <w:rPr>
                <w:rFonts w:hint="eastAsia" w:ascii="仿宋" w:hAnsi="仿宋" w:eastAsia="仿宋" w:cs="仿宋"/>
                <w:sz w:val="24"/>
              </w:rPr>
              <w:t>现场服务为主远程辅助</w:t>
            </w:r>
          </w:p>
        </w:tc>
        <w:tc>
          <w:tcPr>
            <w:tcW w:w="726" w:type="pct"/>
            <w:tcMar>
              <w:top w:w="60" w:type="dxa"/>
              <w:left w:w="120" w:type="dxa"/>
              <w:bottom w:w="30" w:type="dxa"/>
              <w:right w:w="120" w:type="dxa"/>
            </w:tcMar>
            <w:vAlign w:val="center"/>
          </w:tcPr>
          <w:p w14:paraId="585BEAEA">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不限次数，每月至少1次安全补丁更新，政策变更后10个工作日内完成合规适配</w:t>
            </w:r>
          </w:p>
        </w:tc>
      </w:tr>
      <w:tr w14:paraId="675E3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3E2BB678">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484" w:type="pct"/>
            <w:tcMar>
              <w:top w:w="60" w:type="dxa"/>
              <w:left w:w="120" w:type="dxa"/>
              <w:bottom w:w="30" w:type="dxa"/>
              <w:right w:w="120" w:type="dxa"/>
            </w:tcMar>
            <w:vAlign w:val="center"/>
          </w:tcPr>
          <w:p w14:paraId="39717BE7">
            <w:pPr>
              <w:snapToGrid w:val="0"/>
              <w:spacing w:line="360" w:lineRule="auto"/>
              <w:jc w:val="center"/>
              <w:rPr>
                <w:rFonts w:ascii="仿宋" w:hAnsi="仿宋" w:eastAsia="仿宋" w:cs="仿宋"/>
                <w:sz w:val="24"/>
              </w:rPr>
            </w:pPr>
            <w:r>
              <w:rPr>
                <w:rFonts w:hint="eastAsia" w:ascii="仿宋" w:hAnsi="仿宋" w:eastAsia="仿宋" w:cs="仿宋"/>
                <w:sz w:val="24"/>
              </w:rPr>
              <w:t>网络安全与数据安全服务</w:t>
            </w:r>
          </w:p>
        </w:tc>
        <w:tc>
          <w:tcPr>
            <w:tcW w:w="2748" w:type="pct"/>
            <w:tcMar>
              <w:top w:w="60" w:type="dxa"/>
              <w:left w:w="120" w:type="dxa"/>
              <w:bottom w:w="30" w:type="dxa"/>
              <w:right w:w="120" w:type="dxa"/>
            </w:tcMar>
            <w:vAlign w:val="center"/>
          </w:tcPr>
          <w:p w14:paraId="4E1AAE47">
            <w:pPr>
              <w:snapToGrid w:val="0"/>
              <w:spacing w:line="360" w:lineRule="auto"/>
              <w:rPr>
                <w:rFonts w:ascii="仿宋" w:hAnsi="仿宋" w:eastAsia="仿宋" w:cs="仿宋"/>
                <w:sz w:val="24"/>
              </w:rPr>
            </w:pPr>
            <w:r>
              <w:rPr>
                <w:rFonts w:hint="eastAsia" w:ascii="仿宋" w:hAnsi="仿宋" w:eastAsia="仿宋" w:cs="仿宋"/>
                <w:sz w:val="24"/>
              </w:rPr>
              <w:t>1. 严格根据《网络安全法》《数据安全法》《个人信息保护法》《医疗卫生机构网络安全管理办法》及相关法律法规，为采购人提供全流程网络安全与数据安全服务；</w:t>
            </w:r>
          </w:p>
          <w:p w14:paraId="0B674377">
            <w:pPr>
              <w:snapToGrid w:val="0"/>
              <w:spacing w:line="360" w:lineRule="auto"/>
              <w:rPr>
                <w:rFonts w:ascii="仿宋" w:hAnsi="仿宋" w:eastAsia="仿宋" w:cs="仿宋"/>
                <w:sz w:val="24"/>
              </w:rPr>
            </w:pPr>
            <w:r>
              <w:rPr>
                <w:rFonts w:hint="eastAsia" w:ascii="仿宋" w:hAnsi="仿宋" w:eastAsia="仿宋" w:cs="仿宋"/>
                <w:sz w:val="24"/>
              </w:rPr>
              <w:t>2. 网络安全服务包含且不限于：漏洞修复、安全问题整改、安全风险排查、入侵检测与防御等服务，重点保障系统核心数据传输安全；</w:t>
            </w:r>
          </w:p>
          <w:p w14:paraId="4A56284B">
            <w:pPr>
              <w:snapToGrid w:val="0"/>
              <w:spacing w:line="360" w:lineRule="auto"/>
              <w:rPr>
                <w:rFonts w:ascii="仿宋" w:hAnsi="仿宋" w:eastAsia="仿宋" w:cs="仿宋"/>
                <w:sz w:val="24"/>
              </w:rPr>
            </w:pPr>
            <w:r>
              <w:rPr>
                <w:rFonts w:hint="eastAsia" w:ascii="仿宋" w:hAnsi="仿宋" w:eastAsia="仿宋" w:cs="仿宋"/>
                <w:sz w:val="24"/>
              </w:rPr>
              <w:t>3. 数据安全服务包含且不限于：数据加密、数据备份与恢复、数据库安全审计、患者信息保护等服务，确保数据符合数据安全要求；</w:t>
            </w:r>
          </w:p>
          <w:p w14:paraId="0F8A1428">
            <w:pPr>
              <w:snapToGrid w:val="0"/>
              <w:spacing w:line="360" w:lineRule="auto"/>
              <w:rPr>
                <w:rFonts w:ascii="仿宋" w:hAnsi="仿宋" w:eastAsia="仿宋" w:cs="仿宋"/>
                <w:sz w:val="24"/>
              </w:rPr>
            </w:pPr>
            <w:r>
              <w:rPr>
                <w:rFonts w:hint="eastAsia" w:ascii="仿宋" w:hAnsi="仿宋" w:eastAsia="仿宋" w:cs="仿宋"/>
                <w:sz w:val="24"/>
              </w:rPr>
              <w:t>4. 配合采购人完成数据安全检查、网络安全审计、等保测评等相关工作，提供技术支撑与整改服务；</w:t>
            </w:r>
          </w:p>
          <w:p w14:paraId="33565447">
            <w:pPr>
              <w:snapToGrid w:val="0"/>
              <w:spacing w:line="360" w:lineRule="auto"/>
              <w:rPr>
                <w:rFonts w:ascii="仿宋" w:hAnsi="仿宋" w:eastAsia="仿宋" w:cs="仿宋"/>
                <w:sz w:val="24"/>
              </w:rPr>
            </w:pPr>
            <w:r>
              <w:rPr>
                <w:rFonts w:hint="eastAsia" w:ascii="仿宋" w:hAnsi="仿宋" w:eastAsia="仿宋" w:cs="仿宋"/>
                <w:sz w:val="24"/>
              </w:rPr>
              <w:t>5. 规范远程运维操作，所有远程操作全程留痕，审计日志留存不少于6个月，杜绝非法远程访问。</w:t>
            </w:r>
          </w:p>
        </w:tc>
        <w:tc>
          <w:tcPr>
            <w:tcW w:w="717" w:type="pct"/>
            <w:tcMar>
              <w:top w:w="60" w:type="dxa"/>
              <w:left w:w="120" w:type="dxa"/>
              <w:bottom w:w="30" w:type="dxa"/>
              <w:right w:w="120" w:type="dxa"/>
            </w:tcMar>
            <w:vAlign w:val="center"/>
          </w:tcPr>
          <w:p w14:paraId="681E501E">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w:t>
            </w:r>
          </w:p>
        </w:tc>
        <w:tc>
          <w:tcPr>
            <w:tcW w:w="726" w:type="pct"/>
            <w:tcMar>
              <w:top w:w="60" w:type="dxa"/>
              <w:left w:w="120" w:type="dxa"/>
              <w:bottom w:w="30" w:type="dxa"/>
              <w:right w:w="120" w:type="dxa"/>
            </w:tcMar>
            <w:vAlign w:val="center"/>
          </w:tcPr>
          <w:p w14:paraId="31ABBD20">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不限次数，每月至少1次安全风险排查，每季度至少1次数据安全专项检查</w:t>
            </w:r>
          </w:p>
        </w:tc>
      </w:tr>
      <w:tr w14:paraId="0822F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3A83B8F8">
            <w:pPr>
              <w:snapToGrid w:val="0"/>
              <w:spacing w:line="360" w:lineRule="auto"/>
              <w:jc w:val="center"/>
              <w:rPr>
                <w:rFonts w:ascii="仿宋" w:hAnsi="仿宋" w:eastAsia="仿宋" w:cs="仿宋"/>
                <w:sz w:val="24"/>
              </w:rPr>
            </w:pPr>
            <w:r>
              <w:rPr>
                <w:rFonts w:hint="eastAsia" w:ascii="仿宋" w:hAnsi="仿宋" w:eastAsia="仿宋" w:cs="仿宋"/>
                <w:sz w:val="24"/>
              </w:rPr>
              <w:t>5</w:t>
            </w:r>
          </w:p>
        </w:tc>
        <w:tc>
          <w:tcPr>
            <w:tcW w:w="484" w:type="pct"/>
            <w:tcMar>
              <w:top w:w="60" w:type="dxa"/>
              <w:left w:w="120" w:type="dxa"/>
              <w:bottom w:w="30" w:type="dxa"/>
              <w:right w:w="120" w:type="dxa"/>
            </w:tcMar>
            <w:vAlign w:val="center"/>
          </w:tcPr>
          <w:p w14:paraId="02BBFB5D">
            <w:pPr>
              <w:snapToGrid w:val="0"/>
              <w:spacing w:line="360" w:lineRule="auto"/>
              <w:jc w:val="center"/>
              <w:rPr>
                <w:rFonts w:ascii="仿宋" w:hAnsi="仿宋" w:eastAsia="仿宋" w:cs="仿宋"/>
                <w:sz w:val="24"/>
              </w:rPr>
            </w:pPr>
            <w:r>
              <w:rPr>
                <w:rFonts w:hint="eastAsia" w:ascii="仿宋" w:hAnsi="仿宋" w:eastAsia="仿宋" w:cs="仿宋"/>
                <w:sz w:val="24"/>
              </w:rPr>
              <w:t>人员培训</w:t>
            </w:r>
            <w:r>
              <w:rPr>
                <w:rFonts w:hint="eastAsia" w:ascii="仿宋" w:hAnsi="仿宋" w:eastAsia="仿宋" w:cs="仿宋"/>
                <w:kern w:val="0"/>
                <w:sz w:val="24"/>
              </w:rPr>
              <w:t>考核</w:t>
            </w:r>
            <w:r>
              <w:rPr>
                <w:rFonts w:hint="eastAsia" w:ascii="仿宋" w:hAnsi="仿宋" w:eastAsia="仿宋" w:cs="仿宋"/>
                <w:sz w:val="24"/>
              </w:rPr>
              <w:t>服务</w:t>
            </w:r>
          </w:p>
        </w:tc>
        <w:tc>
          <w:tcPr>
            <w:tcW w:w="2748" w:type="pct"/>
            <w:tcMar>
              <w:top w:w="60" w:type="dxa"/>
              <w:left w:w="120" w:type="dxa"/>
              <w:bottom w:w="30" w:type="dxa"/>
              <w:right w:w="120" w:type="dxa"/>
            </w:tcMar>
            <w:vAlign w:val="center"/>
          </w:tcPr>
          <w:p w14:paraId="119BD964">
            <w:pPr>
              <w:snapToGrid w:val="0"/>
              <w:spacing w:line="360" w:lineRule="auto"/>
              <w:rPr>
                <w:rFonts w:ascii="仿宋" w:hAnsi="仿宋" w:eastAsia="仿宋" w:cs="仿宋"/>
                <w:sz w:val="24"/>
              </w:rPr>
            </w:pPr>
            <w:r>
              <w:rPr>
                <w:rFonts w:hint="eastAsia" w:ascii="仿宋" w:hAnsi="仿宋" w:eastAsia="仿宋" w:cs="仿宋"/>
                <w:sz w:val="24"/>
              </w:rPr>
              <w:t>服务商依据医院主管部门工作计划与培训计划，为医院制定考核方案，并提供专业技能考核服务。</w:t>
            </w:r>
          </w:p>
        </w:tc>
        <w:tc>
          <w:tcPr>
            <w:tcW w:w="717" w:type="pct"/>
            <w:tcMar>
              <w:top w:w="60" w:type="dxa"/>
              <w:left w:w="120" w:type="dxa"/>
              <w:bottom w:w="30" w:type="dxa"/>
              <w:right w:w="120" w:type="dxa"/>
            </w:tcMar>
            <w:vAlign w:val="center"/>
          </w:tcPr>
          <w:p w14:paraId="6ED12542">
            <w:pPr>
              <w:snapToGrid w:val="0"/>
              <w:spacing w:line="360" w:lineRule="auto"/>
              <w:jc w:val="center"/>
              <w:rPr>
                <w:rFonts w:ascii="仿宋" w:hAnsi="仿宋" w:eastAsia="仿宋" w:cs="仿宋"/>
                <w:sz w:val="24"/>
              </w:rPr>
            </w:pPr>
            <w:r>
              <w:rPr>
                <w:rFonts w:hint="eastAsia" w:ascii="仿宋" w:hAnsi="仿宋" w:eastAsia="仿宋" w:cs="仿宋"/>
                <w:sz w:val="24"/>
              </w:rPr>
              <w:t>现场、远程线上培训</w:t>
            </w:r>
          </w:p>
        </w:tc>
        <w:tc>
          <w:tcPr>
            <w:tcW w:w="726" w:type="pct"/>
            <w:tcMar>
              <w:top w:w="60" w:type="dxa"/>
              <w:left w:w="120" w:type="dxa"/>
              <w:bottom w:w="30" w:type="dxa"/>
              <w:right w:w="120" w:type="dxa"/>
            </w:tcMar>
            <w:vAlign w:val="center"/>
          </w:tcPr>
          <w:p w14:paraId="61DE4FAA">
            <w:pPr>
              <w:snapToGrid w:val="0"/>
              <w:spacing w:line="360" w:lineRule="auto"/>
              <w:jc w:val="center"/>
              <w:rPr>
                <w:rFonts w:ascii="仿宋" w:hAnsi="仿宋" w:eastAsia="仿宋" w:cs="仿宋"/>
                <w:sz w:val="24"/>
              </w:rPr>
            </w:pPr>
            <w:r>
              <w:rPr>
                <w:rFonts w:hint="eastAsia" w:ascii="仿宋" w:hAnsi="仿宋" w:eastAsia="仿宋" w:cs="仿宋"/>
                <w:sz w:val="24"/>
              </w:rPr>
              <w:t>全年集中培训不少于3次</w:t>
            </w:r>
          </w:p>
        </w:tc>
      </w:tr>
      <w:tr w14:paraId="76402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304EDE93">
            <w:pPr>
              <w:snapToGrid w:val="0"/>
              <w:spacing w:line="360" w:lineRule="auto"/>
              <w:jc w:val="center"/>
              <w:rPr>
                <w:rFonts w:ascii="仿宋" w:hAnsi="仿宋" w:eastAsia="仿宋" w:cs="仿宋"/>
                <w:sz w:val="24"/>
              </w:rPr>
            </w:pPr>
            <w:r>
              <w:rPr>
                <w:rFonts w:hint="eastAsia" w:ascii="仿宋" w:hAnsi="仿宋" w:eastAsia="仿宋" w:cs="仿宋"/>
                <w:sz w:val="24"/>
              </w:rPr>
              <w:t>6</w:t>
            </w:r>
          </w:p>
        </w:tc>
        <w:tc>
          <w:tcPr>
            <w:tcW w:w="484" w:type="pct"/>
            <w:tcMar>
              <w:top w:w="60" w:type="dxa"/>
              <w:left w:w="120" w:type="dxa"/>
              <w:bottom w:w="30" w:type="dxa"/>
              <w:right w:w="120" w:type="dxa"/>
            </w:tcMar>
            <w:vAlign w:val="center"/>
          </w:tcPr>
          <w:p w14:paraId="043C5E55">
            <w:pPr>
              <w:snapToGrid w:val="0"/>
              <w:spacing w:line="360" w:lineRule="auto"/>
              <w:jc w:val="center"/>
              <w:rPr>
                <w:rFonts w:ascii="仿宋" w:hAnsi="仿宋" w:eastAsia="仿宋" w:cs="仿宋"/>
                <w:sz w:val="24"/>
              </w:rPr>
            </w:pPr>
            <w:r>
              <w:rPr>
                <w:rFonts w:hint="eastAsia" w:ascii="仿宋" w:hAnsi="仿宋" w:eastAsia="仿宋" w:cs="仿宋"/>
                <w:sz w:val="24"/>
              </w:rPr>
              <w:t>运维报告服务</w:t>
            </w:r>
          </w:p>
        </w:tc>
        <w:tc>
          <w:tcPr>
            <w:tcW w:w="2748" w:type="pct"/>
            <w:tcMar>
              <w:top w:w="60" w:type="dxa"/>
              <w:left w:w="120" w:type="dxa"/>
              <w:bottom w:w="30" w:type="dxa"/>
              <w:right w:w="120" w:type="dxa"/>
            </w:tcMar>
            <w:vAlign w:val="center"/>
          </w:tcPr>
          <w:p w14:paraId="04840754">
            <w:pPr>
              <w:snapToGrid w:val="0"/>
              <w:spacing w:line="360" w:lineRule="auto"/>
              <w:rPr>
                <w:rFonts w:ascii="仿宋" w:hAnsi="仿宋" w:eastAsia="仿宋" w:cs="仿宋"/>
                <w:sz w:val="24"/>
              </w:rPr>
            </w:pPr>
            <w:r>
              <w:rPr>
                <w:rFonts w:hint="eastAsia" w:ascii="仿宋" w:hAnsi="仿宋" w:eastAsia="仿宋" w:cs="仿宋"/>
                <w:sz w:val="24"/>
              </w:rPr>
              <w:t>1. 每季度、每年提交阶段性运维报告，年度报告须包含全年服务总结、系统运行评估、安全合规情况、下一年度运维优化方案等；</w:t>
            </w:r>
          </w:p>
          <w:p w14:paraId="0B36B98D">
            <w:pPr>
              <w:snapToGrid w:val="0"/>
              <w:spacing w:line="360" w:lineRule="auto"/>
              <w:rPr>
                <w:rFonts w:ascii="仿宋" w:hAnsi="仿宋" w:eastAsia="仿宋" w:cs="仿宋"/>
                <w:sz w:val="24"/>
              </w:rPr>
            </w:pPr>
            <w:r>
              <w:rPr>
                <w:rFonts w:hint="eastAsia" w:ascii="仿宋" w:hAnsi="仿宋" w:eastAsia="仿宋" w:cs="仿宋"/>
                <w:sz w:val="24"/>
              </w:rPr>
              <w:t>2. 重大故障、专项工作单独提交专项报告。</w:t>
            </w:r>
          </w:p>
        </w:tc>
        <w:tc>
          <w:tcPr>
            <w:tcW w:w="717" w:type="pct"/>
            <w:tcMar>
              <w:top w:w="60" w:type="dxa"/>
              <w:left w:w="120" w:type="dxa"/>
              <w:bottom w:w="30" w:type="dxa"/>
              <w:right w:w="120" w:type="dxa"/>
            </w:tcMar>
            <w:vAlign w:val="center"/>
          </w:tcPr>
          <w:p w14:paraId="1391E623">
            <w:pPr>
              <w:snapToGrid w:val="0"/>
              <w:spacing w:line="360" w:lineRule="auto"/>
              <w:jc w:val="center"/>
              <w:rPr>
                <w:rFonts w:ascii="仿宋" w:hAnsi="仿宋" w:eastAsia="仿宋" w:cs="仿宋"/>
                <w:sz w:val="24"/>
              </w:rPr>
            </w:pPr>
            <w:r>
              <w:rPr>
                <w:rFonts w:hint="eastAsia" w:ascii="仿宋" w:hAnsi="仿宋" w:eastAsia="仿宋" w:cs="仿宋"/>
                <w:sz w:val="24"/>
              </w:rPr>
              <w:t>书面盖章报告电子文档</w:t>
            </w:r>
          </w:p>
        </w:tc>
        <w:tc>
          <w:tcPr>
            <w:tcW w:w="726" w:type="pct"/>
            <w:tcMar>
              <w:top w:w="60" w:type="dxa"/>
              <w:left w:w="120" w:type="dxa"/>
              <w:bottom w:w="30" w:type="dxa"/>
              <w:right w:w="120" w:type="dxa"/>
            </w:tcMar>
            <w:vAlign w:val="center"/>
          </w:tcPr>
          <w:p w14:paraId="72966C42">
            <w:pPr>
              <w:snapToGrid w:val="0"/>
              <w:spacing w:line="360" w:lineRule="auto"/>
              <w:jc w:val="center"/>
              <w:rPr>
                <w:rFonts w:ascii="仿宋" w:hAnsi="仿宋" w:eastAsia="仿宋" w:cs="仿宋"/>
                <w:sz w:val="24"/>
              </w:rPr>
            </w:pPr>
            <w:r>
              <w:rPr>
                <w:rFonts w:hint="eastAsia" w:ascii="仿宋" w:hAnsi="仿宋" w:eastAsia="仿宋" w:cs="仿宋"/>
                <w:sz w:val="24"/>
              </w:rPr>
              <w:t>每季度1次季报，每年1次年报，专项报告按需提交</w:t>
            </w:r>
          </w:p>
        </w:tc>
      </w:tr>
    </w:tbl>
    <w:p w14:paraId="2126A374">
      <w:pPr>
        <w:snapToGrid w:val="0"/>
        <w:spacing w:line="360" w:lineRule="auto"/>
        <w:rPr>
          <w:rFonts w:ascii="仿宋" w:hAnsi="仿宋" w:eastAsia="仿宋" w:cs="仿宋"/>
          <w:sz w:val="24"/>
        </w:rPr>
      </w:pPr>
      <w:r>
        <w:rPr>
          <w:rFonts w:hint="eastAsia" w:ascii="仿宋" w:hAnsi="仿宋" w:eastAsia="仿宋" w:cs="仿宋"/>
          <w:b/>
          <w:sz w:val="24"/>
        </w:rPr>
        <w:t>5. 售后服务方案与技术能力要求</w:t>
      </w:r>
    </w:p>
    <w:p w14:paraId="3692F0E0">
      <w:pPr>
        <w:snapToGrid w:val="0"/>
        <w:spacing w:line="360" w:lineRule="auto"/>
        <w:rPr>
          <w:rFonts w:ascii="仿宋" w:hAnsi="仿宋" w:eastAsia="仿宋" w:cs="仿宋"/>
          <w:sz w:val="24"/>
        </w:rPr>
      </w:pPr>
      <w:r>
        <w:rPr>
          <w:rFonts w:hint="eastAsia" w:ascii="仿宋" w:hAnsi="仿宋" w:eastAsia="仿宋" w:cs="仿宋"/>
          <w:b/>
          <w:sz w:val="24"/>
        </w:rPr>
        <w:t>5.1 售后服务方案要求</w:t>
      </w:r>
    </w:p>
    <w:p w14:paraId="3A2A9DC4">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服务商须根据采购人信息化建设现状、系统使用情况、业务运行特点，制定详尽、可落地的售后服务方案，方案须至少包含以下内容：</w:t>
      </w:r>
    </w:p>
    <w:p w14:paraId="4DD2A203">
      <w:pPr>
        <w:pStyle w:val="34"/>
        <w:snapToGrid w:val="0"/>
        <w:spacing w:line="360" w:lineRule="auto"/>
        <w:ind w:left="425" w:hanging="425" w:firstLineChars="0"/>
        <w:rPr>
          <w:rFonts w:ascii="仿宋" w:hAnsi="仿宋" w:eastAsia="仿宋" w:cs="仿宋"/>
          <w:vanish/>
          <w:sz w:val="24"/>
        </w:rPr>
      </w:pPr>
      <w:r>
        <w:rPr>
          <w:rFonts w:hint="eastAsia" w:ascii="仿宋" w:hAnsi="仿宋" w:eastAsia="仿宋" w:cs="仿宋"/>
          <w:vanish/>
          <w:sz w:val="24"/>
        </w:rPr>
        <w:t>1.</w:t>
      </w:r>
    </w:p>
    <w:p w14:paraId="2C220D54">
      <w:pPr>
        <w:pStyle w:val="34"/>
        <w:snapToGrid w:val="0"/>
        <w:spacing w:line="360" w:lineRule="auto"/>
        <w:ind w:left="425" w:hanging="425" w:firstLineChars="0"/>
        <w:rPr>
          <w:rFonts w:ascii="仿宋" w:hAnsi="仿宋" w:eastAsia="仿宋" w:cs="仿宋"/>
          <w:vanish/>
          <w:sz w:val="24"/>
        </w:rPr>
      </w:pPr>
      <w:r>
        <w:rPr>
          <w:rFonts w:hint="eastAsia" w:ascii="仿宋" w:hAnsi="仿宋" w:eastAsia="仿宋" w:cs="仿宋"/>
          <w:vanish/>
          <w:sz w:val="24"/>
        </w:rPr>
        <w:t>2.</w:t>
      </w:r>
    </w:p>
    <w:p w14:paraId="37178553">
      <w:pPr>
        <w:pStyle w:val="34"/>
        <w:snapToGrid w:val="0"/>
        <w:spacing w:line="360" w:lineRule="auto"/>
        <w:ind w:left="425" w:hanging="425" w:firstLineChars="0"/>
        <w:rPr>
          <w:rFonts w:ascii="仿宋" w:hAnsi="仿宋" w:eastAsia="仿宋" w:cs="仿宋"/>
          <w:vanish/>
          <w:sz w:val="24"/>
        </w:rPr>
      </w:pPr>
      <w:r>
        <w:rPr>
          <w:rFonts w:hint="eastAsia" w:ascii="仿宋" w:hAnsi="仿宋" w:eastAsia="仿宋" w:cs="仿宋"/>
          <w:vanish/>
          <w:sz w:val="24"/>
        </w:rPr>
        <w:t>3.</w:t>
      </w:r>
    </w:p>
    <w:p w14:paraId="10331885">
      <w:pPr>
        <w:pStyle w:val="34"/>
        <w:snapToGrid w:val="0"/>
        <w:spacing w:line="360" w:lineRule="auto"/>
        <w:ind w:left="425" w:hanging="425" w:firstLineChars="0"/>
        <w:rPr>
          <w:rFonts w:ascii="仿宋" w:hAnsi="仿宋" w:eastAsia="仿宋" w:cs="仿宋"/>
          <w:vanish/>
          <w:sz w:val="24"/>
        </w:rPr>
      </w:pPr>
      <w:r>
        <w:rPr>
          <w:rFonts w:hint="eastAsia" w:ascii="仿宋" w:hAnsi="仿宋" w:eastAsia="仿宋" w:cs="仿宋"/>
          <w:vanish/>
          <w:sz w:val="24"/>
        </w:rPr>
        <w:t>4.</w:t>
      </w:r>
    </w:p>
    <w:p w14:paraId="446E4892">
      <w:pPr>
        <w:pStyle w:val="34"/>
        <w:snapToGrid w:val="0"/>
        <w:spacing w:line="360" w:lineRule="auto"/>
        <w:ind w:left="425" w:hanging="425" w:firstLineChars="0"/>
        <w:rPr>
          <w:rFonts w:ascii="仿宋" w:hAnsi="仿宋" w:eastAsia="仿宋" w:cs="仿宋"/>
          <w:vanish/>
          <w:sz w:val="24"/>
        </w:rPr>
      </w:pPr>
      <w:r>
        <w:rPr>
          <w:rFonts w:hint="eastAsia" w:ascii="仿宋" w:hAnsi="仿宋" w:eastAsia="仿宋" w:cs="仿宋"/>
          <w:vanish/>
          <w:sz w:val="24"/>
        </w:rPr>
        <w:t>5.</w:t>
      </w:r>
    </w:p>
    <w:p w14:paraId="5B1DB828">
      <w:pPr>
        <w:pStyle w:val="34"/>
        <w:numPr>
          <w:ilvl w:val="1"/>
          <w:numId w:val="0"/>
        </w:numPr>
        <w:snapToGrid w:val="0"/>
        <w:spacing w:line="360" w:lineRule="auto"/>
        <w:ind w:left="567" w:hanging="567"/>
        <w:rPr>
          <w:rFonts w:ascii="仿宋" w:hAnsi="仿宋" w:eastAsia="仿宋" w:cs="仿宋"/>
          <w:vanish/>
          <w:sz w:val="24"/>
        </w:rPr>
      </w:pPr>
      <w:r>
        <w:rPr>
          <w:rFonts w:hint="eastAsia" w:ascii="仿宋" w:hAnsi="仿宋" w:eastAsia="仿宋" w:cs="仿宋"/>
          <w:vanish/>
          <w:sz w:val="24"/>
        </w:rPr>
        <w:t>5.1.</w:t>
      </w:r>
    </w:p>
    <w:p w14:paraId="36BB25F9">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5.1.1.售后运维服务的整体承诺、服务级别保障承诺；</w:t>
      </w:r>
    </w:p>
    <w:p w14:paraId="22AF232A">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5.1.2.售后运维服务的详细内容、实施流程、操作规范；</w:t>
      </w:r>
    </w:p>
    <w:p w14:paraId="5C329237">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5.1.3.各故障等级的应急处置措施、业务连续性保障方案；</w:t>
      </w:r>
    </w:p>
    <w:p w14:paraId="7D1B0673">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5.1.4.售后运维服务全流程管理制度、质量管控体系；</w:t>
      </w:r>
    </w:p>
    <w:p w14:paraId="35061C20">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5.1.5.数据安全事件、系统瘫痪等突发场景的专项应急预案；</w:t>
      </w:r>
    </w:p>
    <w:p w14:paraId="762E3B36">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5.1.6.运维服务人员的岗位职责、考核方案、奖惩机制；</w:t>
      </w:r>
    </w:p>
    <w:p w14:paraId="72B94461">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5.1.7.合规性保障方案、等保合规配合方案、个人信息保护专项方案。</w:t>
      </w:r>
    </w:p>
    <w:p w14:paraId="7804F480">
      <w:pPr>
        <w:snapToGrid w:val="0"/>
        <w:spacing w:line="360" w:lineRule="auto"/>
        <w:rPr>
          <w:rFonts w:ascii="仿宋" w:hAnsi="仿宋" w:eastAsia="仿宋" w:cs="仿宋"/>
          <w:sz w:val="24"/>
        </w:rPr>
      </w:pPr>
      <w:r>
        <w:rPr>
          <w:rFonts w:hint="eastAsia" w:ascii="仿宋" w:hAnsi="仿宋" w:eastAsia="仿宋" w:cs="仿宋"/>
          <w:b/>
          <w:sz w:val="24"/>
        </w:rPr>
        <w:t>5.2 技术能力与人员要求</w:t>
      </w:r>
    </w:p>
    <w:p w14:paraId="52D8F93D">
      <w:pPr>
        <w:pStyle w:val="34"/>
        <w:snapToGrid w:val="0"/>
        <w:spacing w:line="360" w:lineRule="auto"/>
        <w:ind w:left="425" w:hanging="425" w:firstLineChars="0"/>
        <w:rPr>
          <w:rFonts w:ascii="仿宋" w:hAnsi="仿宋" w:eastAsia="仿宋" w:cs="仿宋"/>
          <w:bCs/>
          <w:vanish/>
          <w:sz w:val="24"/>
        </w:rPr>
      </w:pPr>
      <w:r>
        <w:rPr>
          <w:rFonts w:hint="eastAsia" w:ascii="仿宋" w:hAnsi="仿宋" w:eastAsia="仿宋" w:cs="仿宋"/>
          <w:bCs/>
          <w:vanish/>
          <w:sz w:val="24"/>
        </w:rPr>
        <w:t>5.</w:t>
      </w:r>
    </w:p>
    <w:p w14:paraId="0B05377A">
      <w:pPr>
        <w:pStyle w:val="34"/>
        <w:numPr>
          <w:ilvl w:val="1"/>
          <w:numId w:val="0"/>
        </w:numPr>
        <w:snapToGrid w:val="0"/>
        <w:spacing w:line="360" w:lineRule="auto"/>
        <w:ind w:left="567" w:hanging="567"/>
        <w:rPr>
          <w:rFonts w:ascii="仿宋" w:hAnsi="仿宋" w:eastAsia="仿宋" w:cs="仿宋"/>
          <w:bCs/>
          <w:vanish/>
          <w:sz w:val="24"/>
        </w:rPr>
      </w:pPr>
      <w:r>
        <w:rPr>
          <w:rFonts w:hint="eastAsia" w:ascii="仿宋" w:hAnsi="仿宋" w:eastAsia="仿宋" w:cs="仿宋"/>
          <w:bCs/>
          <w:vanish/>
          <w:sz w:val="24"/>
        </w:rPr>
        <w:t>5.1.</w:t>
      </w:r>
    </w:p>
    <w:p w14:paraId="3DA4828C">
      <w:pPr>
        <w:pStyle w:val="34"/>
        <w:numPr>
          <w:ilvl w:val="1"/>
          <w:numId w:val="0"/>
        </w:numPr>
        <w:snapToGrid w:val="0"/>
        <w:spacing w:line="360" w:lineRule="auto"/>
        <w:ind w:left="567" w:hanging="567"/>
        <w:rPr>
          <w:rFonts w:ascii="仿宋" w:hAnsi="仿宋" w:eastAsia="仿宋" w:cs="仿宋"/>
          <w:bCs/>
          <w:vanish/>
          <w:sz w:val="24"/>
        </w:rPr>
      </w:pPr>
      <w:r>
        <w:rPr>
          <w:rFonts w:hint="eastAsia" w:ascii="仿宋" w:hAnsi="仿宋" w:eastAsia="仿宋" w:cs="仿宋"/>
          <w:bCs/>
          <w:vanish/>
          <w:sz w:val="24"/>
        </w:rPr>
        <w:t>5.2.</w:t>
      </w:r>
    </w:p>
    <w:p w14:paraId="54F7CD82">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5.2.1.服务商须提供本项目售后服务专属团队组织架构，明确项目负责人、技术负责人、现场运维人员、安全专项人员、应急保障人员的岗位职责与联系方式，确保7×24小时可联系。</w:t>
      </w:r>
    </w:p>
    <w:p w14:paraId="5358C407">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5.2.2.本项目专属技术团队人员不少于5人，其中专职人员不少于1人（可根据采购人需求调整），团队人员须满足以下资质要求：</w:t>
      </w:r>
    </w:p>
    <w:p w14:paraId="5CDFAA33">
      <w:pPr>
        <w:pStyle w:val="34"/>
        <w:numPr>
          <w:ilvl w:val="0"/>
          <w:numId w:val="4"/>
        </w:numPr>
        <w:snapToGrid w:val="0"/>
        <w:spacing w:line="360" w:lineRule="auto"/>
        <w:ind w:left="0" w:firstLine="480"/>
        <w:rPr>
          <w:rFonts w:ascii="仿宋" w:hAnsi="仿宋" w:eastAsia="仿宋" w:cs="仿宋"/>
          <w:sz w:val="24"/>
        </w:rPr>
      </w:pPr>
      <w:r>
        <w:rPr>
          <w:rFonts w:hint="eastAsia" w:ascii="仿宋" w:hAnsi="仿宋" w:eastAsia="仿宋" w:cs="仿宋"/>
          <w:sz w:val="24"/>
        </w:rPr>
        <w:t>项目负责人须具备3年以上医疗信息化系统运维项目管理经验；</w:t>
      </w:r>
    </w:p>
    <w:p w14:paraId="469F448A">
      <w:pPr>
        <w:pStyle w:val="34"/>
        <w:numPr>
          <w:ilvl w:val="0"/>
          <w:numId w:val="4"/>
        </w:numPr>
        <w:snapToGrid w:val="0"/>
        <w:spacing w:line="360" w:lineRule="auto"/>
        <w:ind w:left="0" w:firstLine="480"/>
        <w:rPr>
          <w:rFonts w:ascii="仿宋" w:hAnsi="仿宋" w:eastAsia="仿宋" w:cs="仿宋"/>
          <w:sz w:val="24"/>
        </w:rPr>
      </w:pPr>
      <w:r>
        <w:rPr>
          <w:rFonts w:hint="eastAsia" w:ascii="仿宋" w:hAnsi="仿宋" w:eastAsia="仿宋" w:cs="仿宋"/>
          <w:sz w:val="24"/>
        </w:rPr>
        <w:t>技术团队须包含至少1名数据库工程师、1名网络安全工程师，所有运维人员须具备对应系统的原厂运维认证资质；</w:t>
      </w:r>
    </w:p>
    <w:p w14:paraId="5A532DD8">
      <w:pPr>
        <w:pStyle w:val="34"/>
        <w:numPr>
          <w:ilvl w:val="0"/>
          <w:numId w:val="4"/>
        </w:numPr>
        <w:snapToGrid w:val="0"/>
        <w:spacing w:line="360" w:lineRule="auto"/>
        <w:ind w:left="0" w:firstLine="480"/>
        <w:rPr>
          <w:rFonts w:ascii="仿宋" w:hAnsi="仿宋" w:eastAsia="仿宋" w:cs="仿宋"/>
          <w:sz w:val="24"/>
        </w:rPr>
      </w:pPr>
      <w:r>
        <w:rPr>
          <w:rFonts w:hint="eastAsia" w:ascii="仿宋" w:hAnsi="仿宋" w:eastAsia="仿宋" w:cs="仿宋"/>
          <w:sz w:val="24"/>
        </w:rPr>
        <w:t>提供团队所有人员近3个月的社保缴纳证明材料，确保人员稳定，未经采购人书面同意，不得擅自更换项目核心人员。</w:t>
      </w:r>
    </w:p>
    <w:p w14:paraId="04B7B00B">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5.2.3.服务商须具备完善的技术支撑体系，具备原厂级研发与维护能力，可提供系统源代码级的故障修复、功能适配服务，具备本地化服务能力，确保应急处置时效。</w:t>
      </w:r>
    </w:p>
    <w:p w14:paraId="2B829F8D">
      <w:pPr>
        <w:snapToGrid w:val="0"/>
        <w:spacing w:line="360" w:lineRule="auto"/>
        <w:rPr>
          <w:rFonts w:ascii="仿宋" w:hAnsi="仿宋" w:eastAsia="仿宋" w:cs="仿宋"/>
          <w:sz w:val="24"/>
        </w:rPr>
      </w:pPr>
      <w:bookmarkStart w:id="55" w:name="_Toc53392325"/>
      <w:bookmarkStart w:id="56" w:name="_Toc79484011"/>
      <w:r>
        <w:rPr>
          <w:rFonts w:hint="eastAsia" w:ascii="仿宋" w:hAnsi="仿宋" w:eastAsia="仿宋" w:cs="仿宋"/>
          <w:b/>
          <w:sz w:val="24"/>
        </w:rPr>
        <w:t>6. 数据安全与信息保密要求</w:t>
      </w:r>
    </w:p>
    <w:p w14:paraId="038E85D1">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本条款严格遵循《数据安全法》、《个人信息保护法》、《医疗卫生机构网络安全管理办法》、《医疗卫生数据安全指南》制定，为项目刚性要求，具体如下：</w:t>
      </w:r>
    </w:p>
    <w:p w14:paraId="514ED14C">
      <w:pPr>
        <w:pStyle w:val="34"/>
        <w:snapToGrid w:val="0"/>
        <w:spacing w:line="360" w:lineRule="auto"/>
        <w:ind w:left="425" w:hanging="425" w:firstLineChars="0"/>
        <w:rPr>
          <w:rFonts w:ascii="仿宋" w:hAnsi="仿宋" w:eastAsia="仿宋" w:cs="仿宋"/>
          <w:vanish/>
          <w:sz w:val="24"/>
        </w:rPr>
      </w:pPr>
      <w:r>
        <w:rPr>
          <w:rFonts w:hint="eastAsia" w:ascii="仿宋" w:hAnsi="仿宋" w:eastAsia="仿宋" w:cs="仿宋"/>
          <w:vanish/>
          <w:sz w:val="24"/>
        </w:rPr>
        <w:t>5.</w:t>
      </w:r>
    </w:p>
    <w:p w14:paraId="1D23C041">
      <w:pPr>
        <w:pStyle w:val="34"/>
        <w:snapToGrid w:val="0"/>
        <w:spacing w:line="360" w:lineRule="auto"/>
        <w:ind w:left="425" w:hanging="425" w:firstLineChars="0"/>
        <w:rPr>
          <w:rFonts w:ascii="仿宋" w:hAnsi="仿宋" w:eastAsia="仿宋" w:cs="仿宋"/>
          <w:vanish/>
          <w:sz w:val="24"/>
        </w:rPr>
      </w:pPr>
      <w:r>
        <w:rPr>
          <w:rFonts w:hint="eastAsia" w:ascii="仿宋" w:hAnsi="仿宋" w:eastAsia="仿宋" w:cs="仿宋"/>
          <w:vanish/>
          <w:sz w:val="24"/>
        </w:rPr>
        <w:t>6.</w:t>
      </w:r>
    </w:p>
    <w:p w14:paraId="7B7FEBA6">
      <w:pPr>
        <w:numPr>
          <w:ilvl w:val="1"/>
          <w:numId w:val="0"/>
        </w:numPr>
        <w:tabs>
          <w:tab w:val="left" w:pos="993"/>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6.1.服务商须建立完善的数据安全管理制度、全生命周期数据保护体系、个人信息保护管理制度，符合国家医疗数据分类分级保护要求，明确数据安全责任部门与专职技术人员，提供专职人员证明材料。</w:t>
      </w:r>
    </w:p>
    <w:p w14:paraId="76CB7A4B">
      <w:pPr>
        <w:numPr>
          <w:ilvl w:val="1"/>
          <w:numId w:val="0"/>
        </w:numPr>
        <w:tabs>
          <w:tab w:val="left" w:pos="993"/>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6.2.服务商须与采购人签订专项数据安全与保密协议，同时与所有参与本项目的服务人员签订保密协议，明确保密义务、保密范围、保密期限（含在职期间及离职后终身保密）与违约责任，相关协议文本须提交采购人备案。</w:t>
      </w:r>
    </w:p>
    <w:p w14:paraId="2BCDE1D9">
      <w:pPr>
        <w:numPr>
          <w:ilvl w:val="1"/>
          <w:numId w:val="0"/>
        </w:numPr>
        <w:tabs>
          <w:tab w:val="left" w:pos="993"/>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6.3.服务商须严格遵守国家法律法规，对服务过程中接触、获取的所有医疗数据、患者个人信息、医院业务数据、涉密信息等，仅可用于本项目运维服务工作，不得擅自复制、存储、泄露、转让、篡改、销毁，不得用于任何商业用途或其他未经授权的用途。</w:t>
      </w:r>
    </w:p>
    <w:p w14:paraId="1FA0E12C">
      <w:pPr>
        <w:numPr>
          <w:ilvl w:val="1"/>
          <w:numId w:val="0"/>
        </w:numPr>
        <w:tabs>
          <w:tab w:val="left" w:pos="993"/>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6.4.服务商的远程运维操作须经过采购人书面审批，采用加密安全接入方式，全程留痕，审计日志留存不少于6个月；严禁未经授权的远程操作，严禁将系统接入公共互联网进行运维操作。</w:t>
      </w:r>
    </w:p>
    <w:p w14:paraId="5A741CB9">
      <w:pPr>
        <w:numPr>
          <w:ilvl w:val="1"/>
          <w:numId w:val="0"/>
        </w:numPr>
        <w:tabs>
          <w:tab w:val="left" w:pos="993"/>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6.5.服务商须建立数据安全事件应急处置机制，发生数据泄露、篡改、丢失等安全事件时，须10分钟内响应，第一时间通知采购人，同步启动应急预案，采取处置措施防止事件扩大，配合采购人完成监管上报、事件调查等工作，并承担全部法律责任与经济损失。</w:t>
      </w:r>
    </w:p>
    <w:p w14:paraId="513A5CF2">
      <w:pPr>
        <w:numPr>
          <w:ilvl w:val="1"/>
          <w:numId w:val="0"/>
        </w:numPr>
        <w:tabs>
          <w:tab w:val="left" w:pos="993"/>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6.6.国产化迁移实施过程中，须严格遵循采购人数据安全管理规定，制定专项数据迁移安全方案，全程加密传输数据，做好全量数据备份与一致性校验，确保迁移过程数据全生命周期安全。</w:t>
      </w:r>
    </w:p>
    <w:p w14:paraId="1C90221F">
      <w:pPr>
        <w:numPr>
          <w:ilvl w:val="1"/>
          <w:numId w:val="0"/>
        </w:numPr>
        <w:tabs>
          <w:tab w:val="left" w:pos="993"/>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6.7.服务期结束后，服务商须将所有运维相关数据、文档、材料完整移交采购人，彻底删除所持有的采购人全部数据，不得留存任何副本，并向采购人出具数据删除承诺书。</w:t>
      </w:r>
    </w:p>
    <w:p w14:paraId="4B1EF963">
      <w:pPr>
        <w:numPr>
          <w:ilvl w:val="1"/>
          <w:numId w:val="0"/>
        </w:numPr>
        <w:tabs>
          <w:tab w:val="left" w:pos="993"/>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6.8.服务商须配合采购人完成数据安全检查、网络安全审计、等保测评等相关工作，提供对应的技术支撑与整改服务。</w:t>
      </w:r>
    </w:p>
    <w:p w14:paraId="0831A20A">
      <w:pPr>
        <w:snapToGrid w:val="0"/>
        <w:spacing w:line="360" w:lineRule="auto"/>
        <w:rPr>
          <w:rFonts w:ascii="仿宋" w:hAnsi="仿宋" w:eastAsia="仿宋" w:cs="仿宋"/>
          <w:sz w:val="24"/>
        </w:rPr>
      </w:pPr>
      <w:r>
        <w:rPr>
          <w:rFonts w:hint="eastAsia" w:ascii="仿宋" w:hAnsi="仿宋" w:eastAsia="仿宋" w:cs="仿宋"/>
          <w:b/>
          <w:sz w:val="24"/>
        </w:rPr>
        <w:t>三、商务要求</w:t>
      </w:r>
    </w:p>
    <w:p w14:paraId="18ADACE9">
      <w:pPr>
        <w:snapToGrid w:val="0"/>
        <w:spacing w:line="360" w:lineRule="auto"/>
        <w:rPr>
          <w:rFonts w:ascii="仿宋" w:hAnsi="仿宋" w:eastAsia="仿宋" w:cs="仿宋"/>
          <w:sz w:val="24"/>
        </w:rPr>
      </w:pPr>
      <w:r>
        <w:rPr>
          <w:rFonts w:hint="eastAsia" w:ascii="仿宋" w:hAnsi="仿宋" w:eastAsia="仿宋" w:cs="仿宋"/>
          <w:b/>
          <w:sz w:val="24"/>
        </w:rPr>
        <w:t>1. 合同核心内容</w:t>
      </w:r>
    </w:p>
    <w:p w14:paraId="2067B2DA">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合同标的为成交供应商提供的本文件约定的全部运维服务、服务器端国产化替代专项技术服务，合同内容包含采购文件、成交供应商的响应文件、单一来源采购协商记录、服务承诺、成交通知书、合同文本等全部文件，成交总金额为合同固定总价，包含服务期内完成全部服务所需的人工、材料、设备、开发、测试、税费、培训、应急保障等所有费用，采购人无需额外支付任何费用。</w:t>
      </w:r>
    </w:p>
    <w:p w14:paraId="7CCB5639">
      <w:pPr>
        <w:snapToGrid w:val="0"/>
        <w:spacing w:line="360" w:lineRule="auto"/>
        <w:rPr>
          <w:rFonts w:ascii="仿宋" w:hAnsi="仿宋" w:eastAsia="仿宋" w:cs="仿宋"/>
          <w:sz w:val="24"/>
        </w:rPr>
      </w:pPr>
      <w:r>
        <w:rPr>
          <w:rFonts w:hint="eastAsia" w:ascii="仿宋" w:hAnsi="仿宋" w:eastAsia="仿宋" w:cs="仿宋"/>
          <w:b/>
          <w:sz w:val="24"/>
        </w:rPr>
        <w:t>2. 服务地点</w:t>
      </w:r>
    </w:p>
    <w:p w14:paraId="2A59E92A">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陕西省交通医院本部及所有分院区、采购人指定的其他服务场所。</w:t>
      </w:r>
    </w:p>
    <w:p w14:paraId="5D7A6319">
      <w:pPr>
        <w:snapToGrid w:val="0"/>
        <w:spacing w:line="360" w:lineRule="auto"/>
        <w:rPr>
          <w:rFonts w:ascii="仿宋" w:hAnsi="仿宋" w:eastAsia="仿宋" w:cs="仿宋"/>
          <w:sz w:val="24"/>
        </w:rPr>
      </w:pPr>
      <w:r>
        <w:rPr>
          <w:rFonts w:hint="eastAsia" w:ascii="仿宋" w:hAnsi="仿宋" w:eastAsia="仿宋" w:cs="仿宋"/>
          <w:b/>
          <w:sz w:val="24"/>
        </w:rPr>
        <w:t>3. 服务期限</w:t>
      </w:r>
    </w:p>
    <w:p w14:paraId="25F7DE5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本项目服务期限为1年，自合同签订之日起计算。服务期内，服务商服务质量持续不达标，采购人有权提前终止合同。</w:t>
      </w:r>
    </w:p>
    <w:p w14:paraId="4C8C6CBF">
      <w:pPr>
        <w:snapToGrid w:val="0"/>
        <w:spacing w:line="360" w:lineRule="auto"/>
        <w:rPr>
          <w:rFonts w:ascii="仿宋" w:hAnsi="仿宋" w:eastAsia="仿宋" w:cs="仿宋"/>
          <w:sz w:val="24"/>
        </w:rPr>
      </w:pPr>
      <w:r>
        <w:rPr>
          <w:rFonts w:hint="eastAsia" w:ascii="仿宋" w:hAnsi="仿宋" w:eastAsia="仿宋" w:cs="仿宋"/>
          <w:b/>
          <w:sz w:val="24"/>
        </w:rPr>
        <w:t>4. 项目考核与验收</w:t>
      </w:r>
    </w:p>
    <w:p w14:paraId="4D1A8314">
      <w:pPr>
        <w:pStyle w:val="34"/>
        <w:snapToGrid w:val="0"/>
        <w:spacing w:line="360" w:lineRule="auto"/>
        <w:ind w:left="425" w:hanging="425" w:firstLineChars="0"/>
        <w:rPr>
          <w:rFonts w:ascii="仿宋" w:hAnsi="仿宋" w:eastAsia="仿宋" w:cs="仿宋"/>
          <w:vanish/>
          <w:sz w:val="24"/>
        </w:rPr>
      </w:pPr>
      <w:r>
        <w:rPr>
          <w:rFonts w:hint="eastAsia" w:ascii="仿宋" w:hAnsi="仿宋" w:eastAsia="仿宋" w:cs="仿宋"/>
          <w:vanish/>
          <w:sz w:val="24"/>
        </w:rPr>
        <w:t>1</w:t>
      </w:r>
    </w:p>
    <w:p w14:paraId="7C2571AD">
      <w:pPr>
        <w:pStyle w:val="34"/>
        <w:snapToGrid w:val="0"/>
        <w:spacing w:line="360" w:lineRule="auto"/>
        <w:ind w:left="425" w:hanging="425" w:firstLineChars="0"/>
        <w:rPr>
          <w:rFonts w:ascii="仿宋" w:hAnsi="仿宋" w:eastAsia="仿宋" w:cs="仿宋"/>
          <w:vanish/>
          <w:sz w:val="24"/>
        </w:rPr>
      </w:pPr>
      <w:r>
        <w:rPr>
          <w:rFonts w:hint="eastAsia" w:ascii="仿宋" w:hAnsi="仿宋" w:eastAsia="仿宋" w:cs="仿宋"/>
          <w:vanish/>
          <w:sz w:val="24"/>
        </w:rPr>
        <w:t>2</w:t>
      </w:r>
    </w:p>
    <w:p w14:paraId="7E35B47D">
      <w:pPr>
        <w:pStyle w:val="34"/>
        <w:snapToGrid w:val="0"/>
        <w:spacing w:line="360" w:lineRule="auto"/>
        <w:ind w:left="425" w:hanging="425" w:firstLineChars="0"/>
        <w:rPr>
          <w:rFonts w:ascii="仿宋" w:hAnsi="仿宋" w:eastAsia="仿宋" w:cs="仿宋"/>
          <w:vanish/>
          <w:sz w:val="24"/>
        </w:rPr>
      </w:pPr>
      <w:r>
        <w:rPr>
          <w:rFonts w:hint="eastAsia" w:ascii="仿宋" w:hAnsi="仿宋" w:eastAsia="仿宋" w:cs="仿宋"/>
          <w:vanish/>
          <w:sz w:val="24"/>
        </w:rPr>
        <w:t>3</w:t>
      </w:r>
    </w:p>
    <w:p w14:paraId="27C47A99">
      <w:pPr>
        <w:pStyle w:val="34"/>
        <w:snapToGrid w:val="0"/>
        <w:spacing w:line="360" w:lineRule="auto"/>
        <w:ind w:left="425" w:hanging="425" w:firstLineChars="0"/>
        <w:rPr>
          <w:rFonts w:ascii="仿宋" w:hAnsi="仿宋" w:eastAsia="仿宋" w:cs="仿宋"/>
          <w:vanish/>
          <w:sz w:val="24"/>
        </w:rPr>
      </w:pPr>
      <w:r>
        <w:rPr>
          <w:rFonts w:hint="eastAsia" w:ascii="仿宋" w:hAnsi="仿宋" w:eastAsia="仿宋" w:cs="仿宋"/>
          <w:vanish/>
          <w:sz w:val="24"/>
        </w:rPr>
        <w:t>4</w:t>
      </w:r>
    </w:p>
    <w:p w14:paraId="1B16E2B3">
      <w:pPr>
        <w:numPr>
          <w:ilvl w:val="1"/>
          <w:numId w:val="0"/>
        </w:numPr>
        <w:snapToGrid w:val="0"/>
        <w:spacing w:line="360" w:lineRule="auto"/>
        <w:ind w:firstLine="480" w:firstLineChars="200"/>
        <w:rPr>
          <w:rFonts w:ascii="仿宋" w:hAnsi="仿宋" w:eastAsia="仿宋" w:cs="仿宋"/>
          <w:sz w:val="24"/>
        </w:rPr>
      </w:pPr>
      <w:r>
        <w:rPr>
          <w:rFonts w:hint="eastAsia" w:ascii="仿宋" w:hAnsi="仿宋" w:eastAsia="仿宋" w:cs="仿宋"/>
          <w:sz w:val="24"/>
        </w:rPr>
        <w:t>4.1本项目采用年度总验收的方式，由采购人信息科牵头，联合医务科、控感办、财务科等相关部门，或邀请外部专家开展考核评价与验收工作，成交供应商须无条件配合，并提供全部所需的运维记录、报告等资料。</w:t>
      </w:r>
    </w:p>
    <w:p w14:paraId="7D17AA0F">
      <w:pPr>
        <w:numPr>
          <w:ilvl w:val="1"/>
          <w:numId w:val="0"/>
        </w:numPr>
        <w:snapToGrid w:val="0"/>
        <w:spacing w:line="360" w:lineRule="auto"/>
        <w:ind w:firstLine="480" w:firstLineChars="200"/>
        <w:rPr>
          <w:rFonts w:ascii="仿宋" w:hAnsi="仿宋" w:eastAsia="仿宋" w:cs="仿宋"/>
          <w:sz w:val="24"/>
        </w:rPr>
      </w:pPr>
      <w:r>
        <w:rPr>
          <w:rFonts w:hint="eastAsia" w:ascii="仿宋" w:hAnsi="仿宋" w:eastAsia="仿宋" w:cs="仿宋"/>
          <w:sz w:val="24"/>
        </w:rPr>
        <w:t>4.2验收依据：本采购文件、成交供应商响应文件、合同文本、国家及行业现行相关标准规范、月度考核记录、运维服务报告、服务满意度调查结果、项目考核汇总表等。</w:t>
      </w:r>
    </w:p>
    <w:p w14:paraId="43AD27BF">
      <w:pPr>
        <w:numPr>
          <w:ilvl w:val="1"/>
          <w:numId w:val="0"/>
        </w:numPr>
        <w:snapToGrid w:val="0"/>
        <w:spacing w:line="360" w:lineRule="auto"/>
        <w:ind w:firstLine="480" w:firstLineChars="200"/>
        <w:rPr>
          <w:rFonts w:ascii="仿宋" w:hAnsi="仿宋" w:eastAsia="仿宋" w:cs="仿宋"/>
          <w:sz w:val="24"/>
        </w:rPr>
      </w:pPr>
      <w:r>
        <w:rPr>
          <w:rFonts w:hint="eastAsia" w:ascii="仿宋" w:hAnsi="仿宋" w:eastAsia="仿宋" w:cs="仿宋"/>
          <w:sz w:val="24"/>
        </w:rPr>
        <w:t>4.3年度验收合格的前提：服务期内无重大数据安全事件、无重大服务质量投诉、无因服务商责任导致的医疗业务重大中断事故。</w:t>
      </w:r>
    </w:p>
    <w:p w14:paraId="4AED71F0">
      <w:pPr>
        <w:snapToGrid w:val="0"/>
        <w:spacing w:line="360" w:lineRule="auto"/>
        <w:rPr>
          <w:rFonts w:ascii="仿宋" w:hAnsi="仿宋" w:eastAsia="仿宋" w:cs="仿宋"/>
          <w:sz w:val="24"/>
        </w:rPr>
      </w:pPr>
      <w:r>
        <w:rPr>
          <w:rFonts w:hint="eastAsia" w:ascii="仿宋" w:hAnsi="仿宋" w:eastAsia="仿宋" w:cs="仿宋"/>
          <w:b/>
          <w:sz w:val="24"/>
        </w:rPr>
        <w:t>5. 结算与付款方式</w:t>
      </w:r>
    </w:p>
    <w:p w14:paraId="14EA0AC9">
      <w:pPr>
        <w:pStyle w:val="34"/>
        <w:snapToGrid w:val="0"/>
        <w:spacing w:line="360" w:lineRule="auto"/>
        <w:ind w:left="425" w:hanging="425" w:firstLineChars="0"/>
        <w:rPr>
          <w:rFonts w:ascii="仿宋" w:hAnsi="仿宋" w:eastAsia="仿宋" w:cs="仿宋"/>
          <w:vanish/>
          <w:sz w:val="24"/>
        </w:rPr>
      </w:pPr>
      <w:r>
        <w:rPr>
          <w:rFonts w:hint="eastAsia" w:ascii="仿宋" w:hAnsi="仿宋" w:eastAsia="仿宋" w:cs="仿宋"/>
          <w:vanish/>
          <w:sz w:val="24"/>
        </w:rPr>
        <w:t>5</w:t>
      </w:r>
    </w:p>
    <w:p w14:paraId="4F8FDCBF">
      <w:pPr>
        <w:numPr>
          <w:ilvl w:val="1"/>
          <w:numId w:val="0"/>
        </w:numPr>
        <w:snapToGrid w:val="0"/>
        <w:spacing w:line="360" w:lineRule="auto"/>
        <w:ind w:firstLine="480" w:firstLineChars="200"/>
        <w:rPr>
          <w:rFonts w:ascii="仿宋" w:hAnsi="仿宋" w:eastAsia="仿宋" w:cs="仿宋"/>
          <w:sz w:val="24"/>
        </w:rPr>
      </w:pPr>
      <w:r>
        <w:rPr>
          <w:rFonts w:hint="eastAsia" w:ascii="仿宋" w:hAnsi="仿宋" w:eastAsia="仿宋" w:cs="仿宋"/>
          <w:sz w:val="24"/>
        </w:rPr>
        <w:t>5.1结算主体为采购人，结算前，成交供应商须向采购人开具合法、等额、有效的发票，采购人收到发票后按以下约定付款，因供应商发票开具不合规导致的付款延误，由供应商自行承担全部责任。</w:t>
      </w:r>
    </w:p>
    <w:p w14:paraId="1ACF95DE">
      <w:pPr>
        <w:numPr>
          <w:ilvl w:val="1"/>
          <w:numId w:val="0"/>
        </w:numPr>
        <w:snapToGrid w:val="0"/>
        <w:spacing w:line="360" w:lineRule="auto"/>
        <w:ind w:firstLine="480" w:firstLineChars="200"/>
        <w:rPr>
          <w:rFonts w:ascii="仿宋" w:hAnsi="仿宋" w:eastAsia="仿宋" w:cs="仿宋"/>
          <w:sz w:val="24"/>
        </w:rPr>
      </w:pPr>
      <w:r>
        <w:rPr>
          <w:rFonts w:hint="eastAsia" w:ascii="仿宋" w:hAnsi="仿宋" w:eastAsia="仿宋" w:cs="仿宋"/>
          <w:sz w:val="24"/>
        </w:rPr>
        <w:t>5.2付款方式：</w:t>
      </w:r>
    </w:p>
    <w:p w14:paraId="78630D8F">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56E1C987">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0049FC6C">
      <w:pPr>
        <w:snapToGrid w:val="0"/>
        <w:spacing w:line="360" w:lineRule="auto"/>
        <w:rPr>
          <w:rFonts w:ascii="仿宋" w:hAnsi="仿宋" w:eastAsia="仿宋" w:cs="仿宋"/>
          <w:sz w:val="24"/>
        </w:rPr>
      </w:pPr>
      <w:r>
        <w:rPr>
          <w:rFonts w:hint="eastAsia" w:ascii="仿宋" w:hAnsi="仿宋" w:eastAsia="仿宋" w:cs="仿宋"/>
          <w:b/>
          <w:sz w:val="24"/>
        </w:rPr>
        <w:t>6. 知识产权条款</w:t>
      </w:r>
    </w:p>
    <w:p w14:paraId="7D6251B3">
      <w:pPr>
        <w:pStyle w:val="34"/>
        <w:snapToGrid w:val="0"/>
        <w:spacing w:line="360" w:lineRule="auto"/>
        <w:ind w:left="425" w:hanging="425" w:firstLineChars="0"/>
        <w:rPr>
          <w:rFonts w:ascii="仿宋" w:hAnsi="仿宋" w:eastAsia="仿宋" w:cs="仿宋"/>
          <w:vanish/>
          <w:sz w:val="24"/>
        </w:rPr>
      </w:pPr>
      <w:r>
        <w:rPr>
          <w:rFonts w:hint="eastAsia" w:ascii="仿宋" w:hAnsi="仿宋" w:eastAsia="仿宋" w:cs="仿宋"/>
          <w:vanish/>
          <w:sz w:val="24"/>
        </w:rPr>
        <w:t>6</w:t>
      </w:r>
    </w:p>
    <w:p w14:paraId="1BB26638">
      <w:pPr>
        <w:numPr>
          <w:ilvl w:val="1"/>
          <w:numId w:val="0"/>
        </w:numPr>
        <w:snapToGrid w:val="0"/>
        <w:spacing w:line="360" w:lineRule="auto"/>
        <w:ind w:firstLine="480" w:firstLineChars="200"/>
        <w:rPr>
          <w:rFonts w:ascii="仿宋" w:hAnsi="仿宋" w:eastAsia="仿宋" w:cs="仿宋"/>
          <w:sz w:val="24"/>
        </w:rPr>
      </w:pPr>
      <w:r>
        <w:rPr>
          <w:rFonts w:hint="eastAsia" w:ascii="仿宋" w:hAnsi="仿宋" w:eastAsia="仿宋" w:cs="仿宋"/>
          <w:sz w:val="24"/>
        </w:rPr>
        <w:t>6.1供应商须保证，其提供的运维服务、软件更新、升级服务及相关技术成果，不会出现任何第三方提出侵犯其专利权、商标权、著作权或其他知识产权的主张或诉讼，如发生前述情形，由供应商承担全部法律责任，并赔偿采购人因此遭受的全部经济损失。</w:t>
      </w:r>
    </w:p>
    <w:p w14:paraId="370045B4">
      <w:pPr>
        <w:numPr>
          <w:ilvl w:val="1"/>
          <w:numId w:val="0"/>
        </w:numPr>
        <w:snapToGrid w:val="0"/>
        <w:spacing w:line="360" w:lineRule="auto"/>
        <w:ind w:firstLine="480" w:firstLineChars="200"/>
        <w:rPr>
          <w:rFonts w:ascii="仿宋" w:hAnsi="仿宋" w:eastAsia="仿宋" w:cs="仿宋"/>
          <w:sz w:val="24"/>
        </w:rPr>
      </w:pPr>
      <w:r>
        <w:rPr>
          <w:rFonts w:hint="eastAsia" w:ascii="仿宋" w:hAnsi="仿宋" w:eastAsia="仿宋" w:cs="仿宋"/>
          <w:sz w:val="24"/>
        </w:rPr>
        <w:t>6.2本项目涉及系统的软件著作权、知识产权归原权利人所有，供应商仅可基于本项目运维服务目的，在采购人授权范围内使用相关软件及技术资料，不得擅自复制、分发、转让、反编译、反向工程，不得用于任何其他用途。</w:t>
      </w:r>
    </w:p>
    <w:p w14:paraId="5A2319F3">
      <w:pPr>
        <w:numPr>
          <w:ilvl w:val="1"/>
          <w:numId w:val="0"/>
        </w:numPr>
        <w:snapToGrid w:val="0"/>
        <w:spacing w:line="360" w:lineRule="auto"/>
        <w:ind w:firstLine="480" w:firstLineChars="200"/>
        <w:rPr>
          <w:rFonts w:ascii="仿宋" w:hAnsi="仿宋" w:eastAsia="仿宋" w:cs="仿宋"/>
          <w:sz w:val="24"/>
        </w:rPr>
      </w:pPr>
      <w:r>
        <w:rPr>
          <w:rFonts w:hint="eastAsia" w:ascii="仿宋" w:hAnsi="仿宋" w:eastAsia="仿宋" w:cs="仿宋"/>
          <w:sz w:val="24"/>
        </w:rPr>
        <w:t>6.3服务期内，采购人基于系统使用产生的全部医疗数据、业务数据、患者个人信息等所有数据的所有权、使用权均归采购人所有，供应商不得主张任何权利，不得擅自使用。</w:t>
      </w:r>
    </w:p>
    <w:p w14:paraId="3D3CFDDA">
      <w:pPr>
        <w:numPr>
          <w:ilvl w:val="1"/>
          <w:numId w:val="0"/>
        </w:numPr>
        <w:snapToGrid w:val="0"/>
        <w:spacing w:line="360" w:lineRule="auto"/>
        <w:ind w:firstLine="480" w:firstLineChars="200"/>
        <w:rPr>
          <w:rFonts w:ascii="仿宋" w:hAnsi="仿宋" w:eastAsia="仿宋" w:cs="仿宋"/>
          <w:sz w:val="24"/>
        </w:rPr>
      </w:pPr>
      <w:r>
        <w:rPr>
          <w:rFonts w:hint="eastAsia" w:ascii="仿宋" w:hAnsi="仿宋" w:eastAsia="仿宋" w:cs="仿宋"/>
          <w:sz w:val="24"/>
        </w:rPr>
        <w:t>6.4供应商为采购人提供的定制化功能开发、政策适配升级、技术方案等成果，知识产权归采购人所有，供应商仅可保留非商业用途的技术使用权。</w:t>
      </w:r>
    </w:p>
    <w:p w14:paraId="5232D09D">
      <w:pPr>
        <w:snapToGrid w:val="0"/>
        <w:spacing w:line="360" w:lineRule="auto"/>
        <w:rPr>
          <w:rFonts w:ascii="仿宋" w:hAnsi="仿宋" w:eastAsia="仿宋" w:cs="仿宋"/>
          <w:sz w:val="24"/>
        </w:rPr>
      </w:pPr>
      <w:r>
        <w:rPr>
          <w:rFonts w:hint="eastAsia" w:ascii="仿宋" w:hAnsi="仿宋" w:eastAsia="仿宋" w:cs="仿宋"/>
          <w:b/>
          <w:sz w:val="24"/>
        </w:rPr>
        <w:t>7. 违约责任</w:t>
      </w:r>
    </w:p>
    <w:p w14:paraId="0C48F5EC">
      <w:pPr>
        <w:pStyle w:val="34"/>
        <w:snapToGrid w:val="0"/>
        <w:spacing w:line="360" w:lineRule="auto"/>
        <w:ind w:left="425" w:hanging="425" w:firstLineChars="0"/>
        <w:rPr>
          <w:rFonts w:ascii="仿宋" w:hAnsi="仿宋" w:eastAsia="仿宋" w:cs="仿宋"/>
          <w:vanish/>
          <w:sz w:val="24"/>
        </w:rPr>
      </w:pPr>
      <w:r>
        <w:rPr>
          <w:rFonts w:hint="eastAsia" w:ascii="仿宋" w:hAnsi="仿宋" w:eastAsia="仿宋" w:cs="仿宋"/>
          <w:vanish/>
          <w:sz w:val="24"/>
        </w:rPr>
        <w:t>7</w:t>
      </w:r>
    </w:p>
    <w:p w14:paraId="19088734">
      <w:pPr>
        <w:numPr>
          <w:ilvl w:val="1"/>
          <w:numId w:val="0"/>
        </w:numPr>
        <w:snapToGrid w:val="0"/>
        <w:spacing w:line="360" w:lineRule="auto"/>
        <w:ind w:left="987" w:hanging="567"/>
        <w:rPr>
          <w:rFonts w:ascii="仿宋" w:hAnsi="仿宋" w:eastAsia="仿宋" w:cs="仿宋"/>
          <w:sz w:val="24"/>
        </w:rPr>
      </w:pPr>
      <w:r>
        <w:rPr>
          <w:rFonts w:hint="eastAsia" w:ascii="仿宋" w:hAnsi="仿宋" w:eastAsia="仿宋" w:cs="仿宋"/>
          <w:sz w:val="24"/>
        </w:rPr>
        <w:t>7.1本合同违约责任严格按照《中华人民共和国民法典》相关条款执行。</w:t>
      </w:r>
    </w:p>
    <w:p w14:paraId="65FC90D3">
      <w:pPr>
        <w:numPr>
          <w:ilvl w:val="1"/>
          <w:numId w:val="0"/>
        </w:numPr>
        <w:snapToGrid w:val="0"/>
        <w:spacing w:line="360" w:lineRule="auto"/>
        <w:ind w:firstLine="480" w:firstLineChars="200"/>
        <w:rPr>
          <w:rFonts w:ascii="仿宋" w:hAnsi="仿宋" w:eastAsia="仿宋" w:cs="仿宋"/>
          <w:sz w:val="24"/>
        </w:rPr>
      </w:pPr>
      <w:r>
        <w:rPr>
          <w:rFonts w:hint="eastAsia" w:ascii="仿宋" w:hAnsi="仿宋" w:eastAsia="仿宋" w:cs="仿宋"/>
          <w:sz w:val="24"/>
        </w:rPr>
        <w:t>7.2供应商未按合同约定提供服务，或服务质量、响应时效、技术能力不满足合同要求，采购人有权按《服务质量评价标准》扣除对应款项，并要求供应商限期整改；整改后仍无法满足合同要求的，采购人有权扣除对应合同款项，直至单方面解除合同，供应商须承担采购人因此遭受的全部损失。</w:t>
      </w:r>
    </w:p>
    <w:p w14:paraId="4194B18A">
      <w:pPr>
        <w:numPr>
          <w:ilvl w:val="1"/>
          <w:numId w:val="0"/>
        </w:numPr>
        <w:snapToGrid w:val="0"/>
        <w:spacing w:line="360" w:lineRule="auto"/>
        <w:ind w:firstLine="480" w:firstLineChars="200"/>
        <w:rPr>
          <w:rFonts w:ascii="仿宋" w:hAnsi="仿宋" w:eastAsia="仿宋" w:cs="仿宋"/>
          <w:sz w:val="24"/>
        </w:rPr>
      </w:pPr>
      <w:r>
        <w:rPr>
          <w:rFonts w:hint="eastAsia" w:ascii="仿宋" w:hAnsi="仿宋" w:eastAsia="仿宋" w:cs="仿宋"/>
          <w:sz w:val="24"/>
        </w:rPr>
        <w:t>7.3供应商未按故障SLA要求完成响应与故障处置的，每出现一次一级故障超时，扣除合同总价款的5%；每出现一次二级故障超时，扣除合同总价款的2%；三级、四级故障超时，按评价标准扣除对应分值，并累计扣除合同款项。因供应商故障处置不及时导致医院业务中断、产生医疗纠纷或监管处罚的，全部责任与经济损失由供应商承担。</w:t>
      </w:r>
    </w:p>
    <w:p w14:paraId="68F28C9D">
      <w:pPr>
        <w:numPr>
          <w:ilvl w:val="1"/>
          <w:numId w:val="0"/>
        </w:numPr>
        <w:snapToGrid w:val="0"/>
        <w:spacing w:line="360" w:lineRule="auto"/>
        <w:ind w:firstLine="480" w:firstLineChars="200"/>
        <w:rPr>
          <w:rFonts w:ascii="仿宋" w:hAnsi="仿宋" w:eastAsia="仿宋" w:cs="仿宋"/>
          <w:sz w:val="24"/>
        </w:rPr>
      </w:pPr>
      <w:r>
        <w:rPr>
          <w:rFonts w:hint="eastAsia" w:ascii="仿宋" w:hAnsi="仿宋" w:eastAsia="仿宋" w:cs="仿宋"/>
          <w:sz w:val="24"/>
        </w:rPr>
        <w:t>7.4供应商违反数据安全与保密约定，发生数据泄露、篡改、丢失等事件，或擅自使用、转让采购人数据的，采购人有权立即解除合同，不予支付剩余全部合同款项，供应商须支付合同总价款30%的违约金，同时承担全部法律责任，赔偿采购人因此遭受的全部经济损失（含监管处罚、民事赔偿、商誉损失等）。</w:t>
      </w:r>
    </w:p>
    <w:p w14:paraId="7A3F3713">
      <w:pPr>
        <w:numPr>
          <w:ilvl w:val="1"/>
          <w:numId w:val="0"/>
        </w:numPr>
        <w:snapToGrid w:val="0"/>
        <w:spacing w:line="360" w:lineRule="auto"/>
        <w:ind w:firstLine="480" w:firstLineChars="200"/>
        <w:rPr>
          <w:rFonts w:ascii="仿宋" w:hAnsi="仿宋" w:eastAsia="仿宋" w:cs="仿宋"/>
          <w:sz w:val="24"/>
        </w:rPr>
      </w:pPr>
      <w:r>
        <w:rPr>
          <w:rFonts w:hint="eastAsia" w:ascii="仿宋" w:hAnsi="仿宋" w:eastAsia="仿宋" w:cs="仿宋"/>
          <w:sz w:val="24"/>
        </w:rPr>
        <w:t>7.5供应商未经采购人同意，擅自更换项目核心人员、转包/分包本项目服务的，采购人有权扣除合同总价款的10%作为违约金，情节严重的，有权解除合同。</w:t>
      </w:r>
    </w:p>
    <w:p w14:paraId="3457AD3E">
      <w:pPr>
        <w:snapToGrid w:val="0"/>
        <w:spacing w:line="360" w:lineRule="auto"/>
        <w:rPr>
          <w:rFonts w:ascii="仿宋" w:hAnsi="仿宋" w:eastAsia="仿宋" w:cs="仿宋"/>
          <w:sz w:val="24"/>
        </w:rPr>
      </w:pPr>
      <w:r>
        <w:rPr>
          <w:rFonts w:hint="eastAsia" w:ascii="仿宋" w:hAnsi="仿宋" w:eastAsia="仿宋" w:cs="仿宋"/>
          <w:b/>
          <w:sz w:val="24"/>
        </w:rPr>
        <w:t>8. 其他约定</w:t>
      </w:r>
    </w:p>
    <w:p w14:paraId="67B83593">
      <w:pPr>
        <w:pStyle w:val="34"/>
        <w:snapToGrid w:val="0"/>
        <w:spacing w:line="360" w:lineRule="auto"/>
        <w:ind w:left="425" w:hanging="425" w:firstLineChars="0"/>
        <w:rPr>
          <w:rFonts w:ascii="仿宋" w:hAnsi="仿宋" w:eastAsia="仿宋" w:cs="仿宋"/>
          <w:vanish/>
          <w:sz w:val="24"/>
        </w:rPr>
      </w:pPr>
      <w:r>
        <w:rPr>
          <w:rFonts w:hint="eastAsia" w:ascii="仿宋" w:hAnsi="仿宋" w:eastAsia="仿宋" w:cs="仿宋"/>
          <w:vanish/>
          <w:sz w:val="24"/>
        </w:rPr>
        <w:t>8</w:t>
      </w:r>
    </w:p>
    <w:p w14:paraId="105C3EBD">
      <w:pPr>
        <w:numPr>
          <w:ilvl w:val="1"/>
          <w:numId w:val="0"/>
        </w:numPr>
        <w:snapToGrid w:val="0"/>
        <w:spacing w:line="360" w:lineRule="auto"/>
        <w:ind w:firstLine="480" w:firstLineChars="200"/>
        <w:rPr>
          <w:rFonts w:ascii="仿宋" w:hAnsi="仿宋" w:eastAsia="仿宋" w:cs="仿宋"/>
          <w:sz w:val="24"/>
        </w:rPr>
      </w:pPr>
      <w:r>
        <w:rPr>
          <w:rFonts w:hint="eastAsia" w:ascii="仿宋" w:hAnsi="仿宋" w:eastAsia="仿宋" w:cs="仿宋"/>
          <w:sz w:val="24"/>
        </w:rPr>
        <w:t>8.1本项目技术要求与商务要求为合同核心条款，不允许任何负偏离，供应商响应文件须对所有条款作出完全响应承诺，负偏离响应将按无效响应处理。</w:t>
      </w:r>
    </w:p>
    <w:p w14:paraId="26E4C469">
      <w:pPr>
        <w:numPr>
          <w:ilvl w:val="1"/>
          <w:numId w:val="0"/>
        </w:numPr>
        <w:snapToGrid w:val="0"/>
        <w:spacing w:line="360" w:lineRule="auto"/>
        <w:ind w:firstLine="480" w:firstLineChars="200"/>
        <w:rPr>
          <w:rFonts w:ascii="仿宋" w:hAnsi="仿宋" w:eastAsia="仿宋" w:cs="仿宋"/>
          <w:sz w:val="24"/>
        </w:rPr>
      </w:pPr>
      <w:r>
        <w:rPr>
          <w:rFonts w:hint="eastAsia" w:ascii="仿宋" w:hAnsi="仿宋" w:eastAsia="仿宋" w:cs="仿宋"/>
          <w:sz w:val="24"/>
        </w:rPr>
        <w:t>8.2服务期内，如遇国家政策法规、行业标准发生重大调整，采购人有权对服务内容与要求进行合规性调整，供应商须无条件配合，不得额外收取费用。</w:t>
      </w:r>
    </w:p>
    <w:p w14:paraId="06355483">
      <w:pPr>
        <w:numPr>
          <w:ilvl w:val="1"/>
          <w:numId w:val="0"/>
        </w:numPr>
        <w:snapToGrid w:val="0"/>
        <w:spacing w:line="360" w:lineRule="auto"/>
        <w:ind w:firstLine="480" w:firstLineChars="200"/>
        <w:rPr>
          <w:rFonts w:ascii="仿宋" w:hAnsi="仿宋" w:eastAsia="仿宋" w:cs="仿宋"/>
          <w:sz w:val="24"/>
        </w:rPr>
      </w:pPr>
      <w:r>
        <w:rPr>
          <w:rFonts w:hint="eastAsia" w:ascii="仿宋" w:hAnsi="仿宋" w:eastAsia="仿宋" w:cs="仿宋"/>
          <w:sz w:val="24"/>
        </w:rPr>
        <w:t>8.3本文件未尽事宜，由双方在合同中另行约定，约定内容不得违反本文件的核心要求与国家相关法律法规。</w:t>
      </w:r>
    </w:p>
    <w:bookmarkEnd w:id="55"/>
    <w:bookmarkEnd w:id="56"/>
    <w:p w14:paraId="72A46FA8">
      <w:pPr>
        <w:rPr>
          <w:rFonts w:ascii="仿宋" w:hAnsi="仿宋" w:eastAsia="仿宋" w:cs="仿宋"/>
          <w:b/>
          <w:bCs/>
          <w:sz w:val="24"/>
        </w:rPr>
      </w:pPr>
    </w:p>
    <w:p w14:paraId="4D946364">
      <w:pPr>
        <w:rPr>
          <w:rFonts w:ascii="仿宋" w:hAnsi="仿宋" w:eastAsia="仿宋" w:cs="仿宋"/>
          <w:b/>
          <w:bCs/>
          <w:sz w:val="24"/>
        </w:rPr>
      </w:pPr>
    </w:p>
    <w:p w14:paraId="4F5577C6">
      <w:pPr>
        <w:rPr>
          <w:rFonts w:ascii="仿宋" w:hAnsi="仿宋" w:eastAsia="仿宋" w:cs="仿宋"/>
          <w:b/>
          <w:bCs/>
          <w:sz w:val="24"/>
        </w:rPr>
        <w:sectPr>
          <w:headerReference r:id="rId20" w:type="default"/>
          <w:footerReference r:id="rId21" w:type="default"/>
          <w:pgSz w:w="11906" w:h="16838"/>
          <w:pgMar w:top="1440" w:right="1417" w:bottom="1440" w:left="1587" w:header="850" w:footer="992" w:gutter="0"/>
          <w:cols w:space="720" w:num="1"/>
          <w:docGrid w:type="lines" w:linePitch="317" w:charSpace="0"/>
        </w:sectPr>
      </w:pPr>
    </w:p>
    <w:p w14:paraId="3A8683F0">
      <w:pPr>
        <w:pStyle w:val="3"/>
        <w:spacing w:line="360" w:lineRule="auto"/>
        <w:jc w:val="both"/>
        <w:rPr>
          <w:rFonts w:ascii="仿宋" w:hAnsi="仿宋" w:eastAsia="仿宋" w:cs="仿宋"/>
          <w:b/>
          <w:bCs/>
          <w:sz w:val="24"/>
          <w:szCs w:val="24"/>
          <w:lang w:eastAsia="zh-CN"/>
        </w:rPr>
      </w:pPr>
      <w:r>
        <w:rPr>
          <w:rFonts w:hint="eastAsia" w:ascii="仿宋" w:hAnsi="仿宋" w:eastAsia="仿宋" w:cs="仿宋"/>
          <w:b/>
          <w:bCs/>
          <w:sz w:val="24"/>
          <w:szCs w:val="24"/>
          <w:lang w:eastAsia="zh-CN"/>
        </w:rPr>
        <w:t>合同包8-采购需求（健康体检信息系统售后服务）</w:t>
      </w:r>
    </w:p>
    <w:p w14:paraId="507A934B">
      <w:pPr>
        <w:snapToGrid w:val="0"/>
        <w:spacing w:line="360" w:lineRule="auto"/>
        <w:jc w:val="left"/>
        <w:rPr>
          <w:rFonts w:ascii="仿宋" w:hAnsi="仿宋" w:eastAsia="仿宋" w:cs="仿宋"/>
          <w:sz w:val="24"/>
        </w:rPr>
      </w:pPr>
      <w:r>
        <w:rPr>
          <w:rFonts w:hint="eastAsia" w:ascii="仿宋" w:hAnsi="仿宋" w:eastAsia="仿宋" w:cs="仿宋"/>
          <w:b/>
          <w:sz w:val="24"/>
        </w:rPr>
        <w:t>一、项目概述</w:t>
      </w:r>
    </w:p>
    <w:p w14:paraId="2139BD8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采购人自2020年5月启用《健康体检管理系统》以来，该系统已成为医院体检业务全流程管理的核心支撑平台，覆盖体检预约、登记、分科检查、报告审核、总检生成、体检档案管理、团检管理、统计分析、结果查询与打印等全流程业务。为保障系统安全稳定运行、体检流程高效顺畅、报告数据真实准确、数据全程可追溯，现委托具备原厂维护授权、专业医疗信息化运维服务能力的供应商，提供全流程售后运维与技术支持服务，完善运维管理体系，提升系统稳定性、安全性与合规性。</w:t>
      </w:r>
    </w:p>
    <w:p w14:paraId="72A528B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项目为单一来源采购项目，服务商须为系统原软件厂商，或取得原厂商针对本项目出具的唯一专项授权文件，具备系统源代码级维护、原厂补丁更新、合规性升级的完整技术能力，确保服务的合法性、连续性与技术匹配性。</w:t>
      </w:r>
    </w:p>
    <w:p w14:paraId="5D53B4E2">
      <w:pPr>
        <w:snapToGrid w:val="0"/>
        <w:spacing w:line="360" w:lineRule="auto"/>
        <w:jc w:val="left"/>
        <w:rPr>
          <w:rFonts w:ascii="仿宋" w:hAnsi="仿宋" w:eastAsia="仿宋" w:cs="仿宋"/>
          <w:sz w:val="24"/>
        </w:rPr>
      </w:pPr>
      <w:r>
        <w:rPr>
          <w:rFonts w:hint="eastAsia" w:ascii="仿宋" w:hAnsi="仿宋" w:eastAsia="仿宋" w:cs="仿宋"/>
          <w:b/>
          <w:sz w:val="24"/>
        </w:rPr>
        <w:t>二、技术要求</w:t>
      </w:r>
    </w:p>
    <w:p w14:paraId="66F16AAB">
      <w:pPr>
        <w:snapToGrid w:val="0"/>
        <w:spacing w:line="360" w:lineRule="auto"/>
        <w:jc w:val="left"/>
        <w:rPr>
          <w:rFonts w:ascii="仿宋" w:hAnsi="仿宋" w:eastAsia="仿宋" w:cs="仿宋"/>
          <w:sz w:val="24"/>
        </w:rPr>
      </w:pPr>
      <w:r>
        <w:rPr>
          <w:rFonts w:hint="eastAsia" w:ascii="仿宋" w:hAnsi="仿宋" w:eastAsia="仿宋" w:cs="仿宋"/>
          <w:b/>
          <w:sz w:val="24"/>
        </w:rPr>
        <w:t>1. 名词解释</w:t>
      </w:r>
    </w:p>
    <w:p w14:paraId="7E694EC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本文件所涉及名词定义严格遵循国家信息技术服务标准（ITSS）、医疗信息化行业规范及相关法律法规，具体如下：</w:t>
      </w:r>
    </w:p>
    <w:p w14:paraId="2D832AA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1.1 </w:t>
      </w:r>
      <w:r>
        <w:rPr>
          <w:rFonts w:hint="eastAsia" w:ascii="仿宋" w:hAnsi="仿宋" w:eastAsia="仿宋" w:cs="仿宋"/>
          <w:b/>
          <w:sz w:val="24"/>
        </w:rPr>
        <w:t>维护</w:t>
      </w:r>
      <w:r>
        <w:rPr>
          <w:rFonts w:hint="eastAsia" w:ascii="仿宋" w:hAnsi="仿宋" w:eastAsia="仿宋" w:cs="仿宋"/>
          <w:sz w:val="24"/>
        </w:rPr>
        <w:t>：指服务供应商为采购人提供许可软件的全生命周期技术支撑，包括但不限于故障排查与修复、技术指导、运行优化、合规适配、安全加固等服务工作的总称。</w:t>
      </w:r>
    </w:p>
    <w:p w14:paraId="48C2161F">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1.2 </w:t>
      </w:r>
      <w:r>
        <w:rPr>
          <w:rFonts w:hint="eastAsia" w:ascii="仿宋" w:hAnsi="仿宋" w:eastAsia="仿宋" w:cs="仿宋"/>
          <w:b/>
          <w:sz w:val="24"/>
        </w:rPr>
        <w:t>现场</w:t>
      </w:r>
      <w:r>
        <w:rPr>
          <w:rFonts w:hint="eastAsia" w:ascii="仿宋" w:hAnsi="仿宋" w:eastAsia="仿宋" w:cs="仿宋"/>
          <w:sz w:val="24"/>
        </w:rPr>
        <w:t>：指采购人许可系统部署、使用的全部场所，含医院本部院区、各分院区、社区服务点等所有系统终端部署点位。</w:t>
      </w:r>
    </w:p>
    <w:p w14:paraId="05828DC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1.3 </w:t>
      </w:r>
      <w:r>
        <w:rPr>
          <w:rFonts w:hint="eastAsia" w:ascii="仿宋" w:hAnsi="仿宋" w:eastAsia="仿宋" w:cs="仿宋"/>
          <w:b/>
          <w:sz w:val="24"/>
        </w:rPr>
        <w:t>现场维护</w:t>
      </w:r>
      <w:r>
        <w:rPr>
          <w:rFonts w:hint="eastAsia" w:ascii="仿宋" w:hAnsi="仿宋" w:eastAsia="仿宋" w:cs="仿宋"/>
          <w:sz w:val="24"/>
        </w:rPr>
        <w:t>：指服务供应商针对采购人提出的技术服务请求，派遣具备对应资质的技术人员到采购人指定现场，完成问题处置、技术服务的全过程。</w:t>
      </w:r>
    </w:p>
    <w:p w14:paraId="291C91F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1.4 </w:t>
      </w:r>
      <w:r>
        <w:rPr>
          <w:rFonts w:hint="eastAsia" w:ascii="仿宋" w:hAnsi="仿宋" w:eastAsia="仿宋" w:cs="仿宋"/>
          <w:b/>
          <w:sz w:val="24"/>
        </w:rPr>
        <w:t>远程维护</w:t>
      </w:r>
      <w:r>
        <w:rPr>
          <w:rFonts w:hint="eastAsia" w:ascii="仿宋" w:hAnsi="仿宋" w:eastAsia="仿宋" w:cs="仿宋"/>
          <w:sz w:val="24"/>
        </w:rPr>
        <w:t>：指服务供应商针对采购人提出的技术服务请求，通过加密专线、安全远程接入方式，向采购人提供问题解答、技术指导、远程故障排查与修复的服务过程，远程操作须全程留痕、符合医院网络安全管理规定。</w:t>
      </w:r>
    </w:p>
    <w:p w14:paraId="44D0154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1.5 </w:t>
      </w:r>
      <w:r>
        <w:rPr>
          <w:rFonts w:hint="eastAsia" w:ascii="仿宋" w:hAnsi="仿宋" w:eastAsia="仿宋" w:cs="仿宋"/>
          <w:b/>
          <w:sz w:val="24"/>
        </w:rPr>
        <w:t>软件更新</w:t>
      </w:r>
      <w:r>
        <w:rPr>
          <w:rFonts w:hint="eastAsia" w:ascii="仿宋" w:hAnsi="仿宋" w:eastAsia="仿宋" w:cs="仿宋"/>
          <w:sz w:val="24"/>
        </w:rPr>
        <w:t>：指为保障系统合规性、安全性、功能性，对许可软件进行的安全补丁更新、故障优化、版本迭代、政策适配性升级、功能完善的全过程，不限于仅故障场景。</w:t>
      </w:r>
    </w:p>
    <w:p w14:paraId="3957B8F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1.6 </w:t>
      </w:r>
      <w:r>
        <w:rPr>
          <w:rFonts w:hint="eastAsia" w:ascii="仿宋" w:hAnsi="仿宋" w:eastAsia="仿宋" w:cs="仿宋"/>
          <w:b/>
          <w:sz w:val="24"/>
        </w:rPr>
        <w:t>技术支持</w:t>
      </w:r>
      <w:r>
        <w:rPr>
          <w:rFonts w:hint="eastAsia" w:ascii="仿宋" w:hAnsi="仿宋" w:eastAsia="仿宋" w:cs="仿宋"/>
          <w:sz w:val="24"/>
        </w:rPr>
        <w:t>：指服务供应商为保障许可软件和系统持续稳定运行，在服务期内通过电话、互联网、现场服务等方式，向采购人提供的7×24小时技术援助、操作指导与问题处置服务。</w:t>
      </w:r>
    </w:p>
    <w:p w14:paraId="6D8CED0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1.7 </w:t>
      </w:r>
      <w:r>
        <w:rPr>
          <w:rFonts w:hint="eastAsia" w:ascii="仿宋" w:hAnsi="仿宋" w:eastAsia="仿宋" w:cs="仿宋"/>
          <w:b/>
          <w:sz w:val="24"/>
        </w:rPr>
        <w:t>热线支持</w:t>
      </w:r>
      <w:r>
        <w:rPr>
          <w:rFonts w:hint="eastAsia" w:ascii="仿宋" w:hAnsi="仿宋" w:eastAsia="仿宋" w:cs="仿宋"/>
          <w:sz w:val="24"/>
        </w:rPr>
        <w:t>：指服务供应商客户服务中心通过专属服务热线，7×24小时向采购人提供技术问题解答、服务请求受理、故障派单的服务过程。</w:t>
      </w:r>
    </w:p>
    <w:p w14:paraId="017358F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1.8 </w:t>
      </w:r>
      <w:r>
        <w:rPr>
          <w:rFonts w:hint="eastAsia" w:ascii="仿宋" w:hAnsi="仿宋" w:eastAsia="仿宋" w:cs="仿宋"/>
          <w:b/>
          <w:sz w:val="24"/>
        </w:rPr>
        <w:t>在线技术支持</w:t>
      </w:r>
      <w:r>
        <w:rPr>
          <w:rFonts w:hint="eastAsia" w:ascii="仿宋" w:hAnsi="仿宋" w:eastAsia="仿宋" w:cs="仿宋"/>
          <w:sz w:val="24"/>
        </w:rPr>
        <w:t>：指服务供应商客户服务中心通过安全在线支持系统，接收、解答采购人问题，发布相关技术解决方案、操作指引的服务过程。</w:t>
      </w:r>
    </w:p>
    <w:p w14:paraId="0C0CC7B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1.9 </w:t>
      </w:r>
      <w:r>
        <w:rPr>
          <w:rFonts w:hint="eastAsia" w:ascii="仿宋" w:hAnsi="仿宋" w:eastAsia="仿宋" w:cs="仿宋"/>
          <w:b/>
          <w:sz w:val="24"/>
        </w:rPr>
        <w:t>响应时间</w:t>
      </w:r>
      <w:r>
        <w:rPr>
          <w:rFonts w:hint="eastAsia" w:ascii="仿宋" w:hAnsi="仿宋" w:eastAsia="仿宋" w:cs="仿宋"/>
          <w:sz w:val="24"/>
        </w:rPr>
        <w:t>：指服务供应商接到采购人正式服务请求后，到与采购人完成沟通、明确故障情况、出具服务承诺与初步处置方案的时间。</w:t>
      </w:r>
    </w:p>
    <w:p w14:paraId="358E1E1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1.10 </w:t>
      </w:r>
      <w:r>
        <w:rPr>
          <w:rFonts w:hint="eastAsia" w:ascii="仿宋" w:hAnsi="仿宋" w:eastAsia="仿宋" w:cs="仿宋"/>
          <w:b/>
          <w:sz w:val="24"/>
        </w:rPr>
        <w:t>解决时间</w:t>
      </w:r>
      <w:r>
        <w:rPr>
          <w:rFonts w:hint="eastAsia" w:ascii="仿宋" w:hAnsi="仿宋" w:eastAsia="仿宋" w:cs="仿宋"/>
          <w:sz w:val="24"/>
        </w:rPr>
        <w:t>：指服务供应商从接到服务请求起，到系统故障完全修复、业务恢复正常运行、问题闭环处置的时间。</w:t>
      </w:r>
    </w:p>
    <w:p w14:paraId="7F69165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1.11 </w:t>
      </w:r>
      <w:r>
        <w:rPr>
          <w:rFonts w:hint="eastAsia" w:ascii="仿宋" w:hAnsi="仿宋" w:eastAsia="仿宋" w:cs="仿宋"/>
          <w:b/>
          <w:sz w:val="24"/>
        </w:rPr>
        <w:t>数据安全事件</w:t>
      </w:r>
      <w:r>
        <w:rPr>
          <w:rFonts w:hint="eastAsia" w:ascii="仿宋" w:hAnsi="仿宋" w:eastAsia="仿宋" w:cs="仿宋"/>
          <w:sz w:val="24"/>
        </w:rPr>
        <w:t>：指系统运行过程中发生的，可能或已经导致医疗数据、患者个人信息泄露、损毁、篡改、丢失，以及系统被非法入侵、攻击等影响数据安全的事件。</w:t>
      </w:r>
    </w:p>
    <w:p w14:paraId="2F49C40E">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1.12 </w:t>
      </w:r>
      <w:r>
        <w:rPr>
          <w:rFonts w:hint="eastAsia" w:ascii="仿宋" w:hAnsi="仿宋" w:eastAsia="仿宋" w:cs="仿宋"/>
          <w:b/>
          <w:sz w:val="24"/>
        </w:rPr>
        <w:t>等保合规</w:t>
      </w:r>
      <w:r>
        <w:rPr>
          <w:rFonts w:hint="eastAsia" w:ascii="仿宋" w:hAnsi="仿宋" w:eastAsia="仿宋" w:cs="仿宋"/>
          <w:sz w:val="24"/>
        </w:rPr>
        <w:t>：指系统运行与运维服务须符合国家网络安全等级保护2.0标准对应级别的全部要求。</w:t>
      </w:r>
    </w:p>
    <w:p w14:paraId="6804A75B">
      <w:pPr>
        <w:snapToGrid w:val="0"/>
        <w:spacing w:line="360" w:lineRule="auto"/>
        <w:jc w:val="left"/>
        <w:rPr>
          <w:rFonts w:ascii="仿宋" w:hAnsi="仿宋" w:eastAsia="仿宋" w:cs="仿宋"/>
          <w:sz w:val="24"/>
        </w:rPr>
      </w:pPr>
      <w:r>
        <w:rPr>
          <w:rFonts w:hint="eastAsia" w:ascii="仿宋" w:hAnsi="仿宋" w:eastAsia="仿宋" w:cs="仿宋"/>
          <w:b/>
          <w:sz w:val="24"/>
        </w:rPr>
        <w:t>2. 运维服务系统范围</w:t>
      </w:r>
    </w:p>
    <w:p w14:paraId="291BF3E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采购人委托供应商提供售后运维服务的信息系统，包含但不限于下表所列全部模块、子系统及配套硬件设备，同时覆盖系统与院内HIS、LIS、PACS、EMR、医保结算系统、互联网医院平台等现有及未来新增信息系统的接口运维服务，确保系统互联互通。</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837"/>
        <w:gridCol w:w="6305"/>
      </w:tblGrid>
      <w:tr w14:paraId="2F8B2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tcMar>
              <w:top w:w="120" w:type="dxa"/>
              <w:left w:w="120" w:type="dxa"/>
              <w:bottom w:w="120" w:type="dxa"/>
              <w:right w:w="120" w:type="dxa"/>
            </w:tcMar>
            <w:vAlign w:val="center"/>
          </w:tcPr>
          <w:p w14:paraId="3466DEBE">
            <w:pPr>
              <w:widowControl/>
              <w:snapToGrid w:val="0"/>
              <w:spacing w:line="360" w:lineRule="auto"/>
              <w:jc w:val="center"/>
              <w:rPr>
                <w:rFonts w:ascii="仿宋" w:hAnsi="仿宋" w:eastAsia="仿宋" w:cs="仿宋"/>
                <w:b/>
                <w:bCs/>
                <w:kern w:val="0"/>
                <w:sz w:val="24"/>
              </w:rPr>
            </w:pPr>
            <w:r>
              <w:rPr>
                <w:rFonts w:hint="eastAsia" w:ascii="仿宋" w:hAnsi="仿宋" w:eastAsia="仿宋" w:cs="仿宋"/>
                <w:b/>
                <w:bCs/>
                <w:kern w:val="0"/>
                <w:sz w:val="24"/>
              </w:rPr>
              <w:t>系统名称</w:t>
            </w:r>
          </w:p>
        </w:tc>
        <w:tc>
          <w:tcPr>
            <w:tcW w:w="0" w:type="auto"/>
            <w:tcMar>
              <w:top w:w="120" w:type="dxa"/>
              <w:left w:w="120" w:type="dxa"/>
              <w:bottom w:w="120" w:type="dxa"/>
              <w:right w:w="120" w:type="dxa"/>
            </w:tcMar>
            <w:vAlign w:val="center"/>
          </w:tcPr>
          <w:p w14:paraId="16D5D1D2">
            <w:pPr>
              <w:widowControl/>
              <w:snapToGrid w:val="0"/>
              <w:spacing w:line="360" w:lineRule="auto"/>
              <w:jc w:val="center"/>
              <w:rPr>
                <w:rFonts w:ascii="仿宋" w:hAnsi="仿宋" w:eastAsia="仿宋" w:cs="仿宋"/>
                <w:b/>
                <w:bCs/>
                <w:kern w:val="0"/>
                <w:sz w:val="24"/>
              </w:rPr>
            </w:pPr>
            <w:r>
              <w:rPr>
                <w:rFonts w:hint="eastAsia" w:ascii="仿宋" w:hAnsi="仿宋" w:eastAsia="仿宋" w:cs="仿宋"/>
                <w:b/>
                <w:bCs/>
                <w:kern w:val="0"/>
                <w:sz w:val="24"/>
              </w:rPr>
              <w:t>子系统 / 模块</w:t>
            </w:r>
          </w:p>
        </w:tc>
      </w:tr>
      <w:tr w14:paraId="3E287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vMerge w:val="restart"/>
            <w:tcMar>
              <w:top w:w="120" w:type="dxa"/>
              <w:left w:w="120" w:type="dxa"/>
              <w:bottom w:w="120" w:type="dxa"/>
              <w:right w:w="120" w:type="dxa"/>
            </w:tcMar>
            <w:vAlign w:val="center"/>
          </w:tcPr>
          <w:p w14:paraId="67F3D243">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健康体检管理系统</w:t>
            </w:r>
          </w:p>
        </w:tc>
        <w:tc>
          <w:tcPr>
            <w:tcW w:w="0" w:type="auto"/>
            <w:tcMar>
              <w:top w:w="120" w:type="dxa"/>
              <w:left w:w="120" w:type="dxa"/>
              <w:bottom w:w="120" w:type="dxa"/>
              <w:right w:w="120" w:type="dxa"/>
            </w:tcMar>
            <w:vAlign w:val="center"/>
          </w:tcPr>
          <w:p w14:paraId="0FEE320A">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体检预约 / 登记 / 分诊</w:t>
            </w:r>
          </w:p>
        </w:tc>
      </w:tr>
      <w:tr w14:paraId="1943E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vMerge w:val="continue"/>
            <w:tcMar>
              <w:top w:w="120" w:type="dxa"/>
              <w:left w:w="120" w:type="dxa"/>
              <w:bottom w:w="120" w:type="dxa"/>
              <w:right w:w="120" w:type="dxa"/>
            </w:tcMar>
            <w:vAlign w:val="center"/>
          </w:tcPr>
          <w:p w14:paraId="2004E531">
            <w:pPr>
              <w:widowControl/>
              <w:snapToGrid w:val="0"/>
              <w:spacing w:line="360" w:lineRule="auto"/>
              <w:jc w:val="center"/>
              <w:rPr>
                <w:rFonts w:ascii="仿宋" w:hAnsi="仿宋" w:eastAsia="仿宋" w:cs="仿宋"/>
                <w:kern w:val="0"/>
                <w:sz w:val="24"/>
              </w:rPr>
            </w:pPr>
          </w:p>
        </w:tc>
        <w:tc>
          <w:tcPr>
            <w:tcW w:w="0" w:type="auto"/>
            <w:tcMar>
              <w:top w:w="120" w:type="dxa"/>
              <w:left w:w="120" w:type="dxa"/>
              <w:bottom w:w="120" w:type="dxa"/>
              <w:right w:w="120" w:type="dxa"/>
            </w:tcMar>
            <w:vAlign w:val="center"/>
          </w:tcPr>
          <w:p w14:paraId="5A710CE7">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分科检查录入</w:t>
            </w:r>
          </w:p>
        </w:tc>
      </w:tr>
      <w:tr w14:paraId="6C47F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vMerge w:val="continue"/>
            <w:tcMar>
              <w:top w:w="120" w:type="dxa"/>
              <w:left w:w="120" w:type="dxa"/>
              <w:bottom w:w="120" w:type="dxa"/>
              <w:right w:w="120" w:type="dxa"/>
            </w:tcMar>
            <w:vAlign w:val="center"/>
          </w:tcPr>
          <w:p w14:paraId="700A70E4">
            <w:pPr>
              <w:widowControl/>
              <w:snapToGrid w:val="0"/>
              <w:spacing w:line="360" w:lineRule="auto"/>
              <w:jc w:val="center"/>
              <w:rPr>
                <w:rFonts w:ascii="仿宋" w:hAnsi="仿宋" w:eastAsia="仿宋" w:cs="仿宋"/>
                <w:kern w:val="0"/>
                <w:sz w:val="24"/>
              </w:rPr>
            </w:pPr>
          </w:p>
        </w:tc>
        <w:tc>
          <w:tcPr>
            <w:tcW w:w="0" w:type="auto"/>
            <w:tcMar>
              <w:top w:w="120" w:type="dxa"/>
              <w:left w:w="120" w:type="dxa"/>
              <w:bottom w:w="120" w:type="dxa"/>
              <w:right w:w="120" w:type="dxa"/>
            </w:tcMar>
            <w:vAlign w:val="center"/>
          </w:tcPr>
          <w:p w14:paraId="20065F93">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报告生成 / 审核 / 总检</w:t>
            </w:r>
          </w:p>
        </w:tc>
      </w:tr>
      <w:tr w14:paraId="02A5A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vMerge w:val="continue"/>
            <w:tcMar>
              <w:top w:w="120" w:type="dxa"/>
              <w:left w:w="120" w:type="dxa"/>
              <w:bottom w:w="120" w:type="dxa"/>
              <w:right w:w="120" w:type="dxa"/>
            </w:tcMar>
            <w:vAlign w:val="center"/>
          </w:tcPr>
          <w:p w14:paraId="393CDFA5">
            <w:pPr>
              <w:widowControl/>
              <w:snapToGrid w:val="0"/>
              <w:spacing w:line="360" w:lineRule="auto"/>
              <w:jc w:val="center"/>
              <w:rPr>
                <w:rFonts w:ascii="仿宋" w:hAnsi="仿宋" w:eastAsia="仿宋" w:cs="仿宋"/>
                <w:kern w:val="0"/>
                <w:sz w:val="24"/>
              </w:rPr>
            </w:pPr>
          </w:p>
        </w:tc>
        <w:tc>
          <w:tcPr>
            <w:tcW w:w="0" w:type="auto"/>
            <w:tcMar>
              <w:top w:w="120" w:type="dxa"/>
              <w:left w:w="120" w:type="dxa"/>
              <w:bottom w:w="120" w:type="dxa"/>
              <w:right w:w="120" w:type="dxa"/>
            </w:tcMar>
            <w:vAlign w:val="center"/>
          </w:tcPr>
          <w:p w14:paraId="1D163760">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团检单位管理 / 结算</w:t>
            </w:r>
          </w:p>
        </w:tc>
      </w:tr>
      <w:tr w14:paraId="012F9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vMerge w:val="continue"/>
            <w:tcMar>
              <w:top w:w="120" w:type="dxa"/>
              <w:left w:w="120" w:type="dxa"/>
              <w:bottom w:w="120" w:type="dxa"/>
              <w:right w:w="120" w:type="dxa"/>
            </w:tcMar>
            <w:vAlign w:val="center"/>
          </w:tcPr>
          <w:p w14:paraId="3165ACA3">
            <w:pPr>
              <w:widowControl/>
              <w:snapToGrid w:val="0"/>
              <w:spacing w:line="360" w:lineRule="auto"/>
              <w:jc w:val="center"/>
              <w:rPr>
                <w:rFonts w:ascii="仿宋" w:hAnsi="仿宋" w:eastAsia="仿宋" w:cs="仿宋"/>
                <w:kern w:val="0"/>
                <w:sz w:val="24"/>
              </w:rPr>
            </w:pPr>
          </w:p>
        </w:tc>
        <w:tc>
          <w:tcPr>
            <w:tcW w:w="0" w:type="auto"/>
            <w:tcMar>
              <w:top w:w="120" w:type="dxa"/>
              <w:left w:w="120" w:type="dxa"/>
              <w:bottom w:w="120" w:type="dxa"/>
              <w:right w:w="120" w:type="dxa"/>
            </w:tcMar>
            <w:vAlign w:val="center"/>
          </w:tcPr>
          <w:p w14:paraId="3A5BF9F2">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职业健康检查管理</w:t>
            </w:r>
          </w:p>
        </w:tc>
      </w:tr>
      <w:tr w14:paraId="008B6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vMerge w:val="continue"/>
            <w:tcMar>
              <w:top w:w="120" w:type="dxa"/>
              <w:left w:w="120" w:type="dxa"/>
              <w:bottom w:w="120" w:type="dxa"/>
              <w:right w:w="120" w:type="dxa"/>
            </w:tcMar>
            <w:vAlign w:val="center"/>
          </w:tcPr>
          <w:p w14:paraId="5888F36E">
            <w:pPr>
              <w:widowControl/>
              <w:snapToGrid w:val="0"/>
              <w:spacing w:line="360" w:lineRule="auto"/>
              <w:jc w:val="center"/>
              <w:rPr>
                <w:rFonts w:ascii="仿宋" w:hAnsi="仿宋" w:eastAsia="仿宋" w:cs="仿宋"/>
                <w:kern w:val="0"/>
                <w:sz w:val="24"/>
              </w:rPr>
            </w:pPr>
          </w:p>
        </w:tc>
        <w:tc>
          <w:tcPr>
            <w:tcW w:w="0" w:type="auto"/>
            <w:tcMar>
              <w:top w:w="120" w:type="dxa"/>
              <w:left w:w="120" w:type="dxa"/>
              <w:bottom w:w="120" w:type="dxa"/>
              <w:right w:w="120" w:type="dxa"/>
            </w:tcMar>
            <w:vAlign w:val="center"/>
          </w:tcPr>
          <w:p w14:paraId="630E8F3E">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体检档案管理</w:t>
            </w:r>
          </w:p>
        </w:tc>
      </w:tr>
      <w:tr w14:paraId="1233B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vMerge w:val="continue"/>
            <w:tcMar>
              <w:top w:w="120" w:type="dxa"/>
              <w:left w:w="120" w:type="dxa"/>
              <w:bottom w:w="120" w:type="dxa"/>
              <w:right w:w="120" w:type="dxa"/>
            </w:tcMar>
            <w:vAlign w:val="center"/>
          </w:tcPr>
          <w:p w14:paraId="2FF3A250">
            <w:pPr>
              <w:widowControl/>
              <w:snapToGrid w:val="0"/>
              <w:spacing w:line="360" w:lineRule="auto"/>
              <w:jc w:val="center"/>
              <w:rPr>
                <w:rFonts w:ascii="仿宋" w:hAnsi="仿宋" w:eastAsia="仿宋" w:cs="仿宋"/>
                <w:kern w:val="0"/>
                <w:sz w:val="24"/>
              </w:rPr>
            </w:pPr>
          </w:p>
        </w:tc>
        <w:tc>
          <w:tcPr>
            <w:tcW w:w="0" w:type="auto"/>
            <w:tcMar>
              <w:top w:w="120" w:type="dxa"/>
              <w:left w:w="120" w:type="dxa"/>
              <w:bottom w:w="120" w:type="dxa"/>
              <w:right w:w="120" w:type="dxa"/>
            </w:tcMar>
            <w:vAlign w:val="center"/>
          </w:tcPr>
          <w:p w14:paraId="14443BFA">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报表统计 / 分析</w:t>
            </w:r>
          </w:p>
        </w:tc>
      </w:tr>
      <w:tr w14:paraId="31A81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vMerge w:val="continue"/>
            <w:tcMar>
              <w:top w:w="120" w:type="dxa"/>
              <w:left w:w="120" w:type="dxa"/>
              <w:bottom w:w="120" w:type="dxa"/>
              <w:right w:w="120" w:type="dxa"/>
            </w:tcMar>
            <w:vAlign w:val="center"/>
          </w:tcPr>
          <w:p w14:paraId="104B1B96">
            <w:pPr>
              <w:widowControl/>
              <w:snapToGrid w:val="0"/>
              <w:spacing w:line="360" w:lineRule="auto"/>
              <w:jc w:val="center"/>
              <w:rPr>
                <w:rFonts w:ascii="仿宋" w:hAnsi="仿宋" w:eastAsia="仿宋" w:cs="仿宋"/>
                <w:kern w:val="0"/>
                <w:sz w:val="24"/>
              </w:rPr>
            </w:pPr>
          </w:p>
        </w:tc>
        <w:tc>
          <w:tcPr>
            <w:tcW w:w="0" w:type="auto"/>
            <w:tcMar>
              <w:top w:w="120" w:type="dxa"/>
              <w:left w:w="120" w:type="dxa"/>
              <w:bottom w:w="120" w:type="dxa"/>
              <w:right w:w="120" w:type="dxa"/>
            </w:tcMar>
            <w:vAlign w:val="center"/>
          </w:tcPr>
          <w:p w14:paraId="0F4EBB7E">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结果查询 / 打印 / 推送</w:t>
            </w:r>
          </w:p>
        </w:tc>
      </w:tr>
      <w:tr w14:paraId="3D150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vMerge w:val="continue"/>
            <w:tcMar>
              <w:top w:w="120" w:type="dxa"/>
              <w:left w:w="120" w:type="dxa"/>
              <w:bottom w:w="120" w:type="dxa"/>
              <w:right w:w="120" w:type="dxa"/>
            </w:tcMar>
            <w:vAlign w:val="center"/>
          </w:tcPr>
          <w:p w14:paraId="0A9B5BEE">
            <w:pPr>
              <w:widowControl/>
              <w:snapToGrid w:val="0"/>
              <w:spacing w:line="360" w:lineRule="auto"/>
              <w:jc w:val="center"/>
              <w:rPr>
                <w:rFonts w:ascii="仿宋" w:hAnsi="仿宋" w:eastAsia="仿宋" w:cs="仿宋"/>
                <w:kern w:val="0"/>
                <w:sz w:val="24"/>
              </w:rPr>
            </w:pPr>
          </w:p>
        </w:tc>
        <w:tc>
          <w:tcPr>
            <w:tcW w:w="0" w:type="auto"/>
            <w:tcMar>
              <w:top w:w="120" w:type="dxa"/>
              <w:left w:w="120" w:type="dxa"/>
              <w:bottom w:w="120" w:type="dxa"/>
              <w:right w:w="120" w:type="dxa"/>
            </w:tcMar>
            <w:vAlign w:val="center"/>
          </w:tcPr>
          <w:p w14:paraId="21947B07">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系统管理 / 权限 / 日志</w:t>
            </w:r>
          </w:p>
        </w:tc>
      </w:tr>
      <w:tr w14:paraId="1D1B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vMerge w:val="restart"/>
            <w:tcMar>
              <w:top w:w="120" w:type="dxa"/>
              <w:left w:w="120" w:type="dxa"/>
              <w:bottom w:w="120" w:type="dxa"/>
              <w:right w:w="120" w:type="dxa"/>
            </w:tcMar>
            <w:vAlign w:val="center"/>
          </w:tcPr>
          <w:p w14:paraId="7A136B82">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接口系统</w:t>
            </w:r>
          </w:p>
        </w:tc>
        <w:tc>
          <w:tcPr>
            <w:tcW w:w="0" w:type="auto"/>
            <w:tcMar>
              <w:top w:w="120" w:type="dxa"/>
              <w:left w:w="120" w:type="dxa"/>
              <w:bottom w:w="120" w:type="dxa"/>
              <w:right w:w="120" w:type="dxa"/>
            </w:tcMar>
            <w:vAlign w:val="center"/>
          </w:tcPr>
          <w:p w14:paraId="60C6E755">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HIS/LIS/PACS/ 电生理 / 检验 / 影像接口</w:t>
            </w:r>
          </w:p>
        </w:tc>
      </w:tr>
      <w:tr w14:paraId="0DBA1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vMerge w:val="continue"/>
            <w:tcMar>
              <w:top w:w="120" w:type="dxa"/>
              <w:left w:w="120" w:type="dxa"/>
              <w:bottom w:w="120" w:type="dxa"/>
              <w:right w:w="120" w:type="dxa"/>
            </w:tcMar>
            <w:vAlign w:val="center"/>
          </w:tcPr>
          <w:p w14:paraId="2879487C">
            <w:pPr>
              <w:widowControl/>
              <w:snapToGrid w:val="0"/>
              <w:spacing w:line="360" w:lineRule="auto"/>
              <w:jc w:val="center"/>
              <w:rPr>
                <w:rFonts w:ascii="仿宋" w:hAnsi="仿宋" w:eastAsia="仿宋" w:cs="仿宋"/>
                <w:kern w:val="0"/>
                <w:sz w:val="24"/>
              </w:rPr>
            </w:pPr>
          </w:p>
        </w:tc>
        <w:tc>
          <w:tcPr>
            <w:tcW w:w="0" w:type="auto"/>
            <w:tcMar>
              <w:top w:w="120" w:type="dxa"/>
              <w:left w:w="120" w:type="dxa"/>
              <w:bottom w:w="120" w:type="dxa"/>
              <w:right w:w="120" w:type="dxa"/>
            </w:tcMar>
            <w:vAlign w:val="center"/>
          </w:tcPr>
          <w:p w14:paraId="2A7EA016">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微信 / 公众号 / 小程序接口</w:t>
            </w:r>
          </w:p>
        </w:tc>
      </w:tr>
      <w:tr w14:paraId="6488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vMerge w:val="continue"/>
            <w:tcMar>
              <w:top w:w="120" w:type="dxa"/>
              <w:left w:w="120" w:type="dxa"/>
              <w:bottom w:w="120" w:type="dxa"/>
              <w:right w:w="120" w:type="dxa"/>
            </w:tcMar>
            <w:vAlign w:val="center"/>
          </w:tcPr>
          <w:p w14:paraId="673AB1BE">
            <w:pPr>
              <w:widowControl/>
              <w:snapToGrid w:val="0"/>
              <w:spacing w:line="360" w:lineRule="auto"/>
              <w:jc w:val="center"/>
              <w:rPr>
                <w:rFonts w:ascii="仿宋" w:hAnsi="仿宋" w:eastAsia="仿宋" w:cs="仿宋"/>
                <w:kern w:val="0"/>
                <w:sz w:val="24"/>
              </w:rPr>
            </w:pPr>
          </w:p>
        </w:tc>
        <w:tc>
          <w:tcPr>
            <w:tcW w:w="0" w:type="auto"/>
            <w:tcMar>
              <w:top w:w="120" w:type="dxa"/>
              <w:left w:w="120" w:type="dxa"/>
              <w:bottom w:w="120" w:type="dxa"/>
              <w:right w:w="120" w:type="dxa"/>
            </w:tcMar>
            <w:vAlign w:val="center"/>
          </w:tcPr>
          <w:p w14:paraId="396045F8">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体检导检系统接口</w:t>
            </w:r>
          </w:p>
        </w:tc>
      </w:tr>
      <w:tr w14:paraId="6A54E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tcMar>
              <w:top w:w="120" w:type="dxa"/>
              <w:left w:w="120" w:type="dxa"/>
              <w:bottom w:w="120" w:type="dxa"/>
              <w:right w:w="120" w:type="dxa"/>
            </w:tcMar>
            <w:vAlign w:val="center"/>
          </w:tcPr>
          <w:p w14:paraId="68024D56">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配套</w:t>
            </w:r>
          </w:p>
        </w:tc>
        <w:tc>
          <w:tcPr>
            <w:tcW w:w="0" w:type="auto"/>
            <w:tcMar>
              <w:top w:w="120" w:type="dxa"/>
              <w:left w:w="120" w:type="dxa"/>
              <w:bottom w:w="120" w:type="dxa"/>
              <w:right w:w="120" w:type="dxa"/>
            </w:tcMar>
            <w:vAlign w:val="center"/>
          </w:tcPr>
          <w:p w14:paraId="26C783C5">
            <w:pPr>
              <w:widowControl/>
              <w:snapToGrid w:val="0"/>
              <w:spacing w:line="360" w:lineRule="auto"/>
              <w:jc w:val="center"/>
              <w:rPr>
                <w:rFonts w:ascii="仿宋" w:hAnsi="仿宋" w:eastAsia="仿宋" w:cs="仿宋"/>
                <w:kern w:val="0"/>
                <w:sz w:val="24"/>
              </w:rPr>
            </w:pPr>
            <w:r>
              <w:rPr>
                <w:rFonts w:hint="eastAsia" w:ascii="仿宋" w:hAnsi="仿宋" w:eastAsia="仿宋" w:cs="仿宋"/>
                <w:kern w:val="0"/>
                <w:sz w:val="24"/>
              </w:rPr>
              <w:t>报告打印机、自助机、服务器</w:t>
            </w:r>
          </w:p>
        </w:tc>
      </w:tr>
    </w:tbl>
    <w:p w14:paraId="276AC3F9">
      <w:pPr>
        <w:snapToGrid w:val="0"/>
        <w:spacing w:line="360" w:lineRule="auto"/>
        <w:ind w:firstLine="480" w:firstLineChars="200"/>
        <w:jc w:val="left"/>
        <w:rPr>
          <w:rFonts w:ascii="仿宋" w:hAnsi="仿宋" w:eastAsia="仿宋" w:cs="仿宋"/>
          <w:sz w:val="24"/>
        </w:rPr>
      </w:pPr>
    </w:p>
    <w:p w14:paraId="723DEEA4">
      <w:pPr>
        <w:snapToGrid w:val="0"/>
        <w:spacing w:line="360" w:lineRule="auto"/>
        <w:jc w:val="left"/>
        <w:rPr>
          <w:rFonts w:ascii="仿宋" w:hAnsi="仿宋" w:eastAsia="仿宋" w:cs="仿宋"/>
          <w:sz w:val="24"/>
        </w:rPr>
      </w:pPr>
      <w:r>
        <w:rPr>
          <w:rFonts w:hint="eastAsia" w:ascii="仿宋" w:hAnsi="仿宋" w:eastAsia="仿宋" w:cs="仿宋"/>
          <w:b/>
          <w:sz w:val="24"/>
        </w:rPr>
        <w:t>3. 故障分级标准及服务级别协议（SLA）要求</w:t>
      </w:r>
    </w:p>
    <w:p w14:paraId="02D8851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结合医疗行业业务连续性要求、《医疗卫生机构网络安全管理办法》事件分级标准，制定四级故障分级与刚性SLA要求，服务商须提供7×24小时全时段服务，工作日、节假日、夜间执行统一响应与处置标准，具体如下：</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77"/>
        <w:gridCol w:w="1720"/>
        <w:gridCol w:w="3442"/>
        <w:gridCol w:w="3199"/>
      </w:tblGrid>
      <w:tr w14:paraId="1BCCF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6B42802E">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941" w:type="pct"/>
            <w:tcMar>
              <w:top w:w="60" w:type="dxa"/>
              <w:left w:w="120" w:type="dxa"/>
              <w:bottom w:w="30" w:type="dxa"/>
              <w:right w:w="120" w:type="dxa"/>
            </w:tcMar>
            <w:vAlign w:val="center"/>
          </w:tcPr>
          <w:p w14:paraId="78F4AA4A">
            <w:pPr>
              <w:snapToGrid w:val="0"/>
              <w:spacing w:line="360" w:lineRule="auto"/>
              <w:jc w:val="center"/>
              <w:rPr>
                <w:rFonts w:ascii="仿宋" w:hAnsi="仿宋" w:eastAsia="仿宋" w:cs="仿宋"/>
                <w:b/>
                <w:sz w:val="24"/>
              </w:rPr>
            </w:pPr>
            <w:r>
              <w:rPr>
                <w:rFonts w:hint="eastAsia" w:ascii="仿宋" w:hAnsi="仿宋" w:eastAsia="仿宋" w:cs="仿宋"/>
                <w:b/>
                <w:sz w:val="24"/>
              </w:rPr>
              <w:t>故障等级</w:t>
            </w:r>
          </w:p>
        </w:tc>
        <w:tc>
          <w:tcPr>
            <w:tcW w:w="1883" w:type="pct"/>
            <w:tcMar>
              <w:top w:w="60" w:type="dxa"/>
              <w:left w:w="120" w:type="dxa"/>
              <w:bottom w:w="30" w:type="dxa"/>
              <w:right w:w="120" w:type="dxa"/>
            </w:tcMar>
            <w:vAlign w:val="center"/>
          </w:tcPr>
          <w:p w14:paraId="16319BC2">
            <w:pPr>
              <w:snapToGrid w:val="0"/>
              <w:spacing w:line="360" w:lineRule="auto"/>
              <w:jc w:val="center"/>
              <w:rPr>
                <w:rFonts w:ascii="仿宋" w:hAnsi="仿宋" w:eastAsia="仿宋" w:cs="仿宋"/>
                <w:b/>
                <w:sz w:val="24"/>
              </w:rPr>
            </w:pPr>
            <w:r>
              <w:rPr>
                <w:rFonts w:hint="eastAsia" w:ascii="仿宋" w:hAnsi="仿宋" w:eastAsia="仿宋" w:cs="仿宋"/>
                <w:b/>
                <w:sz w:val="24"/>
              </w:rPr>
              <w:t>故障情况描述</w:t>
            </w:r>
          </w:p>
        </w:tc>
        <w:tc>
          <w:tcPr>
            <w:tcW w:w="1750" w:type="pct"/>
            <w:tcMar>
              <w:top w:w="60" w:type="dxa"/>
              <w:left w:w="120" w:type="dxa"/>
              <w:bottom w:w="30" w:type="dxa"/>
              <w:right w:w="120" w:type="dxa"/>
            </w:tcMar>
            <w:vAlign w:val="center"/>
          </w:tcPr>
          <w:p w14:paraId="54CA6A05">
            <w:pPr>
              <w:snapToGrid w:val="0"/>
              <w:spacing w:line="360" w:lineRule="auto"/>
              <w:jc w:val="center"/>
              <w:rPr>
                <w:rFonts w:ascii="仿宋" w:hAnsi="仿宋" w:eastAsia="仿宋" w:cs="仿宋"/>
                <w:b/>
                <w:sz w:val="24"/>
              </w:rPr>
            </w:pPr>
            <w:r>
              <w:rPr>
                <w:rFonts w:hint="eastAsia" w:ascii="仿宋" w:hAnsi="仿宋" w:eastAsia="仿宋" w:cs="仿宋"/>
                <w:b/>
                <w:sz w:val="24"/>
              </w:rPr>
              <w:t>刚性SLA要求</w:t>
            </w:r>
          </w:p>
        </w:tc>
      </w:tr>
      <w:tr w14:paraId="07083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3179F9DA">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941" w:type="pct"/>
            <w:tcMar>
              <w:top w:w="60" w:type="dxa"/>
              <w:left w:w="120" w:type="dxa"/>
              <w:bottom w:w="30" w:type="dxa"/>
              <w:right w:w="120" w:type="dxa"/>
            </w:tcMar>
            <w:vAlign w:val="center"/>
          </w:tcPr>
          <w:p w14:paraId="7BFA19F7">
            <w:pPr>
              <w:snapToGrid w:val="0"/>
              <w:spacing w:line="360" w:lineRule="auto"/>
              <w:jc w:val="center"/>
              <w:rPr>
                <w:rFonts w:ascii="仿宋" w:hAnsi="仿宋" w:eastAsia="仿宋" w:cs="仿宋"/>
                <w:sz w:val="24"/>
              </w:rPr>
            </w:pPr>
            <w:r>
              <w:rPr>
                <w:rFonts w:hint="eastAsia" w:ascii="仿宋" w:hAnsi="仿宋" w:eastAsia="仿宋" w:cs="仿宋"/>
                <w:sz w:val="24"/>
              </w:rPr>
              <w:t>一级故障（重大）</w:t>
            </w:r>
          </w:p>
        </w:tc>
        <w:tc>
          <w:tcPr>
            <w:tcW w:w="1883" w:type="pct"/>
            <w:tcMar>
              <w:top w:w="60" w:type="dxa"/>
              <w:left w:w="120" w:type="dxa"/>
              <w:bottom w:w="30" w:type="dxa"/>
              <w:right w:w="120" w:type="dxa"/>
            </w:tcMar>
          </w:tcPr>
          <w:p w14:paraId="40BDF08A">
            <w:pPr>
              <w:snapToGrid w:val="0"/>
              <w:spacing w:line="360" w:lineRule="auto"/>
              <w:jc w:val="left"/>
              <w:rPr>
                <w:rFonts w:ascii="仿宋" w:hAnsi="仿宋" w:eastAsia="仿宋" w:cs="仿宋"/>
                <w:sz w:val="24"/>
              </w:rPr>
            </w:pPr>
            <w:r>
              <w:rPr>
                <w:rFonts w:hint="eastAsia" w:ascii="仿宋" w:hAnsi="仿宋" w:eastAsia="仿宋" w:cs="仿宋"/>
                <w:sz w:val="24"/>
              </w:rPr>
              <w:t>1. 系统核心服务瘫痪，导致业务中断，多部门终端无法办理业务，严重影响医院正常医疗秩序；</w:t>
            </w:r>
          </w:p>
          <w:p w14:paraId="79BF98F4">
            <w:pPr>
              <w:snapToGrid w:val="0"/>
              <w:spacing w:line="360" w:lineRule="auto"/>
              <w:jc w:val="left"/>
              <w:rPr>
                <w:rFonts w:ascii="仿宋" w:hAnsi="仿宋" w:eastAsia="仿宋" w:cs="仿宋"/>
                <w:sz w:val="24"/>
              </w:rPr>
            </w:pPr>
            <w:r>
              <w:rPr>
                <w:rFonts w:hint="eastAsia" w:ascii="仿宋" w:hAnsi="仿宋" w:eastAsia="仿宋" w:cs="仿宋"/>
                <w:sz w:val="24"/>
              </w:rPr>
              <w:t>2. 系统与HIS、EMR、PACS等核心系统接口完全中断，导致业务数据无法传输，严重影响医院正常医疗秩序</w:t>
            </w:r>
          </w:p>
          <w:p w14:paraId="599B24E2">
            <w:pPr>
              <w:snapToGrid w:val="0"/>
              <w:spacing w:line="360" w:lineRule="auto"/>
              <w:jc w:val="left"/>
              <w:rPr>
                <w:rFonts w:ascii="仿宋" w:hAnsi="仿宋" w:eastAsia="仿宋" w:cs="仿宋"/>
                <w:sz w:val="24"/>
              </w:rPr>
            </w:pPr>
            <w:r>
              <w:rPr>
                <w:rFonts w:hint="eastAsia" w:ascii="仿宋" w:hAnsi="仿宋" w:eastAsia="仿宋" w:cs="仿宋"/>
                <w:sz w:val="24"/>
              </w:rPr>
              <w:t>3.  发生患者个人信息批量泄露、医疗数据被篡改/丢失等重大数据安全事件；</w:t>
            </w:r>
          </w:p>
          <w:p w14:paraId="17D5C69F">
            <w:pPr>
              <w:snapToGrid w:val="0"/>
              <w:spacing w:line="360" w:lineRule="auto"/>
              <w:jc w:val="left"/>
              <w:rPr>
                <w:rFonts w:ascii="仿宋" w:hAnsi="仿宋" w:eastAsia="仿宋" w:cs="仿宋"/>
                <w:sz w:val="24"/>
              </w:rPr>
            </w:pPr>
            <w:r>
              <w:rPr>
                <w:rFonts w:hint="eastAsia" w:ascii="仿宋" w:hAnsi="仿宋" w:eastAsia="仿宋" w:cs="仿宋"/>
                <w:sz w:val="24"/>
              </w:rPr>
              <w:t>4. 系统被非法入侵、攻击，出现高危安全漏洞，威胁医院整体网络安全。</w:t>
            </w:r>
          </w:p>
        </w:tc>
        <w:tc>
          <w:tcPr>
            <w:tcW w:w="1750" w:type="pct"/>
            <w:tcMar>
              <w:top w:w="60" w:type="dxa"/>
              <w:left w:w="120" w:type="dxa"/>
              <w:bottom w:w="30" w:type="dxa"/>
              <w:right w:w="120" w:type="dxa"/>
            </w:tcMar>
          </w:tcPr>
          <w:p w14:paraId="35114A6A">
            <w:pPr>
              <w:snapToGrid w:val="0"/>
              <w:spacing w:line="360" w:lineRule="auto"/>
              <w:jc w:val="left"/>
              <w:rPr>
                <w:rFonts w:ascii="仿宋" w:hAnsi="仿宋" w:eastAsia="仿宋" w:cs="仿宋"/>
                <w:sz w:val="24"/>
              </w:rPr>
            </w:pPr>
            <w:r>
              <w:rPr>
                <w:rFonts w:hint="eastAsia" w:ascii="仿宋" w:hAnsi="仿宋" w:eastAsia="仿宋" w:cs="仿宋"/>
                <w:sz w:val="24"/>
              </w:rPr>
              <w:t>1. 10分钟内必须响应，与采购人明确故障情况，出具应急处置方案；</w:t>
            </w:r>
          </w:p>
          <w:p w14:paraId="504B66DB">
            <w:pPr>
              <w:snapToGrid w:val="0"/>
              <w:spacing w:line="360" w:lineRule="auto"/>
              <w:jc w:val="left"/>
              <w:rPr>
                <w:rFonts w:ascii="仿宋" w:hAnsi="仿宋" w:eastAsia="仿宋" w:cs="仿宋"/>
                <w:sz w:val="24"/>
              </w:rPr>
            </w:pPr>
            <w:r>
              <w:rPr>
                <w:rFonts w:hint="eastAsia" w:ascii="仿宋" w:hAnsi="仿宋" w:eastAsia="仿宋" w:cs="仿宋"/>
                <w:sz w:val="24"/>
              </w:rPr>
              <w:t>2. 4小时内派驻具备资质的技术人员到达现场；</w:t>
            </w:r>
          </w:p>
          <w:p w14:paraId="06B9C75F">
            <w:pPr>
              <w:snapToGrid w:val="0"/>
              <w:spacing w:line="360" w:lineRule="auto"/>
              <w:jc w:val="left"/>
              <w:rPr>
                <w:rFonts w:ascii="仿宋" w:hAnsi="仿宋" w:eastAsia="仿宋" w:cs="仿宋"/>
                <w:sz w:val="24"/>
              </w:rPr>
            </w:pPr>
            <w:r>
              <w:rPr>
                <w:rFonts w:hint="eastAsia" w:ascii="仿宋" w:hAnsi="仿宋" w:eastAsia="仿宋" w:cs="仿宋"/>
                <w:sz w:val="24"/>
              </w:rPr>
              <w:t>3. 6小时内完成故障修复，恢复系统核心业务正常运行；</w:t>
            </w:r>
          </w:p>
          <w:p w14:paraId="05AC681B">
            <w:pPr>
              <w:snapToGrid w:val="0"/>
              <w:spacing w:line="360" w:lineRule="auto"/>
              <w:jc w:val="left"/>
              <w:rPr>
                <w:rFonts w:ascii="仿宋" w:hAnsi="仿宋" w:eastAsia="仿宋" w:cs="仿宋"/>
                <w:sz w:val="24"/>
              </w:rPr>
            </w:pPr>
            <w:r>
              <w:rPr>
                <w:rFonts w:hint="eastAsia" w:ascii="仿宋" w:hAnsi="仿宋" w:eastAsia="仿宋" w:cs="仿宋"/>
                <w:sz w:val="24"/>
              </w:rPr>
              <w:t>4. 无法在时限内完全修复的，须提供临时应急方案保障业务连续性，直至系统完全恢复；</w:t>
            </w:r>
          </w:p>
          <w:p w14:paraId="15CA82DA">
            <w:pPr>
              <w:snapToGrid w:val="0"/>
              <w:spacing w:line="360" w:lineRule="auto"/>
              <w:jc w:val="left"/>
              <w:rPr>
                <w:rFonts w:ascii="仿宋" w:hAnsi="仿宋" w:eastAsia="仿宋" w:cs="仿宋"/>
                <w:sz w:val="24"/>
              </w:rPr>
            </w:pPr>
            <w:r>
              <w:rPr>
                <w:rFonts w:hint="eastAsia" w:ascii="仿宋" w:hAnsi="仿宋" w:eastAsia="仿宋" w:cs="仿宋"/>
                <w:sz w:val="24"/>
              </w:rPr>
              <w:t>5. 故障处置完成后24小时内提交正式故障分析与复盘报告。</w:t>
            </w:r>
          </w:p>
        </w:tc>
      </w:tr>
      <w:tr w14:paraId="7B6F2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30554179">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941" w:type="pct"/>
            <w:tcMar>
              <w:top w:w="60" w:type="dxa"/>
              <w:left w:w="120" w:type="dxa"/>
              <w:bottom w:w="30" w:type="dxa"/>
              <w:right w:w="120" w:type="dxa"/>
            </w:tcMar>
            <w:vAlign w:val="center"/>
          </w:tcPr>
          <w:p w14:paraId="2E718882">
            <w:pPr>
              <w:snapToGrid w:val="0"/>
              <w:spacing w:line="360" w:lineRule="auto"/>
              <w:jc w:val="center"/>
              <w:rPr>
                <w:rFonts w:ascii="仿宋" w:hAnsi="仿宋" w:eastAsia="仿宋" w:cs="仿宋"/>
                <w:sz w:val="24"/>
              </w:rPr>
            </w:pPr>
            <w:r>
              <w:rPr>
                <w:rFonts w:hint="eastAsia" w:ascii="仿宋" w:hAnsi="仿宋" w:eastAsia="仿宋" w:cs="仿宋"/>
                <w:sz w:val="24"/>
              </w:rPr>
              <w:t>二级故障（严重）</w:t>
            </w:r>
          </w:p>
        </w:tc>
        <w:tc>
          <w:tcPr>
            <w:tcW w:w="1883" w:type="pct"/>
            <w:tcMar>
              <w:top w:w="60" w:type="dxa"/>
              <w:left w:w="120" w:type="dxa"/>
              <w:bottom w:w="30" w:type="dxa"/>
              <w:right w:w="120" w:type="dxa"/>
            </w:tcMar>
          </w:tcPr>
          <w:p w14:paraId="55D7CE6D">
            <w:pPr>
              <w:snapToGrid w:val="0"/>
              <w:spacing w:line="360" w:lineRule="auto"/>
              <w:jc w:val="left"/>
              <w:rPr>
                <w:rFonts w:ascii="仿宋" w:hAnsi="仿宋" w:eastAsia="仿宋" w:cs="仿宋"/>
                <w:sz w:val="24"/>
              </w:rPr>
            </w:pPr>
            <w:r>
              <w:rPr>
                <w:rFonts w:hint="eastAsia" w:ascii="仿宋" w:hAnsi="仿宋" w:eastAsia="仿宋" w:cs="仿宋"/>
                <w:sz w:val="24"/>
              </w:rPr>
              <w:t>1. 系统操作性能严重降级，核心功能响应延迟超500%，严重影响医生操作与患者业务办理；</w:t>
            </w:r>
          </w:p>
          <w:p w14:paraId="53395A22">
            <w:pPr>
              <w:snapToGrid w:val="0"/>
              <w:spacing w:line="360" w:lineRule="auto"/>
              <w:jc w:val="left"/>
              <w:rPr>
                <w:rFonts w:ascii="仿宋" w:hAnsi="仿宋" w:eastAsia="仿宋" w:cs="仿宋"/>
                <w:sz w:val="24"/>
              </w:rPr>
            </w:pPr>
            <w:r>
              <w:rPr>
                <w:rFonts w:hint="eastAsia" w:ascii="仿宋" w:hAnsi="仿宋" w:eastAsia="仿宋" w:cs="仿宋"/>
                <w:sz w:val="24"/>
              </w:rPr>
              <w:t>2. 核心科室、门诊3个及以上科室系统无法正常使用，影响大面积患者就医；</w:t>
            </w:r>
          </w:p>
          <w:p w14:paraId="10DE7C5E">
            <w:pPr>
              <w:snapToGrid w:val="0"/>
              <w:spacing w:line="360" w:lineRule="auto"/>
              <w:jc w:val="left"/>
              <w:rPr>
                <w:rFonts w:ascii="仿宋" w:hAnsi="仿宋" w:eastAsia="仿宋" w:cs="仿宋"/>
                <w:sz w:val="24"/>
              </w:rPr>
            </w:pPr>
            <w:r>
              <w:rPr>
                <w:rFonts w:hint="eastAsia" w:ascii="仿宋" w:hAnsi="仿宋" w:eastAsia="仿宋" w:cs="仿宋"/>
                <w:sz w:val="24"/>
              </w:rPr>
              <w:t>3. 系统出现数据异常、统计错误，影响医疗业务正常开展，存在数据安全隐患。</w:t>
            </w:r>
          </w:p>
        </w:tc>
        <w:tc>
          <w:tcPr>
            <w:tcW w:w="1750" w:type="pct"/>
            <w:tcMar>
              <w:top w:w="60" w:type="dxa"/>
              <w:left w:w="120" w:type="dxa"/>
              <w:bottom w:w="30" w:type="dxa"/>
              <w:right w:w="120" w:type="dxa"/>
            </w:tcMar>
          </w:tcPr>
          <w:p w14:paraId="1C9C5FF7">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30分钟内必须响应，出具初步处置方案；</w:t>
            </w:r>
          </w:p>
          <w:p w14:paraId="50EC5236">
            <w:pPr>
              <w:snapToGrid w:val="0"/>
              <w:spacing w:line="360" w:lineRule="auto"/>
              <w:jc w:val="left"/>
              <w:rPr>
                <w:rFonts w:ascii="仿宋" w:hAnsi="仿宋" w:eastAsia="仿宋" w:cs="仿宋"/>
                <w:sz w:val="24"/>
              </w:rPr>
            </w:pPr>
            <w:r>
              <w:rPr>
                <w:rFonts w:hint="eastAsia" w:ascii="仿宋" w:hAnsi="仿宋" w:eastAsia="仿宋" w:cs="仿宋"/>
                <w:sz w:val="24"/>
              </w:rPr>
              <w:t>2. 6小时内到达现场或通过安全远程方式完成故障处置；</w:t>
            </w:r>
          </w:p>
          <w:p w14:paraId="3653A4D2">
            <w:pPr>
              <w:snapToGrid w:val="0"/>
              <w:spacing w:line="360" w:lineRule="auto"/>
              <w:jc w:val="left"/>
              <w:rPr>
                <w:rFonts w:ascii="仿宋" w:hAnsi="仿宋" w:eastAsia="仿宋" w:cs="仿宋"/>
                <w:sz w:val="24"/>
              </w:rPr>
            </w:pPr>
            <w:r>
              <w:rPr>
                <w:rFonts w:hint="eastAsia" w:ascii="仿宋" w:hAnsi="仿宋" w:eastAsia="仿宋" w:cs="仿宋"/>
                <w:sz w:val="24"/>
              </w:rPr>
              <w:t>3. 12小时内完成故障修复，系统恢复正常运行；</w:t>
            </w:r>
          </w:p>
          <w:p w14:paraId="0E35CB96">
            <w:pPr>
              <w:snapToGrid w:val="0"/>
              <w:spacing w:line="360" w:lineRule="auto"/>
              <w:jc w:val="left"/>
              <w:rPr>
                <w:rFonts w:ascii="仿宋" w:hAnsi="仿宋" w:eastAsia="仿宋" w:cs="仿宋"/>
                <w:sz w:val="24"/>
              </w:rPr>
            </w:pPr>
            <w:r>
              <w:rPr>
                <w:rFonts w:hint="eastAsia" w:ascii="仿宋" w:hAnsi="仿宋" w:eastAsia="仿宋" w:cs="仿宋"/>
                <w:sz w:val="24"/>
              </w:rPr>
              <w:t>4. 故障处置完成后3个工作日内提交故障分析报告。</w:t>
            </w:r>
          </w:p>
        </w:tc>
      </w:tr>
      <w:tr w14:paraId="67784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212" w:hRule="atLeast"/>
        </w:trPr>
        <w:tc>
          <w:tcPr>
            <w:tcW w:w="425" w:type="pct"/>
            <w:tcMar>
              <w:top w:w="60" w:type="dxa"/>
              <w:left w:w="120" w:type="dxa"/>
              <w:bottom w:w="30" w:type="dxa"/>
              <w:right w:w="120" w:type="dxa"/>
            </w:tcMar>
            <w:vAlign w:val="center"/>
          </w:tcPr>
          <w:p w14:paraId="48ED1E0C">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941" w:type="pct"/>
            <w:tcMar>
              <w:top w:w="60" w:type="dxa"/>
              <w:left w:w="120" w:type="dxa"/>
              <w:bottom w:w="30" w:type="dxa"/>
              <w:right w:w="120" w:type="dxa"/>
            </w:tcMar>
            <w:vAlign w:val="center"/>
          </w:tcPr>
          <w:p w14:paraId="0B74311F">
            <w:pPr>
              <w:snapToGrid w:val="0"/>
              <w:spacing w:line="360" w:lineRule="auto"/>
              <w:jc w:val="center"/>
              <w:rPr>
                <w:rFonts w:ascii="仿宋" w:hAnsi="仿宋" w:eastAsia="仿宋" w:cs="仿宋"/>
                <w:sz w:val="24"/>
              </w:rPr>
            </w:pPr>
            <w:r>
              <w:rPr>
                <w:rFonts w:hint="eastAsia" w:ascii="仿宋" w:hAnsi="仿宋" w:eastAsia="仿宋" w:cs="仿宋"/>
                <w:sz w:val="24"/>
              </w:rPr>
              <w:t>三级故障（一般）</w:t>
            </w:r>
          </w:p>
        </w:tc>
        <w:tc>
          <w:tcPr>
            <w:tcW w:w="1883" w:type="pct"/>
            <w:tcMar>
              <w:top w:w="60" w:type="dxa"/>
              <w:left w:w="120" w:type="dxa"/>
              <w:bottom w:w="30" w:type="dxa"/>
              <w:right w:w="120" w:type="dxa"/>
            </w:tcMar>
          </w:tcPr>
          <w:p w14:paraId="1B688A0C">
            <w:pPr>
              <w:snapToGrid w:val="0"/>
              <w:spacing w:line="360" w:lineRule="auto"/>
              <w:jc w:val="left"/>
              <w:rPr>
                <w:rFonts w:ascii="仿宋" w:hAnsi="仿宋" w:eastAsia="仿宋" w:cs="仿宋"/>
                <w:sz w:val="24"/>
              </w:rPr>
            </w:pPr>
            <w:r>
              <w:rPr>
                <w:rFonts w:hint="eastAsia" w:ascii="仿宋" w:hAnsi="仿宋" w:eastAsia="仿宋" w:cs="仿宋"/>
                <w:sz w:val="24"/>
              </w:rPr>
              <w:t>1. 系统非核心功能受损，仅影响单个科室/少量终端使用，医院核心业务可正常开展；</w:t>
            </w:r>
          </w:p>
          <w:p w14:paraId="678B0496">
            <w:pPr>
              <w:snapToGrid w:val="0"/>
              <w:spacing w:line="360" w:lineRule="auto"/>
              <w:jc w:val="left"/>
              <w:rPr>
                <w:rFonts w:ascii="仿宋" w:hAnsi="仿宋" w:eastAsia="仿宋" w:cs="仿宋"/>
                <w:sz w:val="24"/>
              </w:rPr>
            </w:pPr>
            <w:r>
              <w:rPr>
                <w:rFonts w:hint="eastAsia" w:ascii="仿宋" w:hAnsi="仿宋" w:eastAsia="仿宋" w:cs="仿宋"/>
                <w:sz w:val="24"/>
              </w:rPr>
              <w:t>2. 系统出现局部数据异常、报表统计偏差，不影响核心业务办理；</w:t>
            </w:r>
          </w:p>
          <w:p w14:paraId="38C5433C">
            <w:pPr>
              <w:snapToGrid w:val="0"/>
              <w:spacing w:line="360" w:lineRule="auto"/>
              <w:jc w:val="left"/>
              <w:rPr>
                <w:rFonts w:ascii="仿宋" w:hAnsi="仿宋" w:eastAsia="仿宋" w:cs="仿宋"/>
                <w:sz w:val="24"/>
              </w:rPr>
            </w:pPr>
            <w:r>
              <w:rPr>
                <w:rFonts w:hint="eastAsia" w:ascii="仿宋" w:hAnsi="仿宋" w:eastAsia="仿宋" w:cs="仿宋"/>
                <w:sz w:val="24"/>
              </w:rPr>
              <w:t>3.配套设备故障，不影响整体业务流程。</w:t>
            </w:r>
          </w:p>
        </w:tc>
        <w:tc>
          <w:tcPr>
            <w:tcW w:w="1750" w:type="pct"/>
            <w:tcMar>
              <w:top w:w="60" w:type="dxa"/>
              <w:left w:w="120" w:type="dxa"/>
              <w:bottom w:w="30" w:type="dxa"/>
              <w:right w:w="120" w:type="dxa"/>
            </w:tcMar>
          </w:tcPr>
          <w:p w14:paraId="50FCDC2B">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30分钟内必须响应，出具处置方案；</w:t>
            </w:r>
          </w:p>
          <w:p w14:paraId="1F3D6D78">
            <w:pPr>
              <w:snapToGrid w:val="0"/>
              <w:spacing w:line="360" w:lineRule="auto"/>
              <w:jc w:val="left"/>
              <w:rPr>
                <w:rFonts w:ascii="仿宋" w:hAnsi="仿宋" w:eastAsia="仿宋" w:cs="仿宋"/>
                <w:sz w:val="24"/>
              </w:rPr>
            </w:pPr>
            <w:r>
              <w:rPr>
                <w:rFonts w:hint="eastAsia" w:ascii="仿宋" w:hAnsi="仿宋" w:eastAsia="仿宋" w:cs="仿宋"/>
                <w:sz w:val="24"/>
              </w:rPr>
              <w:t>2. 12小时内到达现场或通过远程方式完成故障处置；</w:t>
            </w:r>
          </w:p>
          <w:p w14:paraId="37227724">
            <w:pPr>
              <w:snapToGrid w:val="0"/>
              <w:spacing w:line="360" w:lineRule="auto"/>
              <w:jc w:val="left"/>
              <w:rPr>
                <w:rFonts w:ascii="仿宋" w:hAnsi="仿宋" w:eastAsia="仿宋" w:cs="仿宋"/>
                <w:sz w:val="24"/>
              </w:rPr>
            </w:pPr>
            <w:r>
              <w:rPr>
                <w:rFonts w:hint="eastAsia" w:ascii="仿宋" w:hAnsi="仿宋" w:eastAsia="仿宋" w:cs="仿宋"/>
                <w:sz w:val="24"/>
              </w:rPr>
              <w:t>3. 24小时内完成故障修复，闭环处置问题。</w:t>
            </w:r>
          </w:p>
        </w:tc>
      </w:tr>
      <w:tr w14:paraId="2C27C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4387B4CC">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941" w:type="pct"/>
            <w:tcMar>
              <w:top w:w="60" w:type="dxa"/>
              <w:left w:w="120" w:type="dxa"/>
              <w:bottom w:w="30" w:type="dxa"/>
              <w:right w:w="120" w:type="dxa"/>
            </w:tcMar>
            <w:vAlign w:val="center"/>
          </w:tcPr>
          <w:p w14:paraId="101AF065">
            <w:pPr>
              <w:snapToGrid w:val="0"/>
              <w:spacing w:line="360" w:lineRule="auto"/>
              <w:jc w:val="center"/>
              <w:rPr>
                <w:rFonts w:ascii="仿宋" w:hAnsi="仿宋" w:eastAsia="仿宋" w:cs="仿宋"/>
                <w:sz w:val="24"/>
              </w:rPr>
            </w:pPr>
            <w:r>
              <w:rPr>
                <w:rFonts w:hint="eastAsia" w:ascii="仿宋" w:hAnsi="仿宋" w:eastAsia="仿宋" w:cs="仿宋"/>
                <w:sz w:val="24"/>
              </w:rPr>
              <w:t>四级故障（轻微）</w:t>
            </w:r>
          </w:p>
        </w:tc>
        <w:tc>
          <w:tcPr>
            <w:tcW w:w="1883" w:type="pct"/>
            <w:tcMar>
              <w:top w:w="60" w:type="dxa"/>
              <w:left w:w="120" w:type="dxa"/>
              <w:bottom w:w="30" w:type="dxa"/>
              <w:right w:w="120" w:type="dxa"/>
            </w:tcMar>
          </w:tcPr>
          <w:p w14:paraId="51B455FD">
            <w:pPr>
              <w:snapToGrid w:val="0"/>
              <w:spacing w:line="360" w:lineRule="auto"/>
              <w:jc w:val="left"/>
              <w:rPr>
                <w:rFonts w:ascii="仿宋" w:hAnsi="仿宋" w:eastAsia="仿宋" w:cs="仿宋"/>
                <w:sz w:val="24"/>
              </w:rPr>
            </w:pPr>
            <w:r>
              <w:rPr>
                <w:rFonts w:hint="eastAsia" w:ascii="仿宋" w:hAnsi="仿宋" w:eastAsia="仿宋" w:cs="仿宋"/>
                <w:sz w:val="24"/>
              </w:rPr>
              <w:t>1. 系统出现一般性操作问题、界面显示异常，对患者就医、系统运行几乎无影响；</w:t>
            </w:r>
          </w:p>
          <w:p w14:paraId="6CB8B6E6">
            <w:pPr>
              <w:snapToGrid w:val="0"/>
              <w:spacing w:line="360" w:lineRule="auto"/>
              <w:jc w:val="left"/>
              <w:rPr>
                <w:rFonts w:ascii="仿宋" w:hAnsi="仿宋" w:eastAsia="仿宋" w:cs="仿宋"/>
                <w:sz w:val="24"/>
              </w:rPr>
            </w:pPr>
            <w:r>
              <w:rPr>
                <w:rFonts w:hint="eastAsia" w:ascii="仿宋" w:hAnsi="仿宋" w:eastAsia="仿宋" w:cs="仿宋"/>
                <w:sz w:val="24"/>
              </w:rPr>
              <w:t>2. 医护人员提出的系统操作咨询、功能配置调整等非故障类服务请求。</w:t>
            </w:r>
          </w:p>
        </w:tc>
        <w:tc>
          <w:tcPr>
            <w:tcW w:w="1750" w:type="pct"/>
            <w:tcMar>
              <w:top w:w="60" w:type="dxa"/>
              <w:left w:w="120" w:type="dxa"/>
              <w:bottom w:w="30" w:type="dxa"/>
              <w:right w:w="120" w:type="dxa"/>
            </w:tcMar>
          </w:tcPr>
          <w:p w14:paraId="19225A8B">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30分钟内必须响应，提供技术指导与解决方案；</w:t>
            </w:r>
          </w:p>
          <w:p w14:paraId="6BBDC739">
            <w:pPr>
              <w:snapToGrid w:val="0"/>
              <w:spacing w:line="360" w:lineRule="auto"/>
              <w:jc w:val="left"/>
              <w:rPr>
                <w:rFonts w:ascii="仿宋" w:hAnsi="仿宋" w:eastAsia="仿宋" w:cs="仿宋"/>
                <w:sz w:val="24"/>
              </w:rPr>
            </w:pPr>
            <w:r>
              <w:rPr>
                <w:rFonts w:hint="eastAsia" w:ascii="仿宋" w:hAnsi="仿宋" w:eastAsia="仿宋" w:cs="仿宋"/>
                <w:sz w:val="24"/>
              </w:rPr>
              <w:t>2. 24小时内通过远程或现场方式完成处置；</w:t>
            </w:r>
          </w:p>
          <w:p w14:paraId="6CDF91BD">
            <w:pPr>
              <w:snapToGrid w:val="0"/>
              <w:spacing w:line="360" w:lineRule="auto"/>
              <w:jc w:val="left"/>
              <w:rPr>
                <w:rFonts w:ascii="仿宋" w:hAnsi="仿宋" w:eastAsia="仿宋" w:cs="仿宋"/>
                <w:sz w:val="24"/>
              </w:rPr>
            </w:pPr>
            <w:r>
              <w:rPr>
                <w:rFonts w:hint="eastAsia" w:ascii="仿宋" w:hAnsi="仿宋" w:eastAsia="仿宋" w:cs="仿宋"/>
                <w:sz w:val="24"/>
              </w:rPr>
              <w:t>3. 48小时内完成问题闭环。</w:t>
            </w:r>
          </w:p>
        </w:tc>
      </w:tr>
    </w:tbl>
    <w:p w14:paraId="5E146497">
      <w:pPr>
        <w:snapToGrid w:val="0"/>
        <w:spacing w:line="360" w:lineRule="auto"/>
        <w:jc w:val="left"/>
        <w:rPr>
          <w:rFonts w:ascii="仿宋" w:hAnsi="仿宋" w:eastAsia="仿宋" w:cs="仿宋"/>
          <w:sz w:val="24"/>
        </w:rPr>
      </w:pPr>
      <w:r>
        <w:rPr>
          <w:rFonts w:hint="eastAsia" w:ascii="仿宋" w:hAnsi="仿宋" w:eastAsia="仿宋" w:cs="仿宋"/>
          <w:b/>
          <w:sz w:val="24"/>
        </w:rPr>
        <w:t>4. 售后运维服务核心要求</w:t>
      </w:r>
    </w:p>
    <w:p w14:paraId="5035473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服务商须严格按照以下要求提供全流程售后运维服务，可依据自身技术能力提供增值服务，但不得低于以下标准要求，所有服务须留存完整、可追溯的工作记录，接受采购人全程监督。</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591"/>
        <w:gridCol w:w="885"/>
        <w:gridCol w:w="5024"/>
        <w:gridCol w:w="1311"/>
        <w:gridCol w:w="1327"/>
      </w:tblGrid>
      <w:tr w14:paraId="25AB0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04760379">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484" w:type="pct"/>
            <w:tcMar>
              <w:top w:w="60" w:type="dxa"/>
              <w:left w:w="120" w:type="dxa"/>
              <w:bottom w:w="30" w:type="dxa"/>
              <w:right w:w="120" w:type="dxa"/>
            </w:tcMar>
            <w:vAlign w:val="center"/>
          </w:tcPr>
          <w:p w14:paraId="74748276">
            <w:pPr>
              <w:snapToGrid w:val="0"/>
              <w:spacing w:line="360" w:lineRule="auto"/>
              <w:jc w:val="center"/>
              <w:rPr>
                <w:rFonts w:ascii="仿宋" w:hAnsi="仿宋" w:eastAsia="仿宋" w:cs="仿宋"/>
                <w:b/>
                <w:sz w:val="24"/>
              </w:rPr>
            </w:pPr>
            <w:r>
              <w:rPr>
                <w:rFonts w:hint="eastAsia" w:ascii="仿宋" w:hAnsi="仿宋" w:eastAsia="仿宋" w:cs="仿宋"/>
                <w:b/>
                <w:sz w:val="24"/>
              </w:rPr>
              <w:t>服务项目</w:t>
            </w:r>
          </w:p>
        </w:tc>
        <w:tc>
          <w:tcPr>
            <w:tcW w:w="2748" w:type="pct"/>
            <w:tcMar>
              <w:top w:w="60" w:type="dxa"/>
              <w:left w:w="120" w:type="dxa"/>
              <w:bottom w:w="30" w:type="dxa"/>
              <w:right w:w="120" w:type="dxa"/>
            </w:tcMar>
            <w:vAlign w:val="center"/>
          </w:tcPr>
          <w:p w14:paraId="1EA3D827">
            <w:pPr>
              <w:snapToGrid w:val="0"/>
              <w:spacing w:line="360" w:lineRule="auto"/>
              <w:jc w:val="center"/>
              <w:rPr>
                <w:rFonts w:ascii="仿宋" w:hAnsi="仿宋" w:eastAsia="仿宋" w:cs="仿宋"/>
                <w:b/>
                <w:sz w:val="24"/>
              </w:rPr>
            </w:pPr>
            <w:r>
              <w:rPr>
                <w:rFonts w:hint="eastAsia" w:ascii="仿宋" w:hAnsi="仿宋" w:eastAsia="仿宋" w:cs="仿宋"/>
                <w:b/>
                <w:sz w:val="24"/>
              </w:rPr>
              <w:t>服务内涵</w:t>
            </w:r>
          </w:p>
        </w:tc>
        <w:tc>
          <w:tcPr>
            <w:tcW w:w="717" w:type="pct"/>
            <w:tcMar>
              <w:top w:w="60" w:type="dxa"/>
              <w:left w:w="120" w:type="dxa"/>
              <w:bottom w:w="30" w:type="dxa"/>
              <w:right w:w="120" w:type="dxa"/>
            </w:tcMar>
            <w:vAlign w:val="center"/>
          </w:tcPr>
          <w:p w14:paraId="7591AFAA">
            <w:pPr>
              <w:snapToGrid w:val="0"/>
              <w:spacing w:line="360" w:lineRule="auto"/>
              <w:jc w:val="center"/>
              <w:rPr>
                <w:rFonts w:ascii="仿宋" w:hAnsi="仿宋" w:eastAsia="仿宋" w:cs="仿宋"/>
                <w:b/>
                <w:sz w:val="24"/>
              </w:rPr>
            </w:pPr>
            <w:r>
              <w:rPr>
                <w:rFonts w:hint="eastAsia" w:ascii="仿宋" w:hAnsi="仿宋" w:eastAsia="仿宋" w:cs="仿宋"/>
                <w:b/>
                <w:sz w:val="24"/>
              </w:rPr>
              <w:t>服务方式</w:t>
            </w:r>
          </w:p>
        </w:tc>
        <w:tc>
          <w:tcPr>
            <w:tcW w:w="726" w:type="pct"/>
            <w:tcMar>
              <w:top w:w="60" w:type="dxa"/>
              <w:left w:w="120" w:type="dxa"/>
              <w:bottom w:w="30" w:type="dxa"/>
              <w:right w:w="120" w:type="dxa"/>
            </w:tcMar>
            <w:vAlign w:val="center"/>
          </w:tcPr>
          <w:p w14:paraId="553F4CAC">
            <w:pPr>
              <w:snapToGrid w:val="0"/>
              <w:spacing w:line="360" w:lineRule="auto"/>
              <w:jc w:val="center"/>
              <w:rPr>
                <w:rFonts w:ascii="仿宋" w:hAnsi="仿宋" w:eastAsia="仿宋" w:cs="仿宋"/>
                <w:b/>
                <w:sz w:val="24"/>
              </w:rPr>
            </w:pPr>
            <w:r>
              <w:rPr>
                <w:rFonts w:hint="eastAsia" w:ascii="仿宋" w:hAnsi="仿宋" w:eastAsia="仿宋" w:cs="仿宋"/>
                <w:b/>
                <w:sz w:val="24"/>
              </w:rPr>
              <w:t>服务频次/次数要求</w:t>
            </w:r>
          </w:p>
        </w:tc>
      </w:tr>
      <w:tr w14:paraId="70938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6F8A859C">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484" w:type="pct"/>
            <w:tcMar>
              <w:top w:w="60" w:type="dxa"/>
              <w:left w:w="120" w:type="dxa"/>
              <w:bottom w:w="30" w:type="dxa"/>
              <w:right w:w="120" w:type="dxa"/>
            </w:tcMar>
            <w:vAlign w:val="center"/>
          </w:tcPr>
          <w:p w14:paraId="4440BB29">
            <w:pPr>
              <w:snapToGrid w:val="0"/>
              <w:spacing w:line="360" w:lineRule="auto"/>
              <w:jc w:val="center"/>
              <w:rPr>
                <w:rFonts w:ascii="仿宋" w:hAnsi="仿宋" w:eastAsia="仿宋" w:cs="仿宋"/>
                <w:sz w:val="24"/>
              </w:rPr>
            </w:pPr>
            <w:r>
              <w:rPr>
                <w:rFonts w:hint="eastAsia" w:ascii="仿宋" w:hAnsi="仿宋" w:eastAsia="仿宋" w:cs="仿宋"/>
                <w:sz w:val="24"/>
              </w:rPr>
              <w:t>信息系统基础运维服务</w:t>
            </w:r>
          </w:p>
        </w:tc>
        <w:tc>
          <w:tcPr>
            <w:tcW w:w="2748" w:type="pct"/>
            <w:tcMar>
              <w:top w:w="60" w:type="dxa"/>
              <w:left w:w="120" w:type="dxa"/>
              <w:bottom w:w="30" w:type="dxa"/>
              <w:right w:w="120" w:type="dxa"/>
            </w:tcMar>
            <w:vAlign w:val="center"/>
          </w:tcPr>
          <w:p w14:paraId="2C4FE3E0">
            <w:pPr>
              <w:snapToGrid w:val="0"/>
              <w:spacing w:line="360" w:lineRule="auto"/>
              <w:rPr>
                <w:rFonts w:ascii="仿宋" w:hAnsi="仿宋" w:eastAsia="仿宋" w:cs="仿宋"/>
                <w:sz w:val="24"/>
              </w:rPr>
            </w:pPr>
            <w:r>
              <w:rPr>
                <w:rFonts w:hint="eastAsia" w:ascii="仿宋" w:hAnsi="仿宋" w:eastAsia="仿宋" w:cs="仿宋"/>
                <w:sz w:val="24"/>
              </w:rPr>
              <w:t>1. 运维服务系统范围所列全部系统模块的软件操作指导、故障排查、bug修复、配置管理服务；</w:t>
            </w:r>
          </w:p>
          <w:p w14:paraId="053FD987">
            <w:pPr>
              <w:snapToGrid w:val="0"/>
              <w:spacing w:line="360" w:lineRule="auto"/>
              <w:rPr>
                <w:rFonts w:ascii="仿宋" w:hAnsi="仿宋" w:eastAsia="仿宋" w:cs="仿宋"/>
                <w:sz w:val="24"/>
              </w:rPr>
            </w:pPr>
            <w:r>
              <w:rPr>
                <w:rFonts w:hint="eastAsia" w:ascii="仿宋" w:hAnsi="仿宋" w:eastAsia="仿宋" w:cs="仿宋"/>
                <w:sz w:val="24"/>
              </w:rPr>
              <w:t>2. 系统死机、数据错误、运行异常、兼容性问题等全场景故障处置；</w:t>
            </w:r>
          </w:p>
          <w:p w14:paraId="3152FB3D">
            <w:pPr>
              <w:snapToGrid w:val="0"/>
              <w:spacing w:line="360" w:lineRule="auto"/>
              <w:rPr>
                <w:rFonts w:ascii="仿宋" w:hAnsi="仿宋" w:eastAsia="仿宋" w:cs="仿宋"/>
                <w:sz w:val="24"/>
              </w:rPr>
            </w:pPr>
            <w:r>
              <w:rPr>
                <w:rFonts w:hint="eastAsia" w:ascii="仿宋" w:hAnsi="仿宋" w:eastAsia="仿宋" w:cs="仿宋"/>
                <w:sz w:val="24"/>
              </w:rPr>
              <w:t>3. 系统运行环境适配、显示异常、运行效率降低等问题的优化处置；</w:t>
            </w:r>
          </w:p>
          <w:p w14:paraId="19FC1D05">
            <w:pPr>
              <w:snapToGrid w:val="0"/>
              <w:spacing w:line="360" w:lineRule="auto"/>
              <w:rPr>
                <w:rFonts w:ascii="仿宋" w:hAnsi="仿宋" w:eastAsia="仿宋" w:cs="仿宋"/>
                <w:sz w:val="24"/>
              </w:rPr>
            </w:pPr>
            <w:r>
              <w:rPr>
                <w:rFonts w:hint="eastAsia" w:ascii="仿宋" w:hAnsi="仿宋" w:eastAsia="仿宋" w:cs="仿宋"/>
                <w:sz w:val="24"/>
              </w:rPr>
              <w:t>4. 系统与院内其他信息系统的接口运维、适配调整、故障修复；</w:t>
            </w:r>
          </w:p>
          <w:p w14:paraId="1061D20B">
            <w:pPr>
              <w:snapToGrid w:val="0"/>
              <w:spacing w:line="360" w:lineRule="auto"/>
              <w:rPr>
                <w:rFonts w:ascii="仿宋" w:hAnsi="仿宋" w:eastAsia="仿宋" w:cs="仿宋"/>
                <w:sz w:val="24"/>
              </w:rPr>
            </w:pPr>
            <w:r>
              <w:rPr>
                <w:rFonts w:hint="eastAsia" w:ascii="仿宋" w:hAnsi="仿宋" w:eastAsia="仿宋" w:cs="仿宋"/>
                <w:sz w:val="24"/>
              </w:rPr>
              <w:t>5. 系统终端设备、服务器运行状态的定期巡检与隐患排查。</w:t>
            </w:r>
          </w:p>
        </w:tc>
        <w:tc>
          <w:tcPr>
            <w:tcW w:w="717" w:type="pct"/>
            <w:tcMar>
              <w:top w:w="60" w:type="dxa"/>
              <w:left w:w="120" w:type="dxa"/>
              <w:bottom w:w="30" w:type="dxa"/>
              <w:right w:w="120" w:type="dxa"/>
            </w:tcMar>
            <w:vAlign w:val="center"/>
          </w:tcPr>
          <w:p w14:paraId="309AC7BA">
            <w:pPr>
              <w:snapToGrid w:val="0"/>
              <w:spacing w:line="360" w:lineRule="auto"/>
              <w:jc w:val="center"/>
              <w:rPr>
                <w:rFonts w:ascii="仿宋" w:hAnsi="仿宋" w:eastAsia="仿宋" w:cs="仿宋"/>
                <w:sz w:val="24"/>
              </w:rPr>
            </w:pPr>
            <w:r>
              <w:rPr>
                <w:rFonts w:hint="eastAsia" w:ascii="仿宋" w:hAnsi="仿宋" w:eastAsia="仿宋" w:cs="仿宋"/>
                <w:sz w:val="24"/>
              </w:rPr>
              <w:t>7×24小时热线服务安全远程运维服务现场驻场/上门服务</w:t>
            </w:r>
          </w:p>
        </w:tc>
        <w:tc>
          <w:tcPr>
            <w:tcW w:w="726" w:type="pct"/>
            <w:tcMar>
              <w:top w:w="60" w:type="dxa"/>
              <w:left w:w="120" w:type="dxa"/>
              <w:bottom w:w="30" w:type="dxa"/>
              <w:right w:w="120" w:type="dxa"/>
            </w:tcMar>
            <w:vAlign w:val="center"/>
          </w:tcPr>
          <w:p w14:paraId="338ACD13">
            <w:pPr>
              <w:snapToGrid w:val="0"/>
              <w:spacing w:line="360" w:lineRule="auto"/>
              <w:jc w:val="center"/>
              <w:rPr>
                <w:rFonts w:ascii="仿宋" w:hAnsi="仿宋" w:eastAsia="仿宋" w:cs="仿宋"/>
                <w:sz w:val="24"/>
              </w:rPr>
            </w:pPr>
            <w:r>
              <w:rPr>
                <w:rFonts w:hint="eastAsia" w:ascii="仿宋" w:hAnsi="仿宋" w:eastAsia="仿宋" w:cs="仿宋"/>
                <w:sz w:val="24"/>
              </w:rPr>
              <w:t>不限次数，全时段响应</w:t>
            </w:r>
          </w:p>
        </w:tc>
      </w:tr>
      <w:tr w14:paraId="44EA9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214F962E">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484" w:type="pct"/>
            <w:tcMar>
              <w:top w:w="60" w:type="dxa"/>
              <w:left w:w="120" w:type="dxa"/>
              <w:bottom w:w="30" w:type="dxa"/>
              <w:right w:w="120" w:type="dxa"/>
            </w:tcMar>
            <w:vAlign w:val="center"/>
          </w:tcPr>
          <w:p w14:paraId="4B2DCEDB">
            <w:pPr>
              <w:snapToGrid w:val="0"/>
              <w:spacing w:line="360" w:lineRule="auto"/>
              <w:jc w:val="center"/>
              <w:rPr>
                <w:rFonts w:ascii="仿宋" w:hAnsi="仿宋" w:eastAsia="仿宋" w:cs="仿宋"/>
                <w:sz w:val="24"/>
              </w:rPr>
            </w:pPr>
            <w:r>
              <w:rPr>
                <w:rFonts w:hint="eastAsia" w:ascii="仿宋" w:hAnsi="仿宋" w:eastAsia="仿宋" w:cs="仿宋"/>
                <w:sz w:val="24"/>
              </w:rPr>
              <w:t>数据库专项运维服务</w:t>
            </w:r>
          </w:p>
        </w:tc>
        <w:tc>
          <w:tcPr>
            <w:tcW w:w="2748" w:type="pct"/>
            <w:tcMar>
              <w:top w:w="60" w:type="dxa"/>
              <w:left w:w="120" w:type="dxa"/>
              <w:bottom w:w="30" w:type="dxa"/>
              <w:right w:w="120" w:type="dxa"/>
            </w:tcMar>
            <w:vAlign w:val="center"/>
          </w:tcPr>
          <w:p w14:paraId="4F7916DC">
            <w:pPr>
              <w:snapToGrid w:val="0"/>
              <w:spacing w:line="360" w:lineRule="auto"/>
              <w:rPr>
                <w:rFonts w:ascii="仿宋" w:hAnsi="仿宋" w:eastAsia="仿宋" w:cs="仿宋"/>
                <w:sz w:val="24"/>
              </w:rPr>
            </w:pPr>
            <w:r>
              <w:rPr>
                <w:rFonts w:hint="eastAsia" w:ascii="仿宋" w:hAnsi="仿宋" w:eastAsia="仿宋" w:cs="仿宋"/>
                <w:sz w:val="24"/>
              </w:rPr>
              <w:t>1. 每月开展数据库全量巡检，检查内容包括服务器系统日志、磁盘空间、CPU/内存使用率、数据库表空间、数据文件大小、数据库运行日志、异常操作审计日志等，及时发现并处置潜在风险；</w:t>
            </w:r>
          </w:p>
          <w:p w14:paraId="14E9CDCF">
            <w:pPr>
              <w:snapToGrid w:val="0"/>
              <w:spacing w:line="360" w:lineRule="auto"/>
              <w:rPr>
                <w:rFonts w:ascii="仿宋" w:hAnsi="仿宋" w:eastAsia="仿宋" w:cs="仿宋"/>
                <w:sz w:val="24"/>
              </w:rPr>
            </w:pPr>
            <w:r>
              <w:rPr>
                <w:rFonts w:hint="eastAsia" w:ascii="仿宋" w:hAnsi="仿宋" w:eastAsia="仿宋" w:cs="仿宋"/>
                <w:sz w:val="24"/>
              </w:rPr>
              <w:t>2. 每季度完成数据库安全加固、高危漏洞修复，确保数据库符合等保合规要求；</w:t>
            </w:r>
          </w:p>
          <w:p w14:paraId="31149D5F">
            <w:pPr>
              <w:snapToGrid w:val="0"/>
              <w:spacing w:line="360" w:lineRule="auto"/>
              <w:rPr>
                <w:rFonts w:ascii="仿宋" w:hAnsi="仿宋" w:eastAsia="仿宋" w:cs="仿宋"/>
                <w:sz w:val="24"/>
              </w:rPr>
            </w:pPr>
            <w:r>
              <w:rPr>
                <w:rFonts w:hint="eastAsia" w:ascii="仿宋" w:hAnsi="仿宋" w:eastAsia="仿宋" w:cs="仿宋"/>
                <w:sz w:val="24"/>
              </w:rPr>
              <w:t>3. 提供同版本数据库迁移、数据备份与恢复服务，配合采购人完成数据备份有效性验证；</w:t>
            </w:r>
          </w:p>
          <w:p w14:paraId="7ED6C2DA">
            <w:pPr>
              <w:snapToGrid w:val="0"/>
              <w:spacing w:line="360" w:lineRule="auto"/>
              <w:rPr>
                <w:rFonts w:ascii="仿宋" w:hAnsi="仿宋" w:eastAsia="仿宋" w:cs="仿宋"/>
                <w:sz w:val="24"/>
              </w:rPr>
            </w:pPr>
            <w:r>
              <w:rPr>
                <w:rFonts w:hint="eastAsia" w:ascii="仿宋" w:hAnsi="仿宋" w:eastAsia="仿宋" w:cs="仿宋"/>
                <w:sz w:val="24"/>
              </w:rPr>
              <w:t>4. 针对巡检发现的问题，完成数据库性能优化、参数调整，保障数据库持续处于最佳运行状态；</w:t>
            </w:r>
          </w:p>
          <w:p w14:paraId="096438B3">
            <w:pPr>
              <w:snapToGrid w:val="0"/>
              <w:spacing w:line="360" w:lineRule="auto"/>
              <w:rPr>
                <w:rFonts w:ascii="仿宋" w:hAnsi="仿宋" w:eastAsia="仿宋" w:cs="仿宋"/>
                <w:sz w:val="24"/>
              </w:rPr>
            </w:pPr>
            <w:r>
              <w:rPr>
                <w:rFonts w:hint="eastAsia" w:ascii="仿宋" w:hAnsi="仿宋" w:eastAsia="仿宋" w:cs="仿宋"/>
                <w:sz w:val="24"/>
              </w:rPr>
              <w:t>5. 数据库故障的应急处置，保障医疗数据不丢失、不泄露、不篡改。</w:t>
            </w:r>
          </w:p>
        </w:tc>
        <w:tc>
          <w:tcPr>
            <w:tcW w:w="717" w:type="pct"/>
            <w:tcMar>
              <w:top w:w="60" w:type="dxa"/>
              <w:left w:w="120" w:type="dxa"/>
              <w:bottom w:w="30" w:type="dxa"/>
              <w:right w:w="120" w:type="dxa"/>
            </w:tcMar>
            <w:vAlign w:val="center"/>
          </w:tcPr>
          <w:p w14:paraId="729C9541">
            <w:pPr>
              <w:snapToGrid w:val="0"/>
              <w:spacing w:line="360" w:lineRule="auto"/>
              <w:jc w:val="center"/>
              <w:rPr>
                <w:rFonts w:ascii="仿宋" w:hAnsi="仿宋" w:eastAsia="仿宋" w:cs="仿宋"/>
                <w:sz w:val="24"/>
              </w:rPr>
            </w:pPr>
            <w:r>
              <w:rPr>
                <w:rFonts w:hint="eastAsia" w:ascii="仿宋" w:hAnsi="仿宋" w:eastAsia="仿宋" w:cs="仿宋"/>
                <w:sz w:val="24"/>
              </w:rPr>
              <w:t>热线服务安全远程服务现场服务</w:t>
            </w:r>
          </w:p>
        </w:tc>
        <w:tc>
          <w:tcPr>
            <w:tcW w:w="726" w:type="pct"/>
            <w:tcMar>
              <w:top w:w="60" w:type="dxa"/>
              <w:left w:w="120" w:type="dxa"/>
              <w:bottom w:w="30" w:type="dxa"/>
              <w:right w:w="120" w:type="dxa"/>
            </w:tcMar>
            <w:vAlign w:val="center"/>
          </w:tcPr>
          <w:p w14:paraId="6AFCF619">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不限次数，每月至少1次全量巡检，每季度至少1次性能优化，每年至少2次备份恢复演练</w:t>
            </w:r>
          </w:p>
        </w:tc>
      </w:tr>
      <w:tr w14:paraId="1DE81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0B9BCC56">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484" w:type="pct"/>
            <w:tcMar>
              <w:top w:w="60" w:type="dxa"/>
              <w:left w:w="120" w:type="dxa"/>
              <w:bottom w:w="30" w:type="dxa"/>
              <w:right w:w="120" w:type="dxa"/>
            </w:tcMar>
            <w:vAlign w:val="center"/>
          </w:tcPr>
          <w:p w14:paraId="09F98C51">
            <w:pPr>
              <w:snapToGrid w:val="0"/>
              <w:spacing w:line="360" w:lineRule="auto"/>
              <w:jc w:val="center"/>
              <w:rPr>
                <w:rFonts w:ascii="仿宋" w:hAnsi="仿宋" w:eastAsia="仿宋" w:cs="仿宋"/>
                <w:sz w:val="24"/>
              </w:rPr>
            </w:pPr>
            <w:r>
              <w:rPr>
                <w:rFonts w:hint="eastAsia" w:ascii="仿宋" w:hAnsi="仿宋" w:eastAsia="仿宋" w:cs="仿宋"/>
                <w:sz w:val="24"/>
              </w:rPr>
              <w:t>系统升级与合规更新服务</w:t>
            </w:r>
          </w:p>
        </w:tc>
        <w:tc>
          <w:tcPr>
            <w:tcW w:w="2748" w:type="pct"/>
            <w:tcMar>
              <w:top w:w="60" w:type="dxa"/>
              <w:left w:w="120" w:type="dxa"/>
              <w:bottom w:w="30" w:type="dxa"/>
              <w:right w:w="120" w:type="dxa"/>
            </w:tcMar>
            <w:vAlign w:val="center"/>
          </w:tcPr>
          <w:p w14:paraId="3064A1A6">
            <w:pPr>
              <w:snapToGrid w:val="0"/>
              <w:spacing w:line="360" w:lineRule="auto"/>
              <w:rPr>
                <w:rFonts w:ascii="仿宋" w:hAnsi="仿宋" w:eastAsia="仿宋" w:cs="仿宋"/>
                <w:sz w:val="24"/>
              </w:rPr>
            </w:pPr>
            <w:r>
              <w:rPr>
                <w:rFonts w:hint="eastAsia" w:ascii="仿宋" w:hAnsi="仿宋" w:eastAsia="仿宋" w:cs="仿宋"/>
                <w:sz w:val="24"/>
              </w:rPr>
              <w:t>1. 依据国家、省、市卫健、医保、网信等部门新增或变更的政策法规、标准规范，免费、及时完成系统的合规性适配与更新服务，确保系统符合最新监管要求；</w:t>
            </w:r>
          </w:p>
          <w:p w14:paraId="2C06DFB3">
            <w:pPr>
              <w:snapToGrid w:val="0"/>
              <w:spacing w:line="360" w:lineRule="auto"/>
              <w:rPr>
                <w:rFonts w:ascii="仿宋" w:hAnsi="仿宋" w:eastAsia="仿宋" w:cs="仿宋"/>
                <w:sz w:val="24"/>
              </w:rPr>
            </w:pPr>
            <w:r>
              <w:rPr>
                <w:rFonts w:hint="eastAsia" w:ascii="仿宋" w:hAnsi="仿宋" w:eastAsia="仿宋" w:cs="仿宋"/>
                <w:sz w:val="24"/>
              </w:rPr>
              <w:t>2. 提供系统同版本内的免费升级、功能优化服务，组织专业技术人员完成升级方案制定、测试、上线全流程工作，确保升级过程不影响医院正常业务；</w:t>
            </w:r>
          </w:p>
          <w:p w14:paraId="0E9580A9">
            <w:pPr>
              <w:snapToGrid w:val="0"/>
              <w:spacing w:line="360" w:lineRule="auto"/>
              <w:rPr>
                <w:rFonts w:ascii="仿宋" w:hAnsi="仿宋" w:eastAsia="仿宋" w:cs="仿宋"/>
                <w:sz w:val="24"/>
              </w:rPr>
            </w:pPr>
            <w:r>
              <w:rPr>
                <w:rFonts w:hint="eastAsia" w:ascii="仿宋" w:hAnsi="仿宋" w:eastAsia="仿宋" w:cs="仿宋"/>
                <w:sz w:val="24"/>
              </w:rPr>
              <w:t>3. 定期完成系统安全补丁、漏洞修复包的安装与调试，每月完成高危漏洞排查与修复；</w:t>
            </w:r>
          </w:p>
          <w:p w14:paraId="59D993E4">
            <w:pPr>
              <w:snapToGrid w:val="0"/>
              <w:spacing w:line="360" w:lineRule="auto"/>
              <w:rPr>
                <w:rFonts w:ascii="仿宋" w:hAnsi="仿宋" w:eastAsia="仿宋" w:cs="仿宋"/>
                <w:sz w:val="24"/>
              </w:rPr>
            </w:pPr>
            <w:r>
              <w:rPr>
                <w:rFonts w:hint="eastAsia" w:ascii="仿宋" w:hAnsi="仿宋" w:eastAsia="仿宋" w:cs="仿宋"/>
                <w:sz w:val="24"/>
              </w:rPr>
              <w:t>4. 配合采购人完成网络安全等级保护测评、医院信息互联互通标准化成熟度测评等相关工作，完成对应整改与系统适配。</w:t>
            </w:r>
          </w:p>
        </w:tc>
        <w:tc>
          <w:tcPr>
            <w:tcW w:w="717" w:type="pct"/>
            <w:tcMar>
              <w:top w:w="60" w:type="dxa"/>
              <w:left w:w="120" w:type="dxa"/>
              <w:bottom w:w="30" w:type="dxa"/>
              <w:right w:w="120" w:type="dxa"/>
            </w:tcMar>
            <w:vAlign w:val="center"/>
          </w:tcPr>
          <w:p w14:paraId="5294A8E5">
            <w:pPr>
              <w:snapToGrid w:val="0"/>
              <w:spacing w:line="360" w:lineRule="auto"/>
              <w:jc w:val="center"/>
              <w:rPr>
                <w:rFonts w:ascii="仿宋" w:hAnsi="仿宋" w:eastAsia="仿宋" w:cs="仿宋"/>
                <w:sz w:val="24"/>
              </w:rPr>
            </w:pPr>
            <w:r>
              <w:rPr>
                <w:rFonts w:hint="eastAsia" w:ascii="仿宋" w:hAnsi="仿宋" w:eastAsia="仿宋" w:cs="仿宋"/>
                <w:sz w:val="24"/>
              </w:rPr>
              <w:t>现场服务为主远程辅助</w:t>
            </w:r>
          </w:p>
        </w:tc>
        <w:tc>
          <w:tcPr>
            <w:tcW w:w="726" w:type="pct"/>
            <w:tcMar>
              <w:top w:w="60" w:type="dxa"/>
              <w:left w:w="120" w:type="dxa"/>
              <w:bottom w:w="30" w:type="dxa"/>
              <w:right w:w="120" w:type="dxa"/>
            </w:tcMar>
            <w:vAlign w:val="center"/>
          </w:tcPr>
          <w:p w14:paraId="6CF63E5C">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不限次数，每月至少1次安全补丁更新，政策变更后10个工作日内完成合规适配</w:t>
            </w:r>
          </w:p>
        </w:tc>
      </w:tr>
      <w:tr w14:paraId="13ED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44DBF3D8">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484" w:type="pct"/>
            <w:tcMar>
              <w:top w:w="60" w:type="dxa"/>
              <w:left w:w="120" w:type="dxa"/>
              <w:bottom w:w="30" w:type="dxa"/>
              <w:right w:w="120" w:type="dxa"/>
            </w:tcMar>
            <w:vAlign w:val="center"/>
          </w:tcPr>
          <w:p w14:paraId="1435E59F">
            <w:pPr>
              <w:snapToGrid w:val="0"/>
              <w:spacing w:line="360" w:lineRule="auto"/>
              <w:jc w:val="center"/>
              <w:rPr>
                <w:rFonts w:ascii="仿宋" w:hAnsi="仿宋" w:eastAsia="仿宋" w:cs="仿宋"/>
                <w:sz w:val="24"/>
              </w:rPr>
            </w:pPr>
            <w:r>
              <w:rPr>
                <w:rFonts w:hint="eastAsia" w:ascii="仿宋" w:hAnsi="仿宋" w:eastAsia="仿宋" w:cs="仿宋"/>
                <w:sz w:val="24"/>
              </w:rPr>
              <w:t>配套设备运维服务</w:t>
            </w:r>
          </w:p>
        </w:tc>
        <w:tc>
          <w:tcPr>
            <w:tcW w:w="2748" w:type="pct"/>
            <w:tcMar>
              <w:top w:w="60" w:type="dxa"/>
              <w:left w:w="120" w:type="dxa"/>
              <w:bottom w:w="30" w:type="dxa"/>
              <w:right w:w="120" w:type="dxa"/>
            </w:tcMar>
            <w:vAlign w:val="center"/>
          </w:tcPr>
          <w:p w14:paraId="0069B32F">
            <w:pPr>
              <w:snapToGrid w:val="0"/>
              <w:spacing w:line="360" w:lineRule="auto"/>
              <w:rPr>
                <w:rFonts w:ascii="仿宋" w:hAnsi="仿宋" w:eastAsia="仿宋" w:cs="仿宋"/>
                <w:sz w:val="24"/>
              </w:rPr>
            </w:pPr>
            <w:r>
              <w:rPr>
                <w:rFonts w:hint="eastAsia" w:ascii="仿宋" w:hAnsi="仿宋" w:eastAsia="仿宋" w:cs="仿宋"/>
                <w:sz w:val="24"/>
              </w:rPr>
              <w:t>1. 针对系统配套的硬件设备，提供维修、维护、调试服务，保障设备与系统接口程序稳定运行；</w:t>
            </w:r>
          </w:p>
          <w:p w14:paraId="5A246D1F">
            <w:pPr>
              <w:snapToGrid w:val="0"/>
              <w:spacing w:line="360" w:lineRule="auto"/>
              <w:rPr>
                <w:rFonts w:ascii="仿宋" w:hAnsi="仿宋" w:eastAsia="仿宋" w:cs="仿宋"/>
                <w:sz w:val="24"/>
              </w:rPr>
            </w:pPr>
            <w:r>
              <w:rPr>
                <w:rFonts w:hint="eastAsia" w:ascii="仿宋" w:hAnsi="仿宋" w:eastAsia="仿宋" w:cs="仿宋"/>
                <w:sz w:val="24"/>
              </w:rPr>
              <w:t>2. 医院新增、调整配套设备时，免费提供设备对接、系统适配、调试开通服务；</w:t>
            </w:r>
          </w:p>
          <w:p w14:paraId="0F8DA413">
            <w:pPr>
              <w:snapToGrid w:val="0"/>
              <w:spacing w:line="360" w:lineRule="auto"/>
              <w:rPr>
                <w:rFonts w:ascii="仿宋" w:hAnsi="仿宋" w:eastAsia="仿宋" w:cs="仿宋"/>
                <w:sz w:val="24"/>
              </w:rPr>
            </w:pPr>
            <w:r>
              <w:rPr>
                <w:rFonts w:hint="eastAsia" w:ascii="仿宋" w:hAnsi="仿宋" w:eastAsia="仿宋" w:cs="仿宋"/>
                <w:sz w:val="24"/>
              </w:rPr>
              <w:t>3. 定期对配套设备进行巡检，排查硬件故障隐患，降低设备故障率。</w:t>
            </w:r>
          </w:p>
        </w:tc>
        <w:tc>
          <w:tcPr>
            <w:tcW w:w="717" w:type="pct"/>
            <w:tcMar>
              <w:top w:w="60" w:type="dxa"/>
              <w:left w:w="120" w:type="dxa"/>
              <w:bottom w:w="30" w:type="dxa"/>
              <w:right w:w="120" w:type="dxa"/>
            </w:tcMar>
            <w:vAlign w:val="center"/>
          </w:tcPr>
          <w:p w14:paraId="29672AE8">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w:t>
            </w:r>
          </w:p>
        </w:tc>
        <w:tc>
          <w:tcPr>
            <w:tcW w:w="726" w:type="pct"/>
            <w:tcMar>
              <w:top w:w="60" w:type="dxa"/>
              <w:left w:w="120" w:type="dxa"/>
              <w:bottom w:w="30" w:type="dxa"/>
              <w:right w:w="120" w:type="dxa"/>
            </w:tcMar>
            <w:vAlign w:val="center"/>
          </w:tcPr>
          <w:p w14:paraId="1EA65376">
            <w:pPr>
              <w:snapToGrid w:val="0"/>
              <w:spacing w:line="360" w:lineRule="auto"/>
              <w:jc w:val="center"/>
              <w:rPr>
                <w:rFonts w:ascii="仿宋" w:hAnsi="仿宋" w:eastAsia="仿宋" w:cs="仿宋"/>
                <w:sz w:val="24"/>
              </w:rPr>
            </w:pPr>
            <w:r>
              <w:rPr>
                <w:rFonts w:hint="eastAsia" w:ascii="仿宋" w:hAnsi="仿宋" w:eastAsia="仿宋" w:cs="仿宋"/>
                <w:sz w:val="24"/>
              </w:rPr>
              <w:t>不限次数，每季度至少1次全量设备巡检</w:t>
            </w:r>
          </w:p>
        </w:tc>
      </w:tr>
      <w:tr w14:paraId="5BD00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74D0E215">
            <w:pPr>
              <w:snapToGrid w:val="0"/>
              <w:spacing w:line="360" w:lineRule="auto"/>
              <w:jc w:val="center"/>
              <w:rPr>
                <w:rFonts w:ascii="仿宋" w:hAnsi="仿宋" w:eastAsia="仿宋" w:cs="仿宋"/>
                <w:sz w:val="24"/>
              </w:rPr>
            </w:pPr>
            <w:r>
              <w:rPr>
                <w:rFonts w:hint="eastAsia" w:ascii="仿宋" w:hAnsi="仿宋" w:eastAsia="仿宋" w:cs="仿宋"/>
                <w:sz w:val="24"/>
              </w:rPr>
              <w:t>5</w:t>
            </w:r>
          </w:p>
        </w:tc>
        <w:tc>
          <w:tcPr>
            <w:tcW w:w="484" w:type="pct"/>
            <w:tcMar>
              <w:top w:w="60" w:type="dxa"/>
              <w:left w:w="120" w:type="dxa"/>
              <w:bottom w:w="30" w:type="dxa"/>
              <w:right w:w="120" w:type="dxa"/>
            </w:tcMar>
            <w:vAlign w:val="center"/>
          </w:tcPr>
          <w:p w14:paraId="51BFB832">
            <w:pPr>
              <w:snapToGrid w:val="0"/>
              <w:spacing w:line="360" w:lineRule="auto"/>
              <w:jc w:val="center"/>
              <w:rPr>
                <w:rFonts w:ascii="仿宋" w:hAnsi="仿宋" w:eastAsia="仿宋" w:cs="仿宋"/>
                <w:sz w:val="24"/>
              </w:rPr>
            </w:pPr>
            <w:r>
              <w:rPr>
                <w:rFonts w:hint="eastAsia" w:ascii="仿宋" w:hAnsi="仿宋" w:eastAsia="仿宋" w:cs="仿宋"/>
                <w:sz w:val="24"/>
              </w:rPr>
              <w:t>网络安全与数据安全服务</w:t>
            </w:r>
          </w:p>
        </w:tc>
        <w:tc>
          <w:tcPr>
            <w:tcW w:w="2748" w:type="pct"/>
            <w:tcMar>
              <w:top w:w="60" w:type="dxa"/>
              <w:left w:w="120" w:type="dxa"/>
              <w:bottom w:w="30" w:type="dxa"/>
              <w:right w:w="120" w:type="dxa"/>
            </w:tcMar>
            <w:vAlign w:val="center"/>
          </w:tcPr>
          <w:p w14:paraId="025583AE">
            <w:pPr>
              <w:snapToGrid w:val="0"/>
              <w:spacing w:line="360" w:lineRule="auto"/>
              <w:rPr>
                <w:rFonts w:ascii="仿宋" w:hAnsi="仿宋" w:eastAsia="仿宋" w:cs="仿宋"/>
                <w:sz w:val="24"/>
              </w:rPr>
            </w:pPr>
            <w:r>
              <w:rPr>
                <w:rFonts w:hint="eastAsia" w:ascii="仿宋" w:hAnsi="仿宋" w:eastAsia="仿宋" w:cs="仿宋"/>
                <w:sz w:val="24"/>
              </w:rPr>
              <w:t>1. 严格根据《网络安全法》《数据安全法》《个人信息保护法》《医疗卫生机构网络安全管理办法》及相关法律法规，为采购人提供全流程网络安全与数据安全服务；</w:t>
            </w:r>
          </w:p>
          <w:p w14:paraId="26401A1B">
            <w:pPr>
              <w:snapToGrid w:val="0"/>
              <w:spacing w:line="360" w:lineRule="auto"/>
              <w:rPr>
                <w:rFonts w:ascii="仿宋" w:hAnsi="仿宋" w:eastAsia="仿宋" w:cs="仿宋"/>
                <w:sz w:val="24"/>
              </w:rPr>
            </w:pPr>
            <w:r>
              <w:rPr>
                <w:rFonts w:hint="eastAsia" w:ascii="仿宋" w:hAnsi="仿宋" w:eastAsia="仿宋" w:cs="仿宋"/>
                <w:sz w:val="24"/>
              </w:rPr>
              <w:t>2. 网络安全服务包含且不限于：漏洞修复、安全问题整改、安全风险排查、入侵检测与防御等服务，重点保障系统核心数据传输安全；</w:t>
            </w:r>
          </w:p>
          <w:p w14:paraId="5A74C9C1">
            <w:pPr>
              <w:snapToGrid w:val="0"/>
              <w:spacing w:line="360" w:lineRule="auto"/>
              <w:rPr>
                <w:rFonts w:ascii="仿宋" w:hAnsi="仿宋" w:eastAsia="仿宋" w:cs="仿宋"/>
                <w:sz w:val="24"/>
              </w:rPr>
            </w:pPr>
            <w:r>
              <w:rPr>
                <w:rFonts w:hint="eastAsia" w:ascii="仿宋" w:hAnsi="仿宋" w:eastAsia="仿宋" w:cs="仿宋"/>
                <w:sz w:val="24"/>
              </w:rPr>
              <w:t>3. 数据安全服务包含且不限于：数据加密、数据备份与恢复、数据库安全审计、患者信息保护等服务，确保数据符合数据安全要求；</w:t>
            </w:r>
          </w:p>
          <w:p w14:paraId="2E72F479">
            <w:pPr>
              <w:snapToGrid w:val="0"/>
              <w:spacing w:line="360" w:lineRule="auto"/>
              <w:rPr>
                <w:rFonts w:ascii="仿宋" w:hAnsi="仿宋" w:eastAsia="仿宋" w:cs="仿宋"/>
                <w:sz w:val="24"/>
              </w:rPr>
            </w:pPr>
            <w:r>
              <w:rPr>
                <w:rFonts w:hint="eastAsia" w:ascii="仿宋" w:hAnsi="仿宋" w:eastAsia="仿宋" w:cs="仿宋"/>
                <w:sz w:val="24"/>
              </w:rPr>
              <w:t>4. 配合采购人完成数据安全检查、网络安全审计、等保测评等相关工作，提供技术支撑与整改服务；</w:t>
            </w:r>
          </w:p>
          <w:p w14:paraId="32653D3B">
            <w:pPr>
              <w:snapToGrid w:val="0"/>
              <w:spacing w:line="360" w:lineRule="auto"/>
              <w:rPr>
                <w:rFonts w:ascii="仿宋" w:hAnsi="仿宋" w:eastAsia="仿宋" w:cs="仿宋"/>
                <w:sz w:val="24"/>
              </w:rPr>
            </w:pPr>
            <w:r>
              <w:rPr>
                <w:rFonts w:hint="eastAsia" w:ascii="仿宋" w:hAnsi="仿宋" w:eastAsia="仿宋" w:cs="仿宋"/>
                <w:sz w:val="24"/>
              </w:rPr>
              <w:t>5. 规范远程运维操作，所有远程操作全程留痕，审计日志留存不少于6个月，杜绝非法远程访问。</w:t>
            </w:r>
          </w:p>
        </w:tc>
        <w:tc>
          <w:tcPr>
            <w:tcW w:w="717" w:type="pct"/>
            <w:tcMar>
              <w:top w:w="60" w:type="dxa"/>
              <w:left w:w="120" w:type="dxa"/>
              <w:bottom w:w="30" w:type="dxa"/>
              <w:right w:w="120" w:type="dxa"/>
            </w:tcMar>
            <w:vAlign w:val="center"/>
          </w:tcPr>
          <w:p w14:paraId="6D3366AC">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w:t>
            </w:r>
          </w:p>
        </w:tc>
        <w:tc>
          <w:tcPr>
            <w:tcW w:w="726" w:type="pct"/>
            <w:tcMar>
              <w:top w:w="60" w:type="dxa"/>
              <w:left w:w="120" w:type="dxa"/>
              <w:bottom w:w="30" w:type="dxa"/>
              <w:right w:w="120" w:type="dxa"/>
            </w:tcMar>
            <w:vAlign w:val="center"/>
          </w:tcPr>
          <w:p w14:paraId="50B5AF7C">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不限次数，每月至少1次安全风险排查，每季度至少1次数据安全专项检查</w:t>
            </w:r>
          </w:p>
        </w:tc>
      </w:tr>
      <w:tr w14:paraId="20C6C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324F5789">
            <w:pPr>
              <w:snapToGrid w:val="0"/>
              <w:spacing w:line="360" w:lineRule="auto"/>
              <w:jc w:val="center"/>
              <w:rPr>
                <w:rFonts w:ascii="仿宋" w:hAnsi="仿宋" w:eastAsia="仿宋" w:cs="仿宋"/>
                <w:sz w:val="24"/>
              </w:rPr>
            </w:pPr>
            <w:r>
              <w:rPr>
                <w:rFonts w:hint="eastAsia" w:ascii="仿宋" w:hAnsi="仿宋" w:eastAsia="仿宋" w:cs="仿宋"/>
                <w:sz w:val="24"/>
              </w:rPr>
              <w:t>6</w:t>
            </w:r>
          </w:p>
        </w:tc>
        <w:tc>
          <w:tcPr>
            <w:tcW w:w="484" w:type="pct"/>
            <w:tcMar>
              <w:top w:w="60" w:type="dxa"/>
              <w:left w:w="120" w:type="dxa"/>
              <w:bottom w:w="30" w:type="dxa"/>
              <w:right w:w="120" w:type="dxa"/>
            </w:tcMar>
            <w:vAlign w:val="center"/>
          </w:tcPr>
          <w:p w14:paraId="20DAAFF3">
            <w:pPr>
              <w:snapToGrid w:val="0"/>
              <w:spacing w:line="360" w:lineRule="auto"/>
              <w:jc w:val="center"/>
              <w:rPr>
                <w:rFonts w:ascii="仿宋" w:hAnsi="仿宋" w:eastAsia="仿宋" w:cs="仿宋"/>
                <w:sz w:val="24"/>
              </w:rPr>
            </w:pPr>
            <w:r>
              <w:rPr>
                <w:rFonts w:hint="eastAsia" w:ascii="仿宋" w:hAnsi="仿宋" w:eastAsia="仿宋" w:cs="仿宋"/>
                <w:sz w:val="24"/>
              </w:rPr>
              <w:t>人员培训服务</w:t>
            </w:r>
          </w:p>
        </w:tc>
        <w:tc>
          <w:tcPr>
            <w:tcW w:w="2748" w:type="pct"/>
            <w:tcMar>
              <w:top w:w="60" w:type="dxa"/>
              <w:left w:w="120" w:type="dxa"/>
              <w:bottom w:w="30" w:type="dxa"/>
              <w:right w:w="120" w:type="dxa"/>
            </w:tcMar>
            <w:vAlign w:val="center"/>
          </w:tcPr>
          <w:p w14:paraId="51993F0A">
            <w:pPr>
              <w:snapToGrid w:val="0"/>
              <w:spacing w:line="360" w:lineRule="auto"/>
              <w:rPr>
                <w:rFonts w:ascii="仿宋" w:hAnsi="仿宋" w:eastAsia="仿宋" w:cs="仿宋"/>
                <w:sz w:val="24"/>
              </w:rPr>
            </w:pPr>
            <w:r>
              <w:rPr>
                <w:rFonts w:hint="eastAsia" w:ascii="仿宋" w:hAnsi="仿宋" w:eastAsia="仿宋" w:cs="仿宋"/>
                <w:sz w:val="24"/>
              </w:rPr>
              <w:t>1. 针对医院管理岗、医护操作岗、信息科技术岗，分别制定差异化培训计划，编制标准化培训教材与操作手册；</w:t>
            </w:r>
          </w:p>
          <w:p w14:paraId="0FC5B9BA">
            <w:pPr>
              <w:snapToGrid w:val="0"/>
              <w:spacing w:line="360" w:lineRule="auto"/>
              <w:rPr>
                <w:rFonts w:ascii="仿宋" w:hAnsi="仿宋" w:eastAsia="仿宋" w:cs="仿宋"/>
                <w:sz w:val="24"/>
              </w:rPr>
            </w:pPr>
            <w:r>
              <w:rPr>
                <w:rFonts w:hint="eastAsia" w:ascii="仿宋" w:hAnsi="仿宋" w:eastAsia="仿宋" w:cs="仿宋"/>
                <w:sz w:val="24"/>
              </w:rPr>
              <w:t>2. 培训内容包括系统操作规范、常见故障处置、数据安全与个人信息保护、应急处置流程等；</w:t>
            </w:r>
          </w:p>
          <w:p w14:paraId="70949B09">
            <w:pPr>
              <w:snapToGrid w:val="0"/>
              <w:spacing w:line="360" w:lineRule="auto"/>
              <w:rPr>
                <w:rFonts w:ascii="仿宋" w:hAnsi="仿宋" w:eastAsia="仿宋" w:cs="仿宋"/>
                <w:sz w:val="24"/>
              </w:rPr>
            </w:pPr>
            <w:r>
              <w:rPr>
                <w:rFonts w:hint="eastAsia" w:ascii="仿宋" w:hAnsi="仿宋" w:eastAsia="仿宋" w:cs="仿宋"/>
                <w:sz w:val="24"/>
              </w:rPr>
              <w:t>3. 培训完成后组织考核，确保参训人员掌握对应技能；</w:t>
            </w:r>
          </w:p>
          <w:p w14:paraId="347292D4">
            <w:pPr>
              <w:snapToGrid w:val="0"/>
              <w:spacing w:line="360" w:lineRule="auto"/>
              <w:rPr>
                <w:rFonts w:ascii="仿宋" w:hAnsi="仿宋" w:eastAsia="仿宋" w:cs="仿宋"/>
                <w:sz w:val="24"/>
              </w:rPr>
            </w:pPr>
            <w:r>
              <w:rPr>
                <w:rFonts w:hint="eastAsia" w:ascii="仿宋" w:hAnsi="仿宋" w:eastAsia="仿宋" w:cs="仿宋"/>
                <w:sz w:val="24"/>
              </w:rPr>
              <w:t>4. 针对系统升级、新功能上线、新员工入职等场景，提供即时专项培训服务。</w:t>
            </w:r>
          </w:p>
        </w:tc>
        <w:tc>
          <w:tcPr>
            <w:tcW w:w="717" w:type="pct"/>
            <w:tcMar>
              <w:top w:w="60" w:type="dxa"/>
              <w:left w:w="120" w:type="dxa"/>
              <w:bottom w:w="30" w:type="dxa"/>
              <w:right w:w="120" w:type="dxa"/>
            </w:tcMar>
            <w:vAlign w:val="center"/>
          </w:tcPr>
          <w:p w14:paraId="68FDBEE9">
            <w:pPr>
              <w:snapToGrid w:val="0"/>
              <w:spacing w:line="360" w:lineRule="auto"/>
              <w:jc w:val="center"/>
              <w:rPr>
                <w:rFonts w:ascii="仿宋" w:hAnsi="仿宋" w:eastAsia="仿宋" w:cs="仿宋"/>
                <w:sz w:val="24"/>
              </w:rPr>
            </w:pPr>
            <w:r>
              <w:rPr>
                <w:rFonts w:hint="eastAsia" w:ascii="仿宋" w:hAnsi="仿宋" w:eastAsia="仿宋" w:cs="仿宋"/>
                <w:sz w:val="24"/>
              </w:rPr>
              <w:t>现场培训远程线上培训</w:t>
            </w:r>
          </w:p>
        </w:tc>
        <w:tc>
          <w:tcPr>
            <w:tcW w:w="726" w:type="pct"/>
            <w:tcMar>
              <w:top w:w="60" w:type="dxa"/>
              <w:left w:w="120" w:type="dxa"/>
              <w:bottom w:w="30" w:type="dxa"/>
              <w:right w:w="120" w:type="dxa"/>
            </w:tcMar>
            <w:vAlign w:val="center"/>
          </w:tcPr>
          <w:p w14:paraId="3A045140">
            <w:pPr>
              <w:snapToGrid w:val="0"/>
              <w:spacing w:line="360" w:lineRule="auto"/>
              <w:jc w:val="center"/>
              <w:rPr>
                <w:rFonts w:ascii="仿宋" w:hAnsi="仿宋" w:eastAsia="仿宋" w:cs="仿宋"/>
                <w:sz w:val="24"/>
              </w:rPr>
            </w:pPr>
            <w:r>
              <w:rPr>
                <w:rFonts w:hint="eastAsia" w:ascii="仿宋" w:hAnsi="仿宋" w:eastAsia="仿宋" w:cs="仿宋"/>
                <w:sz w:val="24"/>
              </w:rPr>
              <w:t>全年累计培训不少于20学时，集中培训不少于2次，专项培训不限次数</w:t>
            </w:r>
          </w:p>
        </w:tc>
      </w:tr>
      <w:tr w14:paraId="5EF4A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646DA11E">
            <w:pPr>
              <w:snapToGrid w:val="0"/>
              <w:spacing w:line="360" w:lineRule="auto"/>
              <w:jc w:val="center"/>
              <w:rPr>
                <w:rFonts w:ascii="仿宋" w:hAnsi="仿宋" w:eastAsia="仿宋" w:cs="仿宋"/>
                <w:sz w:val="24"/>
              </w:rPr>
            </w:pPr>
            <w:r>
              <w:rPr>
                <w:rFonts w:hint="eastAsia" w:ascii="仿宋" w:hAnsi="仿宋" w:eastAsia="仿宋" w:cs="仿宋"/>
                <w:sz w:val="24"/>
              </w:rPr>
              <w:t>7</w:t>
            </w:r>
          </w:p>
        </w:tc>
        <w:tc>
          <w:tcPr>
            <w:tcW w:w="484" w:type="pct"/>
            <w:tcMar>
              <w:top w:w="60" w:type="dxa"/>
              <w:left w:w="120" w:type="dxa"/>
              <w:bottom w:w="30" w:type="dxa"/>
              <w:right w:w="120" w:type="dxa"/>
            </w:tcMar>
            <w:vAlign w:val="center"/>
          </w:tcPr>
          <w:p w14:paraId="4F67DDF3">
            <w:pPr>
              <w:snapToGrid w:val="0"/>
              <w:spacing w:line="360" w:lineRule="auto"/>
              <w:jc w:val="center"/>
              <w:rPr>
                <w:rFonts w:ascii="仿宋" w:hAnsi="仿宋" w:eastAsia="仿宋" w:cs="仿宋"/>
                <w:sz w:val="24"/>
              </w:rPr>
            </w:pPr>
            <w:r>
              <w:rPr>
                <w:rFonts w:hint="eastAsia" w:ascii="仿宋" w:hAnsi="仿宋" w:eastAsia="仿宋" w:cs="仿宋"/>
                <w:sz w:val="24"/>
              </w:rPr>
              <w:t>应急保障服务</w:t>
            </w:r>
          </w:p>
        </w:tc>
        <w:tc>
          <w:tcPr>
            <w:tcW w:w="2748" w:type="pct"/>
            <w:tcMar>
              <w:top w:w="60" w:type="dxa"/>
              <w:left w:w="120" w:type="dxa"/>
              <w:bottom w:w="30" w:type="dxa"/>
              <w:right w:w="120" w:type="dxa"/>
            </w:tcMar>
            <w:vAlign w:val="center"/>
          </w:tcPr>
          <w:p w14:paraId="19589955">
            <w:pPr>
              <w:snapToGrid w:val="0"/>
              <w:spacing w:line="360" w:lineRule="auto"/>
              <w:rPr>
                <w:rFonts w:ascii="仿宋" w:hAnsi="仿宋" w:eastAsia="仿宋" w:cs="仿宋"/>
                <w:sz w:val="24"/>
              </w:rPr>
            </w:pPr>
            <w:r>
              <w:rPr>
                <w:rFonts w:hint="eastAsia" w:ascii="仿宋" w:hAnsi="仿宋" w:eastAsia="仿宋" w:cs="仿宋"/>
                <w:sz w:val="24"/>
              </w:rPr>
              <w:t>1. 针对系统瘫痪、重大数据安全事件、网络攻击等突发场景，制定专项应急预案，明确应急处置流程、责任人员、处置方案；</w:t>
            </w:r>
          </w:p>
          <w:p w14:paraId="4400125B">
            <w:pPr>
              <w:snapToGrid w:val="0"/>
              <w:spacing w:line="360" w:lineRule="auto"/>
              <w:rPr>
                <w:rFonts w:ascii="仿宋" w:hAnsi="仿宋" w:eastAsia="仿宋" w:cs="仿宋"/>
                <w:sz w:val="24"/>
              </w:rPr>
            </w:pPr>
            <w:r>
              <w:rPr>
                <w:rFonts w:hint="eastAsia" w:ascii="仿宋" w:hAnsi="仿宋" w:eastAsia="仿宋" w:cs="仿宋"/>
                <w:sz w:val="24"/>
              </w:rPr>
              <w:t>2. 每年联合采购人组织不少于1次应急演练，优化应急预案；</w:t>
            </w:r>
          </w:p>
          <w:p w14:paraId="5E18C6A7">
            <w:pPr>
              <w:snapToGrid w:val="0"/>
              <w:spacing w:line="360" w:lineRule="auto"/>
              <w:rPr>
                <w:rFonts w:ascii="仿宋" w:hAnsi="仿宋" w:eastAsia="仿宋" w:cs="仿宋"/>
                <w:sz w:val="24"/>
              </w:rPr>
            </w:pPr>
            <w:r>
              <w:rPr>
                <w:rFonts w:hint="eastAsia" w:ascii="仿宋" w:hAnsi="仿宋" w:eastAsia="仿宋" w:cs="仿宋"/>
                <w:sz w:val="24"/>
              </w:rPr>
              <w:t>3. 医院体检高峰、节假日、重大医疗活动等特殊时段，提供专属驻场保障服务，提前完成系统巡检，全程值守保障系统稳定运行。</w:t>
            </w:r>
          </w:p>
        </w:tc>
        <w:tc>
          <w:tcPr>
            <w:tcW w:w="717" w:type="pct"/>
            <w:tcMar>
              <w:top w:w="60" w:type="dxa"/>
              <w:left w:w="120" w:type="dxa"/>
              <w:bottom w:w="30" w:type="dxa"/>
              <w:right w:w="120" w:type="dxa"/>
            </w:tcMar>
            <w:vAlign w:val="center"/>
          </w:tcPr>
          <w:p w14:paraId="5151F6D3">
            <w:pPr>
              <w:snapToGrid w:val="0"/>
              <w:spacing w:line="360" w:lineRule="auto"/>
              <w:jc w:val="center"/>
              <w:rPr>
                <w:rFonts w:ascii="仿宋" w:hAnsi="仿宋" w:eastAsia="仿宋" w:cs="仿宋"/>
                <w:sz w:val="24"/>
              </w:rPr>
            </w:pPr>
            <w:r>
              <w:rPr>
                <w:rFonts w:hint="eastAsia" w:ascii="仿宋" w:hAnsi="仿宋" w:eastAsia="仿宋" w:cs="仿宋"/>
                <w:sz w:val="24"/>
              </w:rPr>
              <w:t>现场驻场服务7×24小时应急响应</w:t>
            </w:r>
          </w:p>
        </w:tc>
        <w:tc>
          <w:tcPr>
            <w:tcW w:w="726" w:type="pct"/>
            <w:tcMar>
              <w:top w:w="60" w:type="dxa"/>
              <w:left w:w="120" w:type="dxa"/>
              <w:bottom w:w="30" w:type="dxa"/>
              <w:right w:w="120" w:type="dxa"/>
            </w:tcMar>
            <w:vAlign w:val="center"/>
          </w:tcPr>
          <w:p w14:paraId="58096614">
            <w:pPr>
              <w:snapToGrid w:val="0"/>
              <w:spacing w:line="360" w:lineRule="auto"/>
              <w:jc w:val="center"/>
              <w:rPr>
                <w:rFonts w:ascii="仿宋" w:hAnsi="仿宋" w:eastAsia="仿宋" w:cs="仿宋"/>
                <w:sz w:val="24"/>
              </w:rPr>
            </w:pPr>
            <w:r>
              <w:rPr>
                <w:rFonts w:hint="eastAsia" w:ascii="仿宋" w:hAnsi="仿宋" w:eastAsia="仿宋" w:cs="仿宋"/>
                <w:sz w:val="24"/>
              </w:rPr>
              <w:t>每年不少于1次应急演练，特殊时段按需提供驻场保障</w:t>
            </w:r>
          </w:p>
        </w:tc>
      </w:tr>
      <w:tr w14:paraId="25B91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436CDE25">
            <w:pPr>
              <w:snapToGrid w:val="0"/>
              <w:spacing w:line="360" w:lineRule="auto"/>
              <w:jc w:val="center"/>
              <w:rPr>
                <w:rFonts w:ascii="仿宋" w:hAnsi="仿宋" w:eastAsia="仿宋" w:cs="仿宋"/>
                <w:sz w:val="24"/>
              </w:rPr>
            </w:pPr>
            <w:r>
              <w:rPr>
                <w:rFonts w:hint="eastAsia" w:ascii="仿宋" w:hAnsi="仿宋" w:eastAsia="仿宋" w:cs="仿宋"/>
                <w:sz w:val="24"/>
              </w:rPr>
              <w:t>8</w:t>
            </w:r>
          </w:p>
        </w:tc>
        <w:tc>
          <w:tcPr>
            <w:tcW w:w="484" w:type="pct"/>
            <w:tcMar>
              <w:top w:w="60" w:type="dxa"/>
              <w:left w:w="120" w:type="dxa"/>
              <w:bottom w:w="30" w:type="dxa"/>
              <w:right w:w="120" w:type="dxa"/>
            </w:tcMar>
            <w:vAlign w:val="center"/>
          </w:tcPr>
          <w:p w14:paraId="2799B870">
            <w:pPr>
              <w:snapToGrid w:val="0"/>
              <w:spacing w:line="360" w:lineRule="auto"/>
              <w:jc w:val="center"/>
              <w:rPr>
                <w:rFonts w:ascii="仿宋" w:hAnsi="仿宋" w:eastAsia="仿宋" w:cs="仿宋"/>
                <w:sz w:val="24"/>
              </w:rPr>
            </w:pPr>
            <w:r>
              <w:rPr>
                <w:rFonts w:hint="eastAsia" w:ascii="仿宋" w:hAnsi="仿宋" w:eastAsia="仿宋" w:cs="仿宋"/>
                <w:sz w:val="24"/>
              </w:rPr>
              <w:t>服务器端国产化替代专项技术服务</w:t>
            </w:r>
          </w:p>
        </w:tc>
        <w:tc>
          <w:tcPr>
            <w:tcW w:w="2748" w:type="pct"/>
            <w:tcMar>
              <w:top w:w="60" w:type="dxa"/>
              <w:left w:w="120" w:type="dxa"/>
              <w:bottom w:w="30" w:type="dxa"/>
              <w:right w:w="120" w:type="dxa"/>
            </w:tcMar>
            <w:vAlign w:val="center"/>
          </w:tcPr>
          <w:p w14:paraId="64E7FEB5">
            <w:pPr>
              <w:snapToGrid w:val="0"/>
              <w:spacing w:line="360" w:lineRule="auto"/>
              <w:rPr>
                <w:rFonts w:ascii="仿宋" w:hAnsi="仿宋" w:eastAsia="仿宋" w:cs="仿宋"/>
                <w:sz w:val="24"/>
              </w:rPr>
            </w:pPr>
            <w:r>
              <w:rPr>
                <w:rFonts w:hint="eastAsia" w:ascii="仿宋" w:hAnsi="仿宋" w:eastAsia="仿宋" w:cs="仿宋"/>
                <w:sz w:val="24"/>
              </w:rPr>
              <w:t>1. 国产化适配前置评估：针对采购人服务器端国产化替代建设需求，完成现有《健康体检管理系统》全模块、全功能的国产化环境兼容性评估，覆盖国产服务器硬件、操作系统、数据库、中间件的全栈适配性分析，结合信息系统特性出具完整的《系统国产化适配评估报告》《国产化迁移实施方案》《业务割接与风险应急预案》</w:t>
            </w:r>
          </w:p>
          <w:p w14:paraId="16060975">
            <w:pPr>
              <w:snapToGrid w:val="0"/>
              <w:spacing w:line="360" w:lineRule="auto"/>
              <w:rPr>
                <w:rFonts w:ascii="仿宋" w:hAnsi="仿宋" w:eastAsia="仿宋" w:cs="仿宋"/>
                <w:sz w:val="24"/>
              </w:rPr>
            </w:pPr>
            <w:r>
              <w:rPr>
                <w:rFonts w:hint="eastAsia" w:ascii="仿宋" w:hAnsi="仿宋" w:eastAsia="仿宋" w:cs="仿宋"/>
                <w:sz w:val="24"/>
              </w:rPr>
              <w:t>2. 原厂级适配改造开发：针对评估发现的兼容性问题，提供系统源代码级的适配改造、功能优化、接口重构服务，确保系统在国产化服务器环境下全功能正常运行、业务流程无断点、数据交互无异常，同时保障系统与院内HIS、LIS、PACS、EMR等现有及新增信创/非信创系统的互联互通，适配改造后系统性能不低于原有非国产化环境水平；</w:t>
            </w:r>
          </w:p>
          <w:p w14:paraId="5FC4ABEA">
            <w:pPr>
              <w:snapToGrid w:val="0"/>
              <w:spacing w:line="360" w:lineRule="auto"/>
              <w:rPr>
                <w:rFonts w:ascii="仿宋" w:hAnsi="仿宋" w:eastAsia="仿宋" w:cs="仿宋"/>
                <w:sz w:val="24"/>
              </w:rPr>
            </w:pPr>
            <w:r>
              <w:rPr>
                <w:rFonts w:hint="eastAsia" w:ascii="仿宋" w:hAnsi="仿宋" w:eastAsia="仿宋" w:cs="仿宋"/>
                <w:sz w:val="24"/>
              </w:rPr>
              <w:t>3. 国产化迁移与割接实施：配合采购人完成国产化测试环境搭建、全量功能测试、压力测试、兼容性测试、安全测试，制定分阶段、零风险的业务割接方案，割接操作安排在非业务高峰时段（夜间、节假日），全程派驻技术人员现场值守，保障迁移过程医疗数据零丢失、零泄露、零篡改，业务中断时长符合医院医疗安全管理要求，如出现异常立即启动回滚预案，保障业务连续性；</w:t>
            </w:r>
          </w:p>
          <w:p w14:paraId="047A0375">
            <w:pPr>
              <w:snapToGrid w:val="0"/>
              <w:spacing w:line="360" w:lineRule="auto"/>
              <w:rPr>
                <w:rFonts w:ascii="仿宋" w:hAnsi="仿宋" w:eastAsia="仿宋" w:cs="仿宋"/>
                <w:sz w:val="24"/>
              </w:rPr>
            </w:pPr>
            <w:r>
              <w:rPr>
                <w:rFonts w:hint="eastAsia" w:ascii="仿宋" w:hAnsi="仿宋" w:eastAsia="仿宋" w:cs="仿宋"/>
                <w:sz w:val="24"/>
              </w:rPr>
              <w:t>4. 国产化环境专项运维保障：系统迁移至国产化服务器环境后，提供专属专项运维服务，包括国产化环境下系统日常巡检、性能优化、故障排查处置、安全补丁适配、漏洞修复、合规性升级，建立国产化环境专属运维台账，针对国产化平台特性优化运维流程，保障系统在国产化服务器环境下持续稳定运行；</w:t>
            </w:r>
          </w:p>
          <w:p w14:paraId="42A5F231">
            <w:pPr>
              <w:snapToGrid w:val="0"/>
              <w:spacing w:line="360" w:lineRule="auto"/>
              <w:rPr>
                <w:rFonts w:ascii="仿宋" w:hAnsi="仿宋" w:eastAsia="仿宋" w:cs="仿宋"/>
                <w:sz w:val="24"/>
              </w:rPr>
            </w:pPr>
            <w:r>
              <w:rPr>
                <w:rFonts w:hint="eastAsia" w:ascii="仿宋" w:hAnsi="仿宋" w:eastAsia="仿宋" w:cs="仿宋"/>
                <w:sz w:val="24"/>
              </w:rPr>
              <w:t>5. 合规适配与测评支撑：配合采购人完成信创建设合规验收、网络安全等级保护测评、医院信息互联互通标准化成熟度测评等相关工作，提供系统国产化适配证明、测试报告、技术支撑及整改服务，确保系统符合国家及地方交通、卫健、网信部门关于医疗信息化信创建设的最新政策要求；</w:t>
            </w:r>
          </w:p>
          <w:p w14:paraId="06A31584">
            <w:pPr>
              <w:snapToGrid w:val="0"/>
              <w:spacing w:line="360" w:lineRule="auto"/>
              <w:rPr>
                <w:rFonts w:ascii="仿宋" w:hAnsi="仿宋" w:eastAsia="仿宋" w:cs="仿宋"/>
                <w:sz w:val="24"/>
              </w:rPr>
            </w:pPr>
            <w:r>
              <w:rPr>
                <w:rFonts w:hint="eastAsia" w:ascii="仿宋" w:hAnsi="仿宋" w:eastAsia="仿宋" w:cs="仿宋"/>
                <w:sz w:val="24"/>
              </w:rPr>
              <w:t>6. 国产化专项培训：针对国产化服务器环境下的系统运维、操作使用、故障应急处置，为采购人信息科技术人员、医护操作岗、管理岗人员提供专项定制化培训，编制专属培训教材，确保参训人员掌握对应技能。</w:t>
            </w:r>
          </w:p>
        </w:tc>
        <w:tc>
          <w:tcPr>
            <w:tcW w:w="717" w:type="pct"/>
            <w:tcMar>
              <w:top w:w="60" w:type="dxa"/>
              <w:left w:w="120" w:type="dxa"/>
              <w:bottom w:w="30" w:type="dxa"/>
              <w:right w:w="120" w:type="dxa"/>
            </w:tcMar>
            <w:vAlign w:val="center"/>
          </w:tcPr>
          <w:p w14:paraId="3168CDE7">
            <w:pPr>
              <w:snapToGrid w:val="0"/>
              <w:spacing w:line="360" w:lineRule="auto"/>
              <w:jc w:val="center"/>
              <w:rPr>
                <w:rFonts w:ascii="仿宋" w:hAnsi="仿宋" w:eastAsia="仿宋" w:cs="仿宋"/>
                <w:sz w:val="24"/>
              </w:rPr>
            </w:pPr>
            <w:r>
              <w:rPr>
                <w:rFonts w:hint="eastAsia" w:ascii="仿宋" w:hAnsi="仿宋" w:eastAsia="仿宋" w:cs="仿宋"/>
                <w:sz w:val="24"/>
              </w:rPr>
              <w:t>现场服务为主，远程辅助服务，专项驻场服务</w:t>
            </w:r>
          </w:p>
        </w:tc>
        <w:tc>
          <w:tcPr>
            <w:tcW w:w="726" w:type="pct"/>
            <w:tcMar>
              <w:top w:w="60" w:type="dxa"/>
              <w:left w:w="120" w:type="dxa"/>
              <w:bottom w:w="30" w:type="dxa"/>
              <w:right w:w="120" w:type="dxa"/>
            </w:tcMar>
            <w:vAlign w:val="center"/>
          </w:tcPr>
          <w:p w14:paraId="15B30089">
            <w:pPr>
              <w:snapToGrid w:val="0"/>
              <w:spacing w:line="360" w:lineRule="auto"/>
              <w:jc w:val="center"/>
              <w:rPr>
                <w:rFonts w:ascii="仿宋" w:hAnsi="仿宋" w:eastAsia="仿宋" w:cs="仿宋"/>
                <w:sz w:val="24"/>
              </w:rPr>
            </w:pPr>
            <w:r>
              <w:rPr>
                <w:rFonts w:hint="eastAsia" w:ascii="仿宋" w:hAnsi="仿宋" w:eastAsia="仿宋" w:cs="仿宋"/>
                <w:sz w:val="24"/>
              </w:rPr>
              <w:t>按需提供全流程服务，服务期内不限响应次数；迁移完成后每月至少1次国产化环境专项巡检，每季度至少1次性能优化</w:t>
            </w:r>
          </w:p>
        </w:tc>
      </w:tr>
      <w:tr w14:paraId="239C6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3A2265F7">
            <w:pPr>
              <w:snapToGrid w:val="0"/>
              <w:spacing w:line="360" w:lineRule="auto"/>
              <w:jc w:val="center"/>
              <w:rPr>
                <w:rFonts w:ascii="仿宋" w:hAnsi="仿宋" w:eastAsia="仿宋" w:cs="仿宋"/>
                <w:sz w:val="24"/>
              </w:rPr>
            </w:pPr>
            <w:r>
              <w:rPr>
                <w:rFonts w:hint="eastAsia" w:ascii="仿宋" w:hAnsi="仿宋" w:eastAsia="仿宋" w:cs="仿宋"/>
                <w:sz w:val="24"/>
              </w:rPr>
              <w:t>9</w:t>
            </w:r>
          </w:p>
        </w:tc>
        <w:tc>
          <w:tcPr>
            <w:tcW w:w="484" w:type="pct"/>
            <w:tcMar>
              <w:top w:w="60" w:type="dxa"/>
              <w:left w:w="120" w:type="dxa"/>
              <w:bottom w:w="30" w:type="dxa"/>
              <w:right w:w="120" w:type="dxa"/>
            </w:tcMar>
            <w:vAlign w:val="center"/>
          </w:tcPr>
          <w:p w14:paraId="29C3121F">
            <w:pPr>
              <w:snapToGrid w:val="0"/>
              <w:spacing w:line="360" w:lineRule="auto"/>
              <w:jc w:val="center"/>
              <w:rPr>
                <w:rFonts w:ascii="仿宋" w:hAnsi="仿宋" w:eastAsia="仿宋" w:cs="仿宋"/>
                <w:sz w:val="24"/>
              </w:rPr>
            </w:pPr>
            <w:r>
              <w:rPr>
                <w:rFonts w:hint="eastAsia" w:ascii="仿宋" w:hAnsi="仿宋" w:eastAsia="仿宋" w:cs="仿宋"/>
                <w:sz w:val="24"/>
              </w:rPr>
              <w:t>运维报告服务</w:t>
            </w:r>
          </w:p>
        </w:tc>
        <w:tc>
          <w:tcPr>
            <w:tcW w:w="2748" w:type="pct"/>
            <w:tcMar>
              <w:top w:w="60" w:type="dxa"/>
              <w:left w:w="120" w:type="dxa"/>
              <w:bottom w:w="30" w:type="dxa"/>
              <w:right w:w="120" w:type="dxa"/>
            </w:tcMar>
            <w:vAlign w:val="center"/>
          </w:tcPr>
          <w:p w14:paraId="649214B7">
            <w:pPr>
              <w:snapToGrid w:val="0"/>
              <w:spacing w:line="360" w:lineRule="auto"/>
              <w:rPr>
                <w:rFonts w:ascii="仿宋" w:hAnsi="仿宋" w:eastAsia="仿宋" w:cs="仿宋"/>
                <w:sz w:val="24"/>
              </w:rPr>
            </w:pPr>
            <w:r>
              <w:rPr>
                <w:rFonts w:hint="eastAsia" w:ascii="仿宋" w:hAnsi="仿宋" w:eastAsia="仿宋" w:cs="仿宋"/>
                <w:sz w:val="24"/>
              </w:rPr>
              <w:t>1. 每季度、每年提交阶段性运维报告，年度报告须包含全年服务总结、系统运行评估、安全合规情况、下一年度运维优化方案等；</w:t>
            </w:r>
          </w:p>
          <w:p w14:paraId="2E60C2B5">
            <w:pPr>
              <w:snapToGrid w:val="0"/>
              <w:spacing w:line="360" w:lineRule="auto"/>
              <w:rPr>
                <w:rFonts w:ascii="仿宋" w:hAnsi="仿宋" w:eastAsia="仿宋" w:cs="仿宋"/>
                <w:sz w:val="24"/>
              </w:rPr>
            </w:pPr>
            <w:r>
              <w:rPr>
                <w:rFonts w:hint="eastAsia" w:ascii="仿宋" w:hAnsi="仿宋" w:eastAsia="仿宋" w:cs="仿宋"/>
                <w:sz w:val="24"/>
              </w:rPr>
              <w:t>2. 重大故障、专项工作单独提交专项报告。</w:t>
            </w:r>
          </w:p>
        </w:tc>
        <w:tc>
          <w:tcPr>
            <w:tcW w:w="717" w:type="pct"/>
            <w:tcMar>
              <w:top w:w="60" w:type="dxa"/>
              <w:left w:w="120" w:type="dxa"/>
              <w:bottom w:w="30" w:type="dxa"/>
              <w:right w:w="120" w:type="dxa"/>
            </w:tcMar>
            <w:vAlign w:val="center"/>
          </w:tcPr>
          <w:p w14:paraId="0F07D641">
            <w:pPr>
              <w:snapToGrid w:val="0"/>
              <w:spacing w:line="360" w:lineRule="auto"/>
              <w:jc w:val="center"/>
              <w:rPr>
                <w:rFonts w:ascii="仿宋" w:hAnsi="仿宋" w:eastAsia="仿宋" w:cs="仿宋"/>
                <w:sz w:val="24"/>
              </w:rPr>
            </w:pPr>
            <w:r>
              <w:rPr>
                <w:rFonts w:hint="eastAsia" w:ascii="仿宋" w:hAnsi="仿宋" w:eastAsia="仿宋" w:cs="仿宋"/>
                <w:sz w:val="24"/>
              </w:rPr>
              <w:t>书面盖章报告电子文档</w:t>
            </w:r>
          </w:p>
        </w:tc>
        <w:tc>
          <w:tcPr>
            <w:tcW w:w="726" w:type="pct"/>
            <w:tcMar>
              <w:top w:w="60" w:type="dxa"/>
              <w:left w:w="120" w:type="dxa"/>
              <w:bottom w:w="30" w:type="dxa"/>
              <w:right w:w="120" w:type="dxa"/>
            </w:tcMar>
            <w:vAlign w:val="center"/>
          </w:tcPr>
          <w:p w14:paraId="73BB3B63">
            <w:pPr>
              <w:snapToGrid w:val="0"/>
              <w:spacing w:line="360" w:lineRule="auto"/>
              <w:jc w:val="center"/>
              <w:rPr>
                <w:rFonts w:ascii="仿宋" w:hAnsi="仿宋" w:eastAsia="仿宋" w:cs="仿宋"/>
                <w:sz w:val="24"/>
              </w:rPr>
            </w:pPr>
            <w:r>
              <w:rPr>
                <w:rFonts w:hint="eastAsia" w:ascii="仿宋" w:hAnsi="仿宋" w:eastAsia="仿宋" w:cs="仿宋"/>
                <w:sz w:val="24"/>
              </w:rPr>
              <w:t>每季度1次季报，每年1次年报，专项报告按需提交</w:t>
            </w:r>
          </w:p>
        </w:tc>
      </w:tr>
    </w:tbl>
    <w:p w14:paraId="184145E5">
      <w:pPr>
        <w:snapToGrid w:val="0"/>
        <w:spacing w:line="360" w:lineRule="auto"/>
        <w:jc w:val="left"/>
        <w:rPr>
          <w:rFonts w:ascii="仿宋" w:hAnsi="仿宋" w:eastAsia="仿宋" w:cs="仿宋"/>
          <w:sz w:val="24"/>
        </w:rPr>
      </w:pPr>
      <w:r>
        <w:rPr>
          <w:rFonts w:hint="eastAsia" w:ascii="仿宋" w:hAnsi="仿宋" w:eastAsia="仿宋" w:cs="仿宋"/>
          <w:b/>
          <w:sz w:val="24"/>
        </w:rPr>
        <w:t>5. 售后服务方案与技术能力要求</w:t>
      </w:r>
    </w:p>
    <w:p w14:paraId="3074545B">
      <w:pPr>
        <w:snapToGrid w:val="0"/>
        <w:spacing w:line="360" w:lineRule="auto"/>
        <w:jc w:val="left"/>
        <w:rPr>
          <w:rFonts w:ascii="仿宋" w:hAnsi="仿宋" w:eastAsia="仿宋" w:cs="仿宋"/>
          <w:sz w:val="24"/>
        </w:rPr>
      </w:pPr>
      <w:r>
        <w:rPr>
          <w:rFonts w:hint="eastAsia" w:ascii="仿宋" w:hAnsi="仿宋" w:eastAsia="仿宋" w:cs="仿宋"/>
          <w:b/>
          <w:sz w:val="24"/>
        </w:rPr>
        <w:t>5.1 售后服务方案要求</w:t>
      </w:r>
    </w:p>
    <w:p w14:paraId="693ABCD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服务商须根据采购人信息化建设现状、系统使用情况、业务运行特点，制定详尽、可落地的售后服务方案，方案须至少包含以下内容：</w:t>
      </w:r>
    </w:p>
    <w:p w14:paraId="3D408D72">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1.</w:t>
      </w:r>
    </w:p>
    <w:p w14:paraId="21CD1A17">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2.</w:t>
      </w:r>
    </w:p>
    <w:p w14:paraId="2A804FCF">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3.</w:t>
      </w:r>
    </w:p>
    <w:p w14:paraId="45E7196F">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4.</w:t>
      </w:r>
    </w:p>
    <w:p w14:paraId="4E4E2DED">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5.</w:t>
      </w:r>
    </w:p>
    <w:p w14:paraId="1D18CB0B">
      <w:pPr>
        <w:pStyle w:val="34"/>
        <w:numPr>
          <w:ilvl w:val="1"/>
          <w:numId w:val="0"/>
        </w:numPr>
        <w:snapToGrid w:val="0"/>
        <w:spacing w:line="360" w:lineRule="auto"/>
        <w:ind w:left="567" w:hanging="567"/>
        <w:jc w:val="left"/>
        <w:rPr>
          <w:rFonts w:ascii="仿宋" w:hAnsi="仿宋" w:eastAsia="仿宋" w:cs="仿宋"/>
          <w:vanish/>
          <w:sz w:val="24"/>
        </w:rPr>
      </w:pPr>
      <w:r>
        <w:rPr>
          <w:rFonts w:hint="eastAsia" w:ascii="仿宋" w:hAnsi="仿宋" w:eastAsia="仿宋" w:cs="仿宋"/>
          <w:vanish/>
          <w:sz w:val="24"/>
        </w:rPr>
        <w:t>5.1.</w:t>
      </w:r>
    </w:p>
    <w:p w14:paraId="7DACF6CB">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5.1.1.售后运维服务的整体承诺、服务级别保障承诺；</w:t>
      </w:r>
    </w:p>
    <w:p w14:paraId="6C71C98C">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5.1.2.售后运维服务的详细内容、实施流程、操作规范；</w:t>
      </w:r>
    </w:p>
    <w:p w14:paraId="7BB08524">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5.1.3.各故障等级的应急处置措施、业务连续性保障方案；</w:t>
      </w:r>
    </w:p>
    <w:p w14:paraId="193B6196">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5.1.4.售后运维服务全流程管理制度、质量管控体系；</w:t>
      </w:r>
    </w:p>
    <w:p w14:paraId="7D0A934C">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5.1.5.数据安全事件、系统瘫痪等突发场景的专项应急预案；</w:t>
      </w:r>
    </w:p>
    <w:p w14:paraId="7EDEE1D8">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5.1.6.运维服务人员的岗位职责、考核方案、奖惩机制；</w:t>
      </w:r>
    </w:p>
    <w:p w14:paraId="5962505F">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5.1.7.合规性保障方案、等保合规配合方案、个人信息保护专项方案。</w:t>
      </w:r>
    </w:p>
    <w:p w14:paraId="335CB25D">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5.1.8.服务器端国产化替代专项服务方案与专项应急预案。</w:t>
      </w:r>
    </w:p>
    <w:p w14:paraId="587689E9">
      <w:pPr>
        <w:snapToGrid w:val="0"/>
        <w:spacing w:line="360" w:lineRule="auto"/>
        <w:jc w:val="left"/>
        <w:rPr>
          <w:rFonts w:ascii="仿宋" w:hAnsi="仿宋" w:eastAsia="仿宋" w:cs="仿宋"/>
          <w:sz w:val="24"/>
        </w:rPr>
      </w:pPr>
      <w:r>
        <w:rPr>
          <w:rFonts w:hint="eastAsia" w:ascii="仿宋" w:hAnsi="仿宋" w:eastAsia="仿宋" w:cs="仿宋"/>
          <w:b/>
          <w:sz w:val="24"/>
        </w:rPr>
        <w:t>5.2 技术能力与人员要求</w:t>
      </w:r>
    </w:p>
    <w:p w14:paraId="56537E51">
      <w:pPr>
        <w:pStyle w:val="34"/>
        <w:widowControl/>
        <w:snapToGrid w:val="0"/>
        <w:spacing w:line="360" w:lineRule="auto"/>
        <w:ind w:left="425" w:hanging="425" w:firstLineChars="0"/>
        <w:jc w:val="left"/>
        <w:rPr>
          <w:rFonts w:ascii="仿宋" w:hAnsi="仿宋" w:eastAsia="仿宋" w:cs="仿宋"/>
          <w:bCs/>
          <w:vanish/>
          <w:sz w:val="24"/>
        </w:rPr>
      </w:pPr>
      <w:r>
        <w:rPr>
          <w:rFonts w:hint="eastAsia" w:ascii="仿宋" w:hAnsi="仿宋" w:eastAsia="仿宋" w:cs="仿宋"/>
          <w:bCs/>
          <w:vanish/>
          <w:sz w:val="24"/>
        </w:rPr>
        <w:t>5.</w:t>
      </w:r>
    </w:p>
    <w:p w14:paraId="1BA4BA48">
      <w:pPr>
        <w:pStyle w:val="34"/>
        <w:widowControl/>
        <w:numPr>
          <w:ilvl w:val="1"/>
          <w:numId w:val="0"/>
        </w:numPr>
        <w:snapToGrid w:val="0"/>
        <w:spacing w:line="360" w:lineRule="auto"/>
        <w:ind w:left="567" w:hanging="567"/>
        <w:jc w:val="left"/>
        <w:rPr>
          <w:rFonts w:ascii="仿宋" w:hAnsi="仿宋" w:eastAsia="仿宋" w:cs="仿宋"/>
          <w:bCs/>
          <w:vanish/>
          <w:sz w:val="24"/>
        </w:rPr>
      </w:pPr>
      <w:r>
        <w:rPr>
          <w:rFonts w:hint="eastAsia" w:ascii="仿宋" w:hAnsi="仿宋" w:eastAsia="仿宋" w:cs="仿宋"/>
          <w:bCs/>
          <w:vanish/>
          <w:sz w:val="24"/>
        </w:rPr>
        <w:t>5.1.</w:t>
      </w:r>
    </w:p>
    <w:p w14:paraId="7FC0873C">
      <w:pPr>
        <w:pStyle w:val="34"/>
        <w:widowControl/>
        <w:numPr>
          <w:ilvl w:val="1"/>
          <w:numId w:val="0"/>
        </w:numPr>
        <w:snapToGrid w:val="0"/>
        <w:spacing w:line="360" w:lineRule="auto"/>
        <w:ind w:left="567" w:hanging="567"/>
        <w:jc w:val="left"/>
        <w:rPr>
          <w:rFonts w:ascii="仿宋" w:hAnsi="仿宋" w:eastAsia="仿宋" w:cs="仿宋"/>
          <w:bCs/>
          <w:vanish/>
          <w:sz w:val="24"/>
        </w:rPr>
      </w:pPr>
      <w:r>
        <w:rPr>
          <w:rFonts w:hint="eastAsia" w:ascii="仿宋" w:hAnsi="仿宋" w:eastAsia="仿宋" w:cs="仿宋"/>
          <w:bCs/>
          <w:vanish/>
          <w:sz w:val="24"/>
        </w:rPr>
        <w:t>5.2.</w:t>
      </w:r>
    </w:p>
    <w:p w14:paraId="03E6B399">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5.2.1.服务商须提供本项目售后服务专属团队组织架构，明确项目负责人、技术负责人、现场运维人员、安全专项人员、应急保障人员的岗位职责与联系方式，确保7×24小时可联系。</w:t>
      </w:r>
    </w:p>
    <w:p w14:paraId="1D6D91BA">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5.2.2.本项目专属技术团队人员不少于5人，其中专职人员不少于1人（可根据采购人需求调整），团队人员须满足以下资质要求：</w:t>
      </w:r>
    </w:p>
    <w:p w14:paraId="734A9073">
      <w:pPr>
        <w:pStyle w:val="34"/>
        <w:numPr>
          <w:ilvl w:val="0"/>
          <w:numId w:val="4"/>
        </w:numPr>
        <w:snapToGrid w:val="0"/>
        <w:spacing w:line="360" w:lineRule="auto"/>
        <w:ind w:left="0" w:firstLine="480"/>
        <w:jc w:val="left"/>
        <w:rPr>
          <w:rFonts w:ascii="仿宋" w:hAnsi="仿宋" w:eastAsia="仿宋" w:cs="仿宋"/>
          <w:sz w:val="24"/>
        </w:rPr>
      </w:pPr>
      <w:r>
        <w:rPr>
          <w:rFonts w:hint="eastAsia" w:ascii="仿宋" w:hAnsi="仿宋" w:eastAsia="仿宋" w:cs="仿宋"/>
          <w:sz w:val="24"/>
        </w:rPr>
        <w:t>项目负责人须具备3年以上医疗信息化系统运维项目管理经验；</w:t>
      </w:r>
    </w:p>
    <w:p w14:paraId="1BB82E8F">
      <w:pPr>
        <w:pStyle w:val="34"/>
        <w:numPr>
          <w:ilvl w:val="0"/>
          <w:numId w:val="4"/>
        </w:numPr>
        <w:snapToGrid w:val="0"/>
        <w:spacing w:line="360" w:lineRule="auto"/>
        <w:ind w:left="0" w:firstLine="480"/>
        <w:jc w:val="left"/>
        <w:rPr>
          <w:rFonts w:ascii="仿宋" w:hAnsi="仿宋" w:eastAsia="仿宋" w:cs="仿宋"/>
          <w:sz w:val="24"/>
        </w:rPr>
      </w:pPr>
      <w:r>
        <w:rPr>
          <w:rFonts w:hint="eastAsia" w:ascii="仿宋" w:hAnsi="仿宋" w:eastAsia="仿宋" w:cs="仿宋"/>
          <w:sz w:val="24"/>
        </w:rPr>
        <w:t>技术团队须包含至少1名数据库工程师、1名网络安全工程师，所有运维人员须具备对应系统的原厂运维认证资质；</w:t>
      </w:r>
    </w:p>
    <w:p w14:paraId="5C5596BB">
      <w:pPr>
        <w:pStyle w:val="34"/>
        <w:numPr>
          <w:ilvl w:val="0"/>
          <w:numId w:val="4"/>
        </w:numPr>
        <w:snapToGrid w:val="0"/>
        <w:spacing w:line="360" w:lineRule="auto"/>
        <w:ind w:left="0" w:firstLine="480"/>
        <w:jc w:val="left"/>
        <w:rPr>
          <w:rFonts w:ascii="仿宋" w:hAnsi="仿宋" w:eastAsia="仿宋" w:cs="仿宋"/>
          <w:sz w:val="24"/>
        </w:rPr>
      </w:pPr>
      <w:r>
        <w:rPr>
          <w:rFonts w:hint="eastAsia" w:ascii="仿宋" w:hAnsi="仿宋" w:eastAsia="仿宋" w:cs="仿宋"/>
          <w:sz w:val="24"/>
        </w:rPr>
        <w:t>提供团队所有人员近3个月的社保缴纳证明材料，确保人员稳定，未经采购人书面同意，不得擅自更换项目核心人员。</w:t>
      </w:r>
    </w:p>
    <w:p w14:paraId="45804BD3">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5.2.3.服务商须具备完善的技术支撑体系，具备原厂级研发与维护能力，可提供系统源代码级的故障修复、功能适配服务，具备本地化服务能力，确保应急处置时效。</w:t>
      </w:r>
    </w:p>
    <w:p w14:paraId="4442199E">
      <w:pPr>
        <w:snapToGrid w:val="0"/>
        <w:spacing w:line="360" w:lineRule="auto"/>
        <w:jc w:val="left"/>
        <w:rPr>
          <w:rFonts w:ascii="仿宋" w:hAnsi="仿宋" w:eastAsia="仿宋" w:cs="仿宋"/>
          <w:sz w:val="24"/>
        </w:rPr>
      </w:pPr>
      <w:r>
        <w:rPr>
          <w:rFonts w:hint="eastAsia" w:ascii="仿宋" w:hAnsi="仿宋" w:eastAsia="仿宋" w:cs="仿宋"/>
          <w:b/>
          <w:sz w:val="24"/>
        </w:rPr>
        <w:t>6. 数据安全与信息保密要求</w:t>
      </w:r>
    </w:p>
    <w:p w14:paraId="21234B6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本条款严格遵循《数据安全法》、《个人信息保护法》、《医疗卫生机构网络安全管理办法》、《医疗卫生数据安全指南》制定，为项目刚性要求，具体如下：</w:t>
      </w:r>
    </w:p>
    <w:p w14:paraId="16FAA2BF">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5.</w:t>
      </w:r>
    </w:p>
    <w:p w14:paraId="6FA4BB84">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6.</w:t>
      </w:r>
    </w:p>
    <w:p w14:paraId="04A3882C">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6.1.服务商须建立完善的数据安全管理制度、全生命周期数据保护体系、个人信息保护管理制度，符合国家医疗数据分类分级保护要求，明确数据安全责任部门与专职技术人员，提供专职人员证明材料。</w:t>
      </w:r>
    </w:p>
    <w:p w14:paraId="23923A9A">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6.2.服务商须与采购人签订专项数据安全与保密协议，同时与所有参与本项目的服务人员签订保密协议，明确保密义务、保密范围、保密期限（含在职期间及离职后终身保密）与违约责任，相关协议文本须提交采购人备案。</w:t>
      </w:r>
    </w:p>
    <w:p w14:paraId="4EF72A33">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6.3.服务商须严格遵守国家法律法规，对服务过程中接触、获取的所有医疗数据、患者个人信息、医院业务数据、涉密信息等，仅可用于本项目运维服务工作，不得擅自复制、存储、泄露、转让、篡改、销毁，不得用于任何商业用途或其他未经授权的用途。</w:t>
      </w:r>
    </w:p>
    <w:p w14:paraId="6714CD97">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6.4.服务商的远程运维操作须经过采购人书面审批，采用加密安全接入方式，全程留痕，审计日志留存不少于6个月；严禁未经授权的远程操作，严禁将系统接入公共互联网进行运维操作。</w:t>
      </w:r>
    </w:p>
    <w:p w14:paraId="503043C8">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6.5.服务商须建立数据安全事件应急处置机制，发生数据泄露、篡改、丢失等安全事件时，须10分钟内响应，第一时间通知采购人，同步启动应急预案，采取处置措施防止事件扩大，配合采购人完成监管上报、事件调查等工作，并承担全部法律责任与经济损失。</w:t>
      </w:r>
    </w:p>
    <w:p w14:paraId="707B8616">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6.6.国产化迁移实施过程中，须严格遵循采购人数据安全管理规定，制定专项数据迁移安全方案，全程加密传输数据，做好全量数据备份与一致性校验，确保迁移过程数据全生命周期安全。</w:t>
      </w:r>
    </w:p>
    <w:p w14:paraId="749E23AF">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6.7.服务期结束后，服务商须将所有运维相关数据、文档、材料完整移交采购人，彻底删除所持有的采购人全部数据，不得留存任何副本，并向采购人出具数据删除承诺书。</w:t>
      </w:r>
    </w:p>
    <w:p w14:paraId="651B2845">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6.8.服务商须配合采购人完成数据安全检查、网络安全审计、等保测评等相关工作，提供对应的技术支撑与整改服务。</w:t>
      </w:r>
    </w:p>
    <w:p w14:paraId="59B60CF9">
      <w:pPr>
        <w:snapToGrid w:val="0"/>
        <w:spacing w:line="360" w:lineRule="auto"/>
        <w:jc w:val="left"/>
        <w:rPr>
          <w:rFonts w:ascii="仿宋" w:hAnsi="仿宋" w:eastAsia="仿宋" w:cs="仿宋"/>
          <w:sz w:val="24"/>
        </w:rPr>
      </w:pPr>
      <w:r>
        <w:rPr>
          <w:rFonts w:hint="eastAsia" w:ascii="仿宋" w:hAnsi="仿宋" w:eastAsia="仿宋" w:cs="仿宋"/>
          <w:b/>
          <w:sz w:val="24"/>
        </w:rPr>
        <w:t>三、商务要求</w:t>
      </w:r>
    </w:p>
    <w:p w14:paraId="25A04B58">
      <w:pPr>
        <w:snapToGrid w:val="0"/>
        <w:spacing w:line="360" w:lineRule="auto"/>
        <w:jc w:val="left"/>
        <w:rPr>
          <w:rFonts w:ascii="仿宋" w:hAnsi="仿宋" w:eastAsia="仿宋" w:cs="仿宋"/>
          <w:sz w:val="24"/>
        </w:rPr>
      </w:pPr>
      <w:r>
        <w:rPr>
          <w:rFonts w:hint="eastAsia" w:ascii="仿宋" w:hAnsi="仿宋" w:eastAsia="仿宋" w:cs="仿宋"/>
          <w:b/>
          <w:sz w:val="24"/>
        </w:rPr>
        <w:t>1. 合同核心内容</w:t>
      </w:r>
    </w:p>
    <w:p w14:paraId="4707D03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合同标的为成交供应商提供的本文件约定的全部运维服务、服务器端国产化替代专项技术服务，合同内容包含采购文件、成交供应商的响应文件、单一来源采购协商记录、服务承诺、成交通知书、合同文本等全部文件，成交总金额为合同固定总价，包含服务期内完成全部服务所需的人工、材料、设备、开发、测试、税费、培训、应急保障等所有费用，采购人无需额外支付任何费用。</w:t>
      </w:r>
    </w:p>
    <w:p w14:paraId="2A5587C3">
      <w:pPr>
        <w:snapToGrid w:val="0"/>
        <w:spacing w:line="360" w:lineRule="auto"/>
        <w:jc w:val="left"/>
        <w:rPr>
          <w:rFonts w:ascii="仿宋" w:hAnsi="仿宋" w:eastAsia="仿宋" w:cs="仿宋"/>
          <w:sz w:val="24"/>
        </w:rPr>
      </w:pPr>
      <w:r>
        <w:rPr>
          <w:rFonts w:hint="eastAsia" w:ascii="仿宋" w:hAnsi="仿宋" w:eastAsia="仿宋" w:cs="仿宋"/>
          <w:b/>
          <w:sz w:val="24"/>
        </w:rPr>
        <w:t>2. 服务地点</w:t>
      </w:r>
    </w:p>
    <w:p w14:paraId="23E0964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陕西省交通医院本部及所有分院区、采购人指定的其他服务场所。</w:t>
      </w:r>
    </w:p>
    <w:p w14:paraId="4327DDF9">
      <w:pPr>
        <w:snapToGrid w:val="0"/>
        <w:spacing w:line="360" w:lineRule="auto"/>
        <w:jc w:val="left"/>
        <w:rPr>
          <w:rFonts w:ascii="仿宋" w:hAnsi="仿宋" w:eastAsia="仿宋" w:cs="仿宋"/>
          <w:sz w:val="24"/>
        </w:rPr>
      </w:pPr>
      <w:r>
        <w:rPr>
          <w:rFonts w:hint="eastAsia" w:ascii="仿宋" w:hAnsi="仿宋" w:eastAsia="仿宋" w:cs="仿宋"/>
          <w:b/>
          <w:sz w:val="24"/>
        </w:rPr>
        <w:t>3. 服务期限</w:t>
      </w:r>
    </w:p>
    <w:p w14:paraId="24AAC14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本项目服务期限为1年，自合同签订之日起计算。服务期内，服务商服务质量持续不达标，采购人有权提前终止合同。</w:t>
      </w:r>
    </w:p>
    <w:p w14:paraId="1AE2A43C">
      <w:pPr>
        <w:snapToGrid w:val="0"/>
        <w:spacing w:line="360" w:lineRule="auto"/>
        <w:jc w:val="left"/>
        <w:rPr>
          <w:rFonts w:ascii="仿宋" w:hAnsi="仿宋" w:eastAsia="仿宋" w:cs="仿宋"/>
          <w:sz w:val="24"/>
        </w:rPr>
      </w:pPr>
      <w:r>
        <w:rPr>
          <w:rFonts w:hint="eastAsia" w:ascii="仿宋" w:hAnsi="仿宋" w:eastAsia="仿宋" w:cs="仿宋"/>
          <w:b/>
          <w:sz w:val="24"/>
        </w:rPr>
        <w:t>4. 项目考核与验收</w:t>
      </w:r>
    </w:p>
    <w:p w14:paraId="7A42DB1F">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1</w:t>
      </w:r>
    </w:p>
    <w:p w14:paraId="1BEC35C1">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2</w:t>
      </w:r>
    </w:p>
    <w:p w14:paraId="269663D5">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3</w:t>
      </w:r>
    </w:p>
    <w:p w14:paraId="25C30076">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4</w:t>
      </w:r>
    </w:p>
    <w:p w14:paraId="14A8354F">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4.1本项目采用月度动态考核+年度总验收的方式，由采购人信息科牵头，联合医务科、体检科、财务科等相关部门，或邀请外部专家开展考核评价与验收工作，成交供应商须无条件配合，并提供全部所需的运维记录、报告等资料。</w:t>
      </w:r>
    </w:p>
    <w:p w14:paraId="1EA877B5">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4.2考核标准：严格按照本文件附件《信息系统售后运维服务质量评价标准》执行，评分满分100分。90分（含）-100分为优秀，70分（含）-89分为合格，70分以下为不合格。</w:t>
      </w:r>
    </w:p>
    <w:p w14:paraId="0A8327AB">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4.3验收依据：本采购文件、成交供应商响应文件、合同文本、国家及行业现行相关标准规范、月度考核记录、运维服务报告、服务满意度调查结果、项目考核汇总表等。</w:t>
      </w:r>
    </w:p>
    <w:p w14:paraId="4F1EF200">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4.4年度验收合格的前提：服务期内无重大数据安全事件、无重大服务质量投诉、无因服务商责任导致的医疗业务重大中断事故，年度考核评分≥70分。</w:t>
      </w:r>
    </w:p>
    <w:p w14:paraId="068B5D5B">
      <w:pPr>
        <w:snapToGrid w:val="0"/>
        <w:spacing w:line="360" w:lineRule="auto"/>
        <w:jc w:val="left"/>
        <w:rPr>
          <w:rFonts w:ascii="仿宋" w:hAnsi="仿宋" w:eastAsia="仿宋" w:cs="仿宋"/>
          <w:sz w:val="24"/>
        </w:rPr>
      </w:pPr>
      <w:r>
        <w:rPr>
          <w:rFonts w:hint="eastAsia" w:ascii="仿宋" w:hAnsi="仿宋" w:eastAsia="仿宋" w:cs="仿宋"/>
          <w:b/>
          <w:sz w:val="24"/>
        </w:rPr>
        <w:t>5. 结算与付款方式</w:t>
      </w:r>
    </w:p>
    <w:p w14:paraId="593E93CA">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5</w:t>
      </w:r>
    </w:p>
    <w:p w14:paraId="12C96122">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5.1结算主体为采购人，结算前，成交供应商须向采购人开具合法、等额、有效的发票，采购人收到发票后按以下约定付款，因供应商发票开具不合规导致的付款延误，由供应商自行承担全部责任。</w:t>
      </w:r>
    </w:p>
    <w:p w14:paraId="10C14E81">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5.2付款方式：</w:t>
      </w:r>
    </w:p>
    <w:p w14:paraId="2B00A1B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0A9795C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6DE97358">
      <w:pPr>
        <w:tabs>
          <w:tab w:val="left" w:pos="567"/>
        </w:tabs>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46C5AEB1">
      <w:pPr>
        <w:tabs>
          <w:tab w:val="left" w:pos="567"/>
        </w:tabs>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44E0C058">
      <w:pPr>
        <w:tabs>
          <w:tab w:val="left" w:pos="567"/>
        </w:tabs>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5660E77A">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5.3月度考核连续2个月低于70分，或年度内累计3个月低于70分的，直接认定为年度考核不合格。</w:t>
      </w:r>
    </w:p>
    <w:p w14:paraId="74830FF5">
      <w:pPr>
        <w:snapToGrid w:val="0"/>
        <w:spacing w:line="360" w:lineRule="auto"/>
        <w:jc w:val="left"/>
        <w:rPr>
          <w:rFonts w:ascii="仿宋" w:hAnsi="仿宋" w:eastAsia="仿宋" w:cs="仿宋"/>
          <w:sz w:val="24"/>
        </w:rPr>
      </w:pPr>
      <w:r>
        <w:rPr>
          <w:rFonts w:hint="eastAsia" w:ascii="仿宋" w:hAnsi="仿宋" w:eastAsia="仿宋" w:cs="仿宋"/>
          <w:b/>
          <w:sz w:val="24"/>
        </w:rPr>
        <w:t>6. 知识产权条款</w:t>
      </w:r>
    </w:p>
    <w:p w14:paraId="16D4A796">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6</w:t>
      </w:r>
    </w:p>
    <w:p w14:paraId="0059AB57">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6.1供应商须保证，其提供的运维服务、软件更新、升级服务及相关技术成果，不会出现任何第三方提出侵犯其专利权、商标权、著作权或其他知识产权的主张或诉讼，如发生前述情形，由供应商承担全部法律责任，并赔偿采购人因此遭受的全部经济损失。</w:t>
      </w:r>
    </w:p>
    <w:p w14:paraId="75A5DFA7">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6.2本项目涉及系统的软件著作权、知识产权归原权利人所有，供应商仅可基于本项目运维服务目的，在采购人授权范围内使用相关软件及技术资料，不得擅自复制、分发、转让、反编译、反向工程，不得用于任何其他用途。</w:t>
      </w:r>
    </w:p>
    <w:p w14:paraId="5CC8A7B9">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6.3服务期内，采购人基于系统使用产生的全部医疗数据、业务数据、患者个人信息等所有数据的所有权、使用权均归采购人所有，供应商不得主张任何权利，不得擅自使用。</w:t>
      </w:r>
    </w:p>
    <w:p w14:paraId="319D88AD">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6.4供应商为采购人提供的定制化功能开发、政策适配升级、技术方案等成果，知识产权归采购人所有，供应商仅可保留非商业用途的技术使用权。</w:t>
      </w:r>
    </w:p>
    <w:p w14:paraId="0915338B">
      <w:pPr>
        <w:snapToGrid w:val="0"/>
        <w:spacing w:line="360" w:lineRule="auto"/>
        <w:jc w:val="left"/>
        <w:rPr>
          <w:rFonts w:ascii="仿宋" w:hAnsi="仿宋" w:eastAsia="仿宋" w:cs="仿宋"/>
          <w:sz w:val="24"/>
        </w:rPr>
      </w:pPr>
      <w:r>
        <w:rPr>
          <w:rFonts w:hint="eastAsia" w:ascii="仿宋" w:hAnsi="仿宋" w:eastAsia="仿宋" w:cs="仿宋"/>
          <w:b/>
          <w:sz w:val="24"/>
        </w:rPr>
        <w:t>7. 违约责任</w:t>
      </w:r>
    </w:p>
    <w:p w14:paraId="5202015F">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7</w:t>
      </w:r>
    </w:p>
    <w:p w14:paraId="4E743A4E">
      <w:pPr>
        <w:numPr>
          <w:ilvl w:val="1"/>
          <w:numId w:val="0"/>
        </w:numPr>
        <w:snapToGrid w:val="0"/>
        <w:spacing w:line="360" w:lineRule="auto"/>
        <w:ind w:left="987" w:hanging="567"/>
        <w:jc w:val="left"/>
        <w:rPr>
          <w:rFonts w:ascii="仿宋" w:hAnsi="仿宋" w:eastAsia="仿宋" w:cs="仿宋"/>
          <w:sz w:val="24"/>
        </w:rPr>
      </w:pPr>
      <w:r>
        <w:rPr>
          <w:rFonts w:hint="eastAsia" w:ascii="仿宋" w:hAnsi="仿宋" w:eastAsia="仿宋" w:cs="仿宋"/>
          <w:sz w:val="24"/>
        </w:rPr>
        <w:t>7.1本合同违约责任严格按照《中华人民共和国民法典》相关条款执行。</w:t>
      </w:r>
    </w:p>
    <w:p w14:paraId="347AF88B">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7.2供应商未按合同约定提供服务，或服务质量、响应时效、技术能力不满足合同要求，采购人有权按《服务质量评价标准》扣除对应款项，并要求供应商限期整改；整改后仍无法满足合同要求的，采购人有权扣除对应合同款项，直至单方面解除合同，供应商须承担采购人因此遭受的全部损失。</w:t>
      </w:r>
    </w:p>
    <w:p w14:paraId="4A8F0324">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7.3供应商未按故障SLA要求完成响应与故障处置的，每出现一次一级故障超时，扣除合同总价款的5%；每出现一次二级故障超时，扣除合同总价款的2%；三级、四级故障超时，按评价标准扣除对应分值，并累计扣除合同款项。因供应商故障处置不及时导致医院业务中断、产生医疗纠纷或监管处罚的，全部责任与经济损失由供应商承担。</w:t>
      </w:r>
    </w:p>
    <w:p w14:paraId="05F5687C">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7.4供应商违反数据安全与保密约定，发生数据泄露、篡改、丢失等事件，或擅自使用、转让采购人数据的，采购人有权立即解除合同，不予支付剩余全部合同款项，供应商须支付合同总价款30%的违约金，同时承担全部法律责任，赔偿采购人因此遭受的全部经济损失（含监管处罚、民事赔偿、商誉损失等）。</w:t>
      </w:r>
    </w:p>
    <w:p w14:paraId="4CF117BA">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7.5供应商未经采购人同意，擅自更换项目核心人员、转包/分包本项目服务的，采购人有权扣除合同总价款的10%作为违约金，情节严重的，有权解除合同。</w:t>
      </w:r>
    </w:p>
    <w:p w14:paraId="3433CF7D">
      <w:pPr>
        <w:snapToGrid w:val="0"/>
        <w:spacing w:line="360" w:lineRule="auto"/>
        <w:jc w:val="left"/>
        <w:rPr>
          <w:rFonts w:ascii="仿宋" w:hAnsi="仿宋" w:eastAsia="仿宋" w:cs="仿宋"/>
          <w:sz w:val="24"/>
        </w:rPr>
      </w:pPr>
      <w:r>
        <w:rPr>
          <w:rFonts w:hint="eastAsia" w:ascii="仿宋" w:hAnsi="仿宋" w:eastAsia="仿宋" w:cs="仿宋"/>
          <w:b/>
          <w:sz w:val="24"/>
        </w:rPr>
        <w:t>8. 其他约定</w:t>
      </w:r>
    </w:p>
    <w:p w14:paraId="763A0755">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8</w:t>
      </w:r>
    </w:p>
    <w:p w14:paraId="6C943E36">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8.1本项目技术要求与商务要求为合同核心条款，不允许任何负偏离，供应商响应文件须对所有条款作出完全响应承诺，负偏离响应将按无效响应处理。</w:t>
      </w:r>
    </w:p>
    <w:p w14:paraId="38813842">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8.2服务期内，如遇国家政策法规、行业标准发生重大调整，采购人有权对服务内容与要求进行合规性调整，供应商须无条件配合，不得额外收取费用。</w:t>
      </w:r>
    </w:p>
    <w:p w14:paraId="63FB9E53">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8.3本文件未尽事宜，由双方在合同中另行约定，约定内容不得违反本文件的核心要求与国家相关法律法规。</w:t>
      </w:r>
    </w:p>
    <w:p w14:paraId="375D2805">
      <w:pPr>
        <w:rPr>
          <w:rFonts w:ascii="仿宋" w:hAnsi="仿宋" w:eastAsia="仿宋" w:cs="仿宋"/>
          <w:b/>
          <w:bCs/>
          <w:sz w:val="24"/>
        </w:rPr>
      </w:pPr>
    </w:p>
    <w:p w14:paraId="5D5F50DB">
      <w:pPr>
        <w:pStyle w:val="3"/>
        <w:spacing w:line="360" w:lineRule="auto"/>
        <w:jc w:val="both"/>
        <w:rPr>
          <w:rFonts w:ascii="仿宋" w:hAnsi="仿宋" w:eastAsia="仿宋" w:cs="仿宋"/>
          <w:b/>
          <w:bCs/>
          <w:sz w:val="24"/>
          <w:szCs w:val="24"/>
          <w:lang w:eastAsia="zh-CN"/>
        </w:rPr>
      </w:pPr>
      <w:r>
        <w:rPr>
          <w:rFonts w:hint="eastAsia" w:ascii="仿宋" w:hAnsi="仿宋" w:eastAsia="仿宋" w:cs="仿宋"/>
          <w:b/>
          <w:bCs/>
          <w:sz w:val="24"/>
          <w:szCs w:val="24"/>
          <w:lang w:eastAsia="zh-CN"/>
        </w:rPr>
        <w:t>合同包9-采购需求（智能导检系统与门诊叫号系统售后服务）</w:t>
      </w:r>
    </w:p>
    <w:p w14:paraId="5A38149D">
      <w:pPr>
        <w:snapToGrid w:val="0"/>
        <w:spacing w:line="360" w:lineRule="auto"/>
        <w:jc w:val="left"/>
        <w:rPr>
          <w:rFonts w:ascii="仿宋" w:hAnsi="仿宋" w:eastAsia="仿宋" w:cs="仿宋"/>
          <w:sz w:val="24"/>
        </w:rPr>
      </w:pPr>
      <w:r>
        <w:rPr>
          <w:rFonts w:hint="eastAsia" w:ascii="仿宋" w:hAnsi="仿宋" w:eastAsia="仿宋" w:cs="仿宋"/>
          <w:b/>
          <w:sz w:val="24"/>
        </w:rPr>
        <w:t>一、项目概述</w:t>
      </w:r>
    </w:p>
    <w:p w14:paraId="0738BFD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陕西省交通医院《体检导检系统》与《门诊叫号系统》已于2019年11月完成竣工验收并正式投入使用。为保障采购人信息系统持续稳定运行、维护正常医疗服务秩序、确保院内各信息系统数据互联互通与安全共享、充分保障患者合法权益与个人信息安全，现通过单一来源采购方式，委托具备对应系统原厂维护授权、专业信息系统运维服务能力的供应商，为采购人提供上述系统的全流程售后运维与技术支持服务，进一步完善医院信息系统运维管理体系，提升系统安全保障与服务支撑能力。</w:t>
      </w:r>
    </w:p>
    <w:p w14:paraId="636301B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项目为单一来源采购项目，服务商须为系统原软件厂商，或取得原厂商针对本项目出具的唯一专项授权文件，具备系统源代码级维护、原厂补丁更新、合规性升级的完整技术能力，确保服务的合法性、连续性与技术匹配性。</w:t>
      </w:r>
    </w:p>
    <w:p w14:paraId="74FA207B">
      <w:pPr>
        <w:snapToGrid w:val="0"/>
        <w:spacing w:line="360" w:lineRule="auto"/>
        <w:jc w:val="left"/>
        <w:rPr>
          <w:rFonts w:ascii="仿宋" w:hAnsi="仿宋" w:eastAsia="仿宋" w:cs="仿宋"/>
          <w:sz w:val="24"/>
        </w:rPr>
      </w:pPr>
      <w:r>
        <w:rPr>
          <w:rFonts w:hint="eastAsia" w:ascii="仿宋" w:hAnsi="仿宋" w:eastAsia="仿宋" w:cs="仿宋"/>
          <w:b/>
          <w:sz w:val="24"/>
        </w:rPr>
        <w:t>二、技术要求</w:t>
      </w:r>
    </w:p>
    <w:p w14:paraId="0D584C96">
      <w:pPr>
        <w:snapToGrid w:val="0"/>
        <w:spacing w:line="360" w:lineRule="auto"/>
        <w:jc w:val="left"/>
        <w:rPr>
          <w:rFonts w:ascii="仿宋" w:hAnsi="仿宋" w:eastAsia="仿宋" w:cs="仿宋"/>
          <w:sz w:val="24"/>
        </w:rPr>
      </w:pPr>
      <w:r>
        <w:rPr>
          <w:rFonts w:hint="eastAsia" w:ascii="仿宋" w:hAnsi="仿宋" w:eastAsia="仿宋" w:cs="仿宋"/>
          <w:b/>
          <w:sz w:val="24"/>
        </w:rPr>
        <w:t>1. 名词解释</w:t>
      </w:r>
    </w:p>
    <w:p w14:paraId="7FA22A0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本文件所涉及名词定义严格遵循国家信息技术服务标准（ITSS）、医疗信息化行业规范及相关法律法规，具体如下：</w:t>
      </w:r>
    </w:p>
    <w:p w14:paraId="14D697E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1.1 </w:t>
      </w:r>
      <w:r>
        <w:rPr>
          <w:rFonts w:hint="eastAsia" w:ascii="仿宋" w:hAnsi="仿宋" w:eastAsia="仿宋" w:cs="仿宋"/>
          <w:b/>
          <w:sz w:val="24"/>
        </w:rPr>
        <w:t>维护</w:t>
      </w:r>
      <w:r>
        <w:rPr>
          <w:rFonts w:hint="eastAsia" w:ascii="仿宋" w:hAnsi="仿宋" w:eastAsia="仿宋" w:cs="仿宋"/>
          <w:sz w:val="24"/>
        </w:rPr>
        <w:t>：指服务供应商为采购人提供许可软件的全生命周期技术支撑，包括但不限于故障排查与修复、技术指导、运行优化、合规适配、安全加固等服务工作的总称。</w:t>
      </w:r>
    </w:p>
    <w:p w14:paraId="2BFF2F5E">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1.2 </w:t>
      </w:r>
      <w:r>
        <w:rPr>
          <w:rFonts w:hint="eastAsia" w:ascii="仿宋" w:hAnsi="仿宋" w:eastAsia="仿宋" w:cs="仿宋"/>
          <w:b/>
          <w:sz w:val="24"/>
        </w:rPr>
        <w:t>现场</w:t>
      </w:r>
      <w:r>
        <w:rPr>
          <w:rFonts w:hint="eastAsia" w:ascii="仿宋" w:hAnsi="仿宋" w:eastAsia="仿宋" w:cs="仿宋"/>
          <w:sz w:val="24"/>
        </w:rPr>
        <w:t>：指采购人许可系统部署、使用的全部场所，含医院本部院区、各分院区、社区服务点等所有系统终端部署点位。</w:t>
      </w:r>
    </w:p>
    <w:p w14:paraId="452C850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1.3 </w:t>
      </w:r>
      <w:r>
        <w:rPr>
          <w:rFonts w:hint="eastAsia" w:ascii="仿宋" w:hAnsi="仿宋" w:eastAsia="仿宋" w:cs="仿宋"/>
          <w:b/>
          <w:sz w:val="24"/>
        </w:rPr>
        <w:t>现场维护</w:t>
      </w:r>
      <w:r>
        <w:rPr>
          <w:rFonts w:hint="eastAsia" w:ascii="仿宋" w:hAnsi="仿宋" w:eastAsia="仿宋" w:cs="仿宋"/>
          <w:sz w:val="24"/>
        </w:rPr>
        <w:t>：指服务供应商针对采购人提出的技术服务请求，派遣具备对应资质的技术人员到采购人指定现场，完成问题处置、技术服务的全过程。</w:t>
      </w:r>
    </w:p>
    <w:p w14:paraId="69566E7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1.4 </w:t>
      </w:r>
      <w:r>
        <w:rPr>
          <w:rFonts w:hint="eastAsia" w:ascii="仿宋" w:hAnsi="仿宋" w:eastAsia="仿宋" w:cs="仿宋"/>
          <w:b/>
          <w:sz w:val="24"/>
        </w:rPr>
        <w:t>远程维护</w:t>
      </w:r>
      <w:r>
        <w:rPr>
          <w:rFonts w:hint="eastAsia" w:ascii="仿宋" w:hAnsi="仿宋" w:eastAsia="仿宋" w:cs="仿宋"/>
          <w:sz w:val="24"/>
        </w:rPr>
        <w:t>：指服务供应商针对采购人提出的技术服务请求，通过加密专线、安全远程接入方式，向采购人提供问题解答、技术指导、远程故障排查与修复的服务过程，远程操作须全程留痕、符合医院网络安全管理规定。</w:t>
      </w:r>
    </w:p>
    <w:p w14:paraId="1AA52CB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1.5 </w:t>
      </w:r>
      <w:r>
        <w:rPr>
          <w:rFonts w:hint="eastAsia" w:ascii="仿宋" w:hAnsi="仿宋" w:eastAsia="仿宋" w:cs="仿宋"/>
          <w:b/>
          <w:sz w:val="24"/>
        </w:rPr>
        <w:t>软件更新</w:t>
      </w:r>
      <w:r>
        <w:rPr>
          <w:rFonts w:hint="eastAsia" w:ascii="仿宋" w:hAnsi="仿宋" w:eastAsia="仿宋" w:cs="仿宋"/>
          <w:sz w:val="24"/>
        </w:rPr>
        <w:t>：指为保障系统合规性、安全性、功能性，对许可软件进行的安全补丁更新、故障优化、版本迭代、政策适配性升级、功能完善的全过程，不限于仅故障场景。</w:t>
      </w:r>
    </w:p>
    <w:p w14:paraId="37CCFAF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1.6 </w:t>
      </w:r>
      <w:r>
        <w:rPr>
          <w:rFonts w:hint="eastAsia" w:ascii="仿宋" w:hAnsi="仿宋" w:eastAsia="仿宋" w:cs="仿宋"/>
          <w:b/>
          <w:sz w:val="24"/>
        </w:rPr>
        <w:t>技术支持</w:t>
      </w:r>
      <w:r>
        <w:rPr>
          <w:rFonts w:hint="eastAsia" w:ascii="仿宋" w:hAnsi="仿宋" w:eastAsia="仿宋" w:cs="仿宋"/>
          <w:sz w:val="24"/>
        </w:rPr>
        <w:t>：指服务供应商为保障许可软件和系统持续稳定运行，在服务期内通过电话、互联网、现场服务等方式，向采购人提供的7×24小时技术援助、操作指导与问题处置服务。</w:t>
      </w:r>
    </w:p>
    <w:p w14:paraId="2617159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1.7 </w:t>
      </w:r>
      <w:r>
        <w:rPr>
          <w:rFonts w:hint="eastAsia" w:ascii="仿宋" w:hAnsi="仿宋" w:eastAsia="仿宋" w:cs="仿宋"/>
          <w:b/>
          <w:sz w:val="24"/>
        </w:rPr>
        <w:t>热线支持</w:t>
      </w:r>
      <w:r>
        <w:rPr>
          <w:rFonts w:hint="eastAsia" w:ascii="仿宋" w:hAnsi="仿宋" w:eastAsia="仿宋" w:cs="仿宋"/>
          <w:sz w:val="24"/>
        </w:rPr>
        <w:t>：指服务供应商客户服务中心通过专属服务热线，7×24小时向采购人提供技术问题解答、服务请求受理、故障派单的服务过程。</w:t>
      </w:r>
    </w:p>
    <w:p w14:paraId="17F9F6B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1.8 </w:t>
      </w:r>
      <w:r>
        <w:rPr>
          <w:rFonts w:hint="eastAsia" w:ascii="仿宋" w:hAnsi="仿宋" w:eastAsia="仿宋" w:cs="仿宋"/>
          <w:b/>
          <w:sz w:val="24"/>
        </w:rPr>
        <w:t>在线技术支持</w:t>
      </w:r>
      <w:r>
        <w:rPr>
          <w:rFonts w:hint="eastAsia" w:ascii="仿宋" w:hAnsi="仿宋" w:eastAsia="仿宋" w:cs="仿宋"/>
          <w:sz w:val="24"/>
        </w:rPr>
        <w:t>：指服务供应商客户服务中心通过安全在线支持系统，接收、解答采购人问题，发布相关技术解决方案、操作指引的服务过程。</w:t>
      </w:r>
    </w:p>
    <w:p w14:paraId="3AB1EEF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1.9 </w:t>
      </w:r>
      <w:r>
        <w:rPr>
          <w:rFonts w:hint="eastAsia" w:ascii="仿宋" w:hAnsi="仿宋" w:eastAsia="仿宋" w:cs="仿宋"/>
          <w:b/>
          <w:sz w:val="24"/>
        </w:rPr>
        <w:t>响应时间</w:t>
      </w:r>
      <w:r>
        <w:rPr>
          <w:rFonts w:hint="eastAsia" w:ascii="仿宋" w:hAnsi="仿宋" w:eastAsia="仿宋" w:cs="仿宋"/>
          <w:sz w:val="24"/>
        </w:rPr>
        <w:t>：指服务供应商接到采购人正式服务请求后，到与采购人完成沟通、明确故障情况、出具服务承诺与初步处置方案的时间。</w:t>
      </w:r>
    </w:p>
    <w:p w14:paraId="0D6375B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1.10 </w:t>
      </w:r>
      <w:r>
        <w:rPr>
          <w:rFonts w:hint="eastAsia" w:ascii="仿宋" w:hAnsi="仿宋" w:eastAsia="仿宋" w:cs="仿宋"/>
          <w:b/>
          <w:sz w:val="24"/>
        </w:rPr>
        <w:t>解决时间</w:t>
      </w:r>
      <w:r>
        <w:rPr>
          <w:rFonts w:hint="eastAsia" w:ascii="仿宋" w:hAnsi="仿宋" w:eastAsia="仿宋" w:cs="仿宋"/>
          <w:sz w:val="24"/>
        </w:rPr>
        <w:t>：指服务供应商从接到服务请求起，到系统故障完全修复、业务恢复正常运行、问题闭环处置的时间。</w:t>
      </w:r>
    </w:p>
    <w:p w14:paraId="3739B35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1.11 </w:t>
      </w:r>
      <w:r>
        <w:rPr>
          <w:rFonts w:hint="eastAsia" w:ascii="仿宋" w:hAnsi="仿宋" w:eastAsia="仿宋" w:cs="仿宋"/>
          <w:b/>
          <w:sz w:val="24"/>
        </w:rPr>
        <w:t>数据安全事件</w:t>
      </w:r>
      <w:r>
        <w:rPr>
          <w:rFonts w:hint="eastAsia" w:ascii="仿宋" w:hAnsi="仿宋" w:eastAsia="仿宋" w:cs="仿宋"/>
          <w:sz w:val="24"/>
        </w:rPr>
        <w:t>：指系统运行过程中发生的，可能或已经导致医疗数据、患者个人信息泄露、损毁、篡改、丢失，以及系统被非法入侵、攻击等影响数据安全的事件。</w:t>
      </w:r>
    </w:p>
    <w:p w14:paraId="217FE23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 xml:space="preserve">1.12 </w:t>
      </w:r>
      <w:r>
        <w:rPr>
          <w:rFonts w:hint="eastAsia" w:ascii="仿宋" w:hAnsi="仿宋" w:eastAsia="仿宋" w:cs="仿宋"/>
          <w:b/>
          <w:sz w:val="24"/>
        </w:rPr>
        <w:t>等保合规</w:t>
      </w:r>
      <w:r>
        <w:rPr>
          <w:rFonts w:hint="eastAsia" w:ascii="仿宋" w:hAnsi="仿宋" w:eastAsia="仿宋" w:cs="仿宋"/>
          <w:sz w:val="24"/>
        </w:rPr>
        <w:t>：指系统运行与运维服务须符合国家网络安全等级保护2.0标准对应级别的全部要求。</w:t>
      </w:r>
    </w:p>
    <w:p w14:paraId="23C0AAB2">
      <w:pPr>
        <w:snapToGrid w:val="0"/>
        <w:spacing w:line="360" w:lineRule="auto"/>
        <w:jc w:val="left"/>
        <w:rPr>
          <w:rFonts w:ascii="仿宋" w:hAnsi="仿宋" w:eastAsia="仿宋" w:cs="仿宋"/>
          <w:sz w:val="24"/>
        </w:rPr>
      </w:pPr>
      <w:r>
        <w:rPr>
          <w:rFonts w:hint="eastAsia" w:ascii="仿宋" w:hAnsi="仿宋" w:eastAsia="仿宋" w:cs="仿宋"/>
          <w:b/>
          <w:sz w:val="24"/>
        </w:rPr>
        <w:t>2. 运维服务系统范围</w:t>
      </w:r>
    </w:p>
    <w:p w14:paraId="19E5F20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采购人委托供应商提供售后运维服务的信息系统，包含但不限于下表所列全部模块、子系统及配套硬件设备，同时覆盖系统与院内HIS、LIS、PACS、EMR、医保结算系统、互联网医院平台等现有及未来新增信息系统的接口运维服务，确保系统互联互通。</w:t>
      </w: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4326"/>
        <w:gridCol w:w="4814"/>
      </w:tblGrid>
      <w:tr w14:paraId="2C2DB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66" w:type="pct"/>
            <w:tcMar>
              <w:top w:w="60" w:type="dxa"/>
              <w:left w:w="120" w:type="dxa"/>
              <w:bottom w:w="30" w:type="dxa"/>
              <w:right w:w="120" w:type="dxa"/>
            </w:tcMar>
            <w:vAlign w:val="center"/>
          </w:tcPr>
          <w:p w14:paraId="646194E6">
            <w:pPr>
              <w:snapToGrid w:val="0"/>
              <w:spacing w:line="360" w:lineRule="auto"/>
              <w:jc w:val="center"/>
              <w:rPr>
                <w:rFonts w:ascii="仿宋" w:hAnsi="仿宋" w:eastAsia="仿宋" w:cs="仿宋"/>
                <w:b/>
                <w:sz w:val="24"/>
              </w:rPr>
            </w:pPr>
            <w:r>
              <w:rPr>
                <w:rFonts w:hint="eastAsia" w:ascii="仿宋" w:hAnsi="仿宋" w:eastAsia="仿宋" w:cs="仿宋"/>
                <w:b/>
                <w:sz w:val="24"/>
              </w:rPr>
              <w:t>系统模块名称</w:t>
            </w:r>
          </w:p>
        </w:tc>
        <w:tc>
          <w:tcPr>
            <w:tcW w:w="2633" w:type="pct"/>
            <w:tcMar>
              <w:top w:w="60" w:type="dxa"/>
              <w:left w:w="120" w:type="dxa"/>
              <w:bottom w:w="30" w:type="dxa"/>
              <w:right w:w="120" w:type="dxa"/>
            </w:tcMar>
            <w:vAlign w:val="center"/>
          </w:tcPr>
          <w:p w14:paraId="38E2621F">
            <w:pPr>
              <w:snapToGrid w:val="0"/>
              <w:spacing w:line="360" w:lineRule="auto"/>
              <w:jc w:val="center"/>
              <w:rPr>
                <w:rFonts w:ascii="仿宋" w:hAnsi="仿宋" w:eastAsia="仿宋" w:cs="仿宋"/>
                <w:b/>
                <w:sz w:val="24"/>
              </w:rPr>
            </w:pPr>
            <w:r>
              <w:rPr>
                <w:rFonts w:hint="eastAsia" w:ascii="仿宋" w:hAnsi="仿宋" w:eastAsia="仿宋" w:cs="仿宋"/>
                <w:b/>
                <w:sz w:val="24"/>
              </w:rPr>
              <w:t>子系统功能名称</w:t>
            </w:r>
          </w:p>
        </w:tc>
      </w:tr>
      <w:tr w14:paraId="346CC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66" w:type="pct"/>
            <w:vMerge w:val="restart"/>
            <w:tcMar>
              <w:top w:w="60" w:type="dxa"/>
              <w:left w:w="120" w:type="dxa"/>
              <w:bottom w:w="30" w:type="dxa"/>
              <w:right w:w="120" w:type="dxa"/>
            </w:tcMar>
            <w:vAlign w:val="center"/>
          </w:tcPr>
          <w:p w14:paraId="06842029">
            <w:pPr>
              <w:snapToGrid w:val="0"/>
              <w:spacing w:line="360" w:lineRule="auto"/>
              <w:jc w:val="center"/>
              <w:rPr>
                <w:rFonts w:ascii="仿宋" w:hAnsi="仿宋" w:eastAsia="仿宋" w:cs="仿宋"/>
                <w:sz w:val="24"/>
              </w:rPr>
            </w:pPr>
            <w:r>
              <w:rPr>
                <w:rFonts w:hint="eastAsia" w:ascii="仿宋" w:hAnsi="仿宋" w:eastAsia="仿宋" w:cs="仿宋"/>
                <w:sz w:val="24"/>
              </w:rPr>
              <w:t>体检导检系统</w:t>
            </w:r>
          </w:p>
        </w:tc>
        <w:tc>
          <w:tcPr>
            <w:tcW w:w="2633" w:type="pct"/>
            <w:tcMar>
              <w:top w:w="60" w:type="dxa"/>
              <w:left w:w="120" w:type="dxa"/>
              <w:bottom w:w="30" w:type="dxa"/>
              <w:right w:w="120" w:type="dxa"/>
            </w:tcMar>
            <w:vAlign w:val="center"/>
          </w:tcPr>
          <w:p w14:paraId="6CA2FA9F">
            <w:pPr>
              <w:snapToGrid w:val="0"/>
              <w:spacing w:line="360" w:lineRule="auto"/>
              <w:jc w:val="center"/>
              <w:rPr>
                <w:rFonts w:ascii="仿宋" w:hAnsi="仿宋" w:eastAsia="仿宋" w:cs="仿宋"/>
                <w:sz w:val="24"/>
              </w:rPr>
            </w:pPr>
            <w:r>
              <w:rPr>
                <w:rFonts w:hint="eastAsia" w:ascii="仿宋" w:hAnsi="仿宋" w:eastAsia="仿宋" w:cs="仿宋"/>
                <w:sz w:val="24"/>
              </w:rPr>
              <w:t>体检医生工作站</w:t>
            </w:r>
          </w:p>
        </w:tc>
      </w:tr>
      <w:tr w14:paraId="00EED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66" w:type="pct"/>
            <w:vMerge w:val="continue"/>
            <w:tcMar>
              <w:top w:w="60" w:type="dxa"/>
              <w:left w:w="120" w:type="dxa"/>
              <w:bottom w:w="30" w:type="dxa"/>
              <w:right w:w="120" w:type="dxa"/>
            </w:tcMar>
            <w:vAlign w:val="center"/>
          </w:tcPr>
          <w:p w14:paraId="098F2637">
            <w:pPr>
              <w:snapToGrid w:val="0"/>
              <w:spacing w:line="360" w:lineRule="auto"/>
              <w:jc w:val="center"/>
              <w:rPr>
                <w:rFonts w:ascii="仿宋" w:hAnsi="仿宋" w:eastAsia="仿宋" w:cs="仿宋"/>
                <w:sz w:val="24"/>
              </w:rPr>
            </w:pPr>
          </w:p>
        </w:tc>
        <w:tc>
          <w:tcPr>
            <w:tcW w:w="2633" w:type="pct"/>
            <w:tcMar>
              <w:top w:w="60" w:type="dxa"/>
              <w:left w:w="120" w:type="dxa"/>
              <w:bottom w:w="30" w:type="dxa"/>
              <w:right w:w="120" w:type="dxa"/>
            </w:tcMar>
            <w:vAlign w:val="center"/>
          </w:tcPr>
          <w:p w14:paraId="4003CD32">
            <w:pPr>
              <w:snapToGrid w:val="0"/>
              <w:spacing w:line="360" w:lineRule="auto"/>
              <w:jc w:val="center"/>
              <w:rPr>
                <w:rFonts w:ascii="仿宋" w:hAnsi="仿宋" w:eastAsia="仿宋" w:cs="仿宋"/>
                <w:sz w:val="24"/>
              </w:rPr>
            </w:pPr>
            <w:r>
              <w:rPr>
                <w:rFonts w:hint="eastAsia" w:ascii="仿宋" w:hAnsi="仿宋" w:eastAsia="仿宋" w:cs="仿宋"/>
                <w:sz w:val="24"/>
              </w:rPr>
              <w:t>前台分诊系统</w:t>
            </w:r>
          </w:p>
        </w:tc>
      </w:tr>
      <w:tr w14:paraId="7F19E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66" w:type="pct"/>
            <w:vMerge w:val="continue"/>
            <w:tcMar>
              <w:top w:w="60" w:type="dxa"/>
              <w:left w:w="120" w:type="dxa"/>
              <w:bottom w:w="30" w:type="dxa"/>
              <w:right w:w="120" w:type="dxa"/>
            </w:tcMar>
            <w:vAlign w:val="center"/>
          </w:tcPr>
          <w:p w14:paraId="03342333">
            <w:pPr>
              <w:snapToGrid w:val="0"/>
              <w:spacing w:line="360" w:lineRule="auto"/>
              <w:jc w:val="center"/>
              <w:rPr>
                <w:rFonts w:ascii="仿宋" w:hAnsi="仿宋" w:eastAsia="仿宋" w:cs="仿宋"/>
                <w:sz w:val="24"/>
              </w:rPr>
            </w:pPr>
          </w:p>
        </w:tc>
        <w:tc>
          <w:tcPr>
            <w:tcW w:w="2633" w:type="pct"/>
            <w:tcMar>
              <w:top w:w="60" w:type="dxa"/>
              <w:left w:w="120" w:type="dxa"/>
              <w:bottom w:w="30" w:type="dxa"/>
              <w:right w:w="120" w:type="dxa"/>
            </w:tcMar>
            <w:vAlign w:val="center"/>
          </w:tcPr>
          <w:p w14:paraId="0B016D66">
            <w:pPr>
              <w:snapToGrid w:val="0"/>
              <w:spacing w:line="360" w:lineRule="auto"/>
              <w:jc w:val="center"/>
              <w:rPr>
                <w:rFonts w:ascii="仿宋" w:hAnsi="仿宋" w:eastAsia="仿宋" w:cs="仿宋"/>
                <w:sz w:val="24"/>
              </w:rPr>
            </w:pPr>
            <w:r>
              <w:rPr>
                <w:rFonts w:hint="eastAsia" w:ascii="仿宋" w:hAnsi="仿宋" w:eastAsia="仿宋" w:cs="仿宋"/>
                <w:sz w:val="24"/>
              </w:rPr>
              <w:t>自助查询系统</w:t>
            </w:r>
          </w:p>
        </w:tc>
      </w:tr>
      <w:tr w14:paraId="489E6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66" w:type="pct"/>
            <w:vMerge w:val="continue"/>
            <w:tcMar>
              <w:top w:w="60" w:type="dxa"/>
              <w:left w:w="120" w:type="dxa"/>
              <w:bottom w:w="30" w:type="dxa"/>
              <w:right w:w="120" w:type="dxa"/>
            </w:tcMar>
            <w:vAlign w:val="center"/>
          </w:tcPr>
          <w:p w14:paraId="5DF2FB8E">
            <w:pPr>
              <w:snapToGrid w:val="0"/>
              <w:spacing w:line="360" w:lineRule="auto"/>
              <w:jc w:val="center"/>
              <w:rPr>
                <w:rFonts w:ascii="仿宋" w:hAnsi="仿宋" w:eastAsia="仿宋" w:cs="仿宋"/>
                <w:sz w:val="24"/>
              </w:rPr>
            </w:pPr>
          </w:p>
        </w:tc>
        <w:tc>
          <w:tcPr>
            <w:tcW w:w="2633" w:type="pct"/>
            <w:tcMar>
              <w:top w:w="60" w:type="dxa"/>
              <w:left w:w="120" w:type="dxa"/>
              <w:bottom w:w="30" w:type="dxa"/>
              <w:right w:w="120" w:type="dxa"/>
            </w:tcMar>
            <w:vAlign w:val="center"/>
          </w:tcPr>
          <w:p w14:paraId="11DF1379">
            <w:pPr>
              <w:snapToGrid w:val="0"/>
              <w:spacing w:line="360" w:lineRule="auto"/>
              <w:jc w:val="center"/>
              <w:rPr>
                <w:rFonts w:ascii="仿宋" w:hAnsi="仿宋" w:eastAsia="仿宋" w:cs="仿宋"/>
                <w:sz w:val="24"/>
              </w:rPr>
            </w:pPr>
            <w:r>
              <w:rPr>
                <w:rFonts w:hint="eastAsia" w:ascii="仿宋" w:hAnsi="仿宋" w:eastAsia="仿宋" w:cs="仿宋"/>
                <w:sz w:val="24"/>
              </w:rPr>
              <w:t>多媒体控制系统</w:t>
            </w:r>
          </w:p>
        </w:tc>
      </w:tr>
      <w:tr w14:paraId="10166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66" w:type="pct"/>
            <w:vMerge w:val="continue"/>
            <w:tcMar>
              <w:top w:w="60" w:type="dxa"/>
              <w:left w:w="120" w:type="dxa"/>
              <w:bottom w:w="30" w:type="dxa"/>
              <w:right w:w="120" w:type="dxa"/>
            </w:tcMar>
            <w:vAlign w:val="center"/>
          </w:tcPr>
          <w:p w14:paraId="0C94ECA1">
            <w:pPr>
              <w:snapToGrid w:val="0"/>
              <w:spacing w:line="360" w:lineRule="auto"/>
              <w:jc w:val="center"/>
              <w:rPr>
                <w:rFonts w:ascii="仿宋" w:hAnsi="仿宋" w:eastAsia="仿宋" w:cs="仿宋"/>
                <w:sz w:val="24"/>
              </w:rPr>
            </w:pPr>
          </w:p>
        </w:tc>
        <w:tc>
          <w:tcPr>
            <w:tcW w:w="2633" w:type="pct"/>
            <w:tcMar>
              <w:top w:w="60" w:type="dxa"/>
              <w:left w:w="120" w:type="dxa"/>
              <w:bottom w:w="30" w:type="dxa"/>
              <w:right w:w="120" w:type="dxa"/>
            </w:tcMar>
            <w:vAlign w:val="center"/>
          </w:tcPr>
          <w:p w14:paraId="2183F3D5">
            <w:pPr>
              <w:snapToGrid w:val="0"/>
              <w:spacing w:line="360" w:lineRule="auto"/>
              <w:jc w:val="center"/>
              <w:rPr>
                <w:rFonts w:ascii="仿宋" w:hAnsi="仿宋" w:eastAsia="仿宋" w:cs="仿宋"/>
                <w:sz w:val="24"/>
              </w:rPr>
            </w:pPr>
            <w:r>
              <w:rPr>
                <w:rFonts w:hint="eastAsia" w:ascii="仿宋" w:hAnsi="仿宋" w:eastAsia="仿宋" w:cs="仿宋"/>
                <w:sz w:val="24"/>
              </w:rPr>
              <w:t>多媒体语音系统</w:t>
            </w:r>
          </w:p>
        </w:tc>
      </w:tr>
      <w:tr w14:paraId="17DB4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66" w:type="pct"/>
            <w:vMerge w:val="continue"/>
            <w:tcMar>
              <w:top w:w="60" w:type="dxa"/>
              <w:left w:w="120" w:type="dxa"/>
              <w:bottom w:w="30" w:type="dxa"/>
              <w:right w:w="120" w:type="dxa"/>
            </w:tcMar>
            <w:vAlign w:val="center"/>
          </w:tcPr>
          <w:p w14:paraId="76697C2F">
            <w:pPr>
              <w:snapToGrid w:val="0"/>
              <w:spacing w:line="360" w:lineRule="auto"/>
              <w:jc w:val="center"/>
              <w:rPr>
                <w:rFonts w:ascii="仿宋" w:hAnsi="仿宋" w:eastAsia="仿宋" w:cs="仿宋"/>
                <w:sz w:val="24"/>
              </w:rPr>
            </w:pPr>
          </w:p>
        </w:tc>
        <w:tc>
          <w:tcPr>
            <w:tcW w:w="2633" w:type="pct"/>
            <w:tcMar>
              <w:top w:w="60" w:type="dxa"/>
              <w:left w:w="120" w:type="dxa"/>
              <w:bottom w:w="30" w:type="dxa"/>
              <w:right w:w="120" w:type="dxa"/>
            </w:tcMar>
            <w:vAlign w:val="center"/>
          </w:tcPr>
          <w:p w14:paraId="4D056CCE">
            <w:pPr>
              <w:snapToGrid w:val="0"/>
              <w:spacing w:line="360" w:lineRule="auto"/>
              <w:jc w:val="center"/>
              <w:rPr>
                <w:rFonts w:ascii="仿宋" w:hAnsi="仿宋" w:eastAsia="仿宋" w:cs="仿宋"/>
                <w:sz w:val="24"/>
              </w:rPr>
            </w:pPr>
            <w:r>
              <w:rPr>
                <w:rFonts w:hint="eastAsia" w:ascii="仿宋" w:hAnsi="仿宋" w:eastAsia="仿宋" w:cs="仿宋"/>
                <w:sz w:val="24"/>
              </w:rPr>
              <w:t>手机导诊系统</w:t>
            </w:r>
          </w:p>
        </w:tc>
      </w:tr>
      <w:tr w14:paraId="290C3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66" w:type="pct"/>
            <w:vMerge w:val="continue"/>
            <w:tcMar>
              <w:top w:w="60" w:type="dxa"/>
              <w:left w:w="120" w:type="dxa"/>
              <w:bottom w:w="30" w:type="dxa"/>
              <w:right w:w="120" w:type="dxa"/>
            </w:tcMar>
            <w:vAlign w:val="center"/>
          </w:tcPr>
          <w:p w14:paraId="6DFE4924">
            <w:pPr>
              <w:snapToGrid w:val="0"/>
              <w:spacing w:line="360" w:lineRule="auto"/>
              <w:jc w:val="center"/>
              <w:rPr>
                <w:rFonts w:ascii="仿宋" w:hAnsi="仿宋" w:eastAsia="仿宋" w:cs="仿宋"/>
                <w:sz w:val="24"/>
              </w:rPr>
            </w:pPr>
          </w:p>
        </w:tc>
        <w:tc>
          <w:tcPr>
            <w:tcW w:w="2633" w:type="pct"/>
            <w:tcMar>
              <w:top w:w="60" w:type="dxa"/>
              <w:left w:w="120" w:type="dxa"/>
              <w:bottom w:w="30" w:type="dxa"/>
              <w:right w:w="120" w:type="dxa"/>
            </w:tcMar>
            <w:vAlign w:val="center"/>
          </w:tcPr>
          <w:p w14:paraId="309D9A16">
            <w:pPr>
              <w:snapToGrid w:val="0"/>
              <w:spacing w:line="360" w:lineRule="auto"/>
              <w:jc w:val="center"/>
              <w:rPr>
                <w:rFonts w:ascii="仿宋" w:hAnsi="仿宋" w:eastAsia="仿宋" w:cs="仿宋"/>
                <w:sz w:val="24"/>
              </w:rPr>
            </w:pPr>
            <w:r>
              <w:rPr>
                <w:rFonts w:hint="eastAsia" w:ascii="仿宋" w:hAnsi="仿宋" w:eastAsia="仿宋" w:cs="仿宋"/>
                <w:sz w:val="24"/>
              </w:rPr>
              <w:t>自助报道系统</w:t>
            </w:r>
          </w:p>
        </w:tc>
      </w:tr>
      <w:tr w14:paraId="038C8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66" w:type="pct"/>
            <w:vMerge w:val="restart"/>
            <w:tcMar>
              <w:top w:w="60" w:type="dxa"/>
              <w:left w:w="120" w:type="dxa"/>
              <w:bottom w:w="30" w:type="dxa"/>
              <w:right w:w="120" w:type="dxa"/>
            </w:tcMar>
            <w:vAlign w:val="center"/>
          </w:tcPr>
          <w:p w14:paraId="18B156F8">
            <w:pPr>
              <w:snapToGrid w:val="0"/>
              <w:spacing w:line="360" w:lineRule="auto"/>
              <w:jc w:val="center"/>
              <w:rPr>
                <w:rFonts w:ascii="仿宋" w:hAnsi="仿宋" w:eastAsia="仿宋" w:cs="仿宋"/>
                <w:sz w:val="24"/>
              </w:rPr>
            </w:pPr>
            <w:r>
              <w:rPr>
                <w:rFonts w:hint="eastAsia" w:ascii="仿宋" w:hAnsi="仿宋" w:eastAsia="仿宋" w:cs="仿宋"/>
                <w:sz w:val="24"/>
              </w:rPr>
              <w:t>门诊叫号系统</w:t>
            </w:r>
          </w:p>
        </w:tc>
        <w:tc>
          <w:tcPr>
            <w:tcW w:w="2633" w:type="pct"/>
            <w:tcMar>
              <w:top w:w="60" w:type="dxa"/>
              <w:left w:w="120" w:type="dxa"/>
              <w:bottom w:w="30" w:type="dxa"/>
              <w:right w:w="120" w:type="dxa"/>
            </w:tcMar>
            <w:vAlign w:val="center"/>
          </w:tcPr>
          <w:p w14:paraId="1B0BED64">
            <w:pPr>
              <w:snapToGrid w:val="0"/>
              <w:spacing w:line="360" w:lineRule="auto"/>
              <w:jc w:val="center"/>
              <w:rPr>
                <w:rFonts w:ascii="仿宋" w:hAnsi="仿宋" w:eastAsia="仿宋" w:cs="仿宋"/>
                <w:sz w:val="24"/>
              </w:rPr>
            </w:pPr>
            <w:r>
              <w:rPr>
                <w:rFonts w:hint="eastAsia" w:ascii="仿宋" w:hAnsi="仿宋" w:eastAsia="仿宋" w:cs="仿宋"/>
                <w:sz w:val="24"/>
              </w:rPr>
              <w:t>门诊叫号系统</w:t>
            </w:r>
          </w:p>
        </w:tc>
      </w:tr>
      <w:tr w14:paraId="1BB8D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66" w:type="pct"/>
            <w:vMerge w:val="continue"/>
            <w:tcMar>
              <w:top w:w="60" w:type="dxa"/>
              <w:left w:w="120" w:type="dxa"/>
              <w:bottom w:w="30" w:type="dxa"/>
              <w:right w:w="120" w:type="dxa"/>
            </w:tcMar>
            <w:vAlign w:val="center"/>
          </w:tcPr>
          <w:p w14:paraId="0C8B7E84">
            <w:pPr>
              <w:snapToGrid w:val="0"/>
              <w:spacing w:line="360" w:lineRule="auto"/>
              <w:jc w:val="center"/>
              <w:rPr>
                <w:rFonts w:ascii="仿宋" w:hAnsi="仿宋" w:eastAsia="仿宋" w:cs="仿宋"/>
                <w:sz w:val="24"/>
              </w:rPr>
            </w:pPr>
          </w:p>
        </w:tc>
        <w:tc>
          <w:tcPr>
            <w:tcW w:w="2633" w:type="pct"/>
            <w:tcMar>
              <w:top w:w="60" w:type="dxa"/>
              <w:left w:w="120" w:type="dxa"/>
              <w:bottom w:w="30" w:type="dxa"/>
              <w:right w:w="120" w:type="dxa"/>
            </w:tcMar>
            <w:vAlign w:val="center"/>
          </w:tcPr>
          <w:p w14:paraId="4CEB9C30">
            <w:pPr>
              <w:snapToGrid w:val="0"/>
              <w:spacing w:line="360" w:lineRule="auto"/>
              <w:jc w:val="center"/>
              <w:rPr>
                <w:rFonts w:ascii="仿宋" w:hAnsi="仿宋" w:eastAsia="仿宋" w:cs="仿宋"/>
                <w:sz w:val="24"/>
              </w:rPr>
            </w:pPr>
            <w:r>
              <w:rPr>
                <w:rFonts w:hint="eastAsia" w:ascii="仿宋" w:hAnsi="仿宋" w:eastAsia="仿宋" w:cs="仿宋"/>
                <w:sz w:val="24"/>
              </w:rPr>
              <w:t>药房叫号系统</w:t>
            </w:r>
          </w:p>
        </w:tc>
      </w:tr>
      <w:tr w14:paraId="3B2B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66" w:type="pct"/>
            <w:vMerge w:val="continue"/>
            <w:tcMar>
              <w:top w:w="60" w:type="dxa"/>
              <w:left w:w="120" w:type="dxa"/>
              <w:bottom w:w="30" w:type="dxa"/>
              <w:right w:w="120" w:type="dxa"/>
            </w:tcMar>
            <w:vAlign w:val="center"/>
          </w:tcPr>
          <w:p w14:paraId="73287A88">
            <w:pPr>
              <w:snapToGrid w:val="0"/>
              <w:spacing w:line="360" w:lineRule="auto"/>
              <w:jc w:val="center"/>
              <w:rPr>
                <w:rFonts w:ascii="仿宋" w:hAnsi="仿宋" w:eastAsia="仿宋" w:cs="仿宋"/>
                <w:sz w:val="24"/>
              </w:rPr>
            </w:pPr>
          </w:p>
        </w:tc>
        <w:tc>
          <w:tcPr>
            <w:tcW w:w="2633" w:type="pct"/>
            <w:tcMar>
              <w:top w:w="60" w:type="dxa"/>
              <w:left w:w="120" w:type="dxa"/>
              <w:bottom w:w="30" w:type="dxa"/>
              <w:right w:w="120" w:type="dxa"/>
            </w:tcMar>
            <w:vAlign w:val="center"/>
          </w:tcPr>
          <w:p w14:paraId="7A569B6C">
            <w:pPr>
              <w:snapToGrid w:val="0"/>
              <w:spacing w:line="360" w:lineRule="auto"/>
              <w:jc w:val="center"/>
              <w:rPr>
                <w:rFonts w:ascii="仿宋" w:hAnsi="仿宋" w:eastAsia="仿宋" w:cs="仿宋"/>
                <w:sz w:val="24"/>
              </w:rPr>
            </w:pPr>
            <w:r>
              <w:rPr>
                <w:rFonts w:hint="eastAsia" w:ascii="仿宋" w:hAnsi="仿宋" w:eastAsia="仿宋" w:cs="仿宋"/>
                <w:sz w:val="24"/>
              </w:rPr>
              <w:t>采血叫号系统</w:t>
            </w:r>
          </w:p>
        </w:tc>
      </w:tr>
      <w:tr w14:paraId="5B7FE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66" w:type="pct"/>
            <w:vMerge w:val="continue"/>
            <w:tcMar>
              <w:top w:w="60" w:type="dxa"/>
              <w:left w:w="120" w:type="dxa"/>
              <w:bottom w:w="30" w:type="dxa"/>
              <w:right w:w="120" w:type="dxa"/>
            </w:tcMar>
            <w:vAlign w:val="center"/>
          </w:tcPr>
          <w:p w14:paraId="55CC5017">
            <w:pPr>
              <w:snapToGrid w:val="0"/>
              <w:spacing w:line="360" w:lineRule="auto"/>
              <w:jc w:val="center"/>
              <w:rPr>
                <w:rFonts w:ascii="仿宋" w:hAnsi="仿宋" w:eastAsia="仿宋" w:cs="仿宋"/>
                <w:sz w:val="24"/>
              </w:rPr>
            </w:pPr>
          </w:p>
        </w:tc>
        <w:tc>
          <w:tcPr>
            <w:tcW w:w="2633" w:type="pct"/>
            <w:tcMar>
              <w:top w:w="60" w:type="dxa"/>
              <w:left w:w="120" w:type="dxa"/>
              <w:bottom w:w="30" w:type="dxa"/>
              <w:right w:w="120" w:type="dxa"/>
            </w:tcMar>
            <w:vAlign w:val="center"/>
          </w:tcPr>
          <w:p w14:paraId="0B716AE5">
            <w:pPr>
              <w:snapToGrid w:val="0"/>
              <w:spacing w:line="360" w:lineRule="auto"/>
              <w:jc w:val="center"/>
              <w:rPr>
                <w:rFonts w:ascii="仿宋" w:hAnsi="仿宋" w:eastAsia="仿宋" w:cs="仿宋"/>
                <w:sz w:val="24"/>
              </w:rPr>
            </w:pPr>
            <w:r>
              <w:rPr>
                <w:rFonts w:hint="eastAsia" w:ascii="仿宋" w:hAnsi="仿宋" w:eastAsia="仿宋" w:cs="仿宋"/>
                <w:sz w:val="24"/>
              </w:rPr>
              <w:t>彩超叫号系统</w:t>
            </w:r>
          </w:p>
        </w:tc>
      </w:tr>
      <w:tr w14:paraId="58C54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66" w:type="pct"/>
            <w:vMerge w:val="continue"/>
            <w:tcMar>
              <w:top w:w="60" w:type="dxa"/>
              <w:left w:w="120" w:type="dxa"/>
              <w:bottom w:w="30" w:type="dxa"/>
              <w:right w:w="120" w:type="dxa"/>
            </w:tcMar>
            <w:vAlign w:val="center"/>
          </w:tcPr>
          <w:p w14:paraId="6023C15D">
            <w:pPr>
              <w:snapToGrid w:val="0"/>
              <w:spacing w:line="360" w:lineRule="auto"/>
              <w:jc w:val="center"/>
              <w:rPr>
                <w:rFonts w:ascii="仿宋" w:hAnsi="仿宋" w:eastAsia="仿宋" w:cs="仿宋"/>
                <w:sz w:val="24"/>
              </w:rPr>
            </w:pPr>
          </w:p>
        </w:tc>
        <w:tc>
          <w:tcPr>
            <w:tcW w:w="2633" w:type="pct"/>
            <w:tcMar>
              <w:top w:w="60" w:type="dxa"/>
              <w:left w:w="120" w:type="dxa"/>
              <w:bottom w:w="30" w:type="dxa"/>
              <w:right w:w="120" w:type="dxa"/>
            </w:tcMar>
            <w:vAlign w:val="center"/>
          </w:tcPr>
          <w:p w14:paraId="6046842A">
            <w:pPr>
              <w:snapToGrid w:val="0"/>
              <w:spacing w:line="360" w:lineRule="auto"/>
              <w:jc w:val="center"/>
              <w:rPr>
                <w:rFonts w:ascii="仿宋" w:hAnsi="仿宋" w:eastAsia="仿宋" w:cs="仿宋"/>
                <w:sz w:val="24"/>
              </w:rPr>
            </w:pPr>
            <w:r>
              <w:rPr>
                <w:rFonts w:hint="eastAsia" w:ascii="仿宋" w:hAnsi="仿宋" w:eastAsia="仿宋" w:cs="仿宋"/>
                <w:sz w:val="24"/>
              </w:rPr>
              <w:t>儿科叫号系统</w:t>
            </w:r>
          </w:p>
        </w:tc>
      </w:tr>
      <w:tr w14:paraId="62767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66" w:type="pct"/>
            <w:vMerge w:val="continue"/>
            <w:tcMar>
              <w:top w:w="60" w:type="dxa"/>
              <w:left w:w="120" w:type="dxa"/>
              <w:bottom w:w="30" w:type="dxa"/>
              <w:right w:w="120" w:type="dxa"/>
            </w:tcMar>
            <w:vAlign w:val="center"/>
          </w:tcPr>
          <w:p w14:paraId="4703AA26">
            <w:pPr>
              <w:snapToGrid w:val="0"/>
              <w:spacing w:line="360" w:lineRule="auto"/>
              <w:jc w:val="center"/>
              <w:rPr>
                <w:rFonts w:ascii="仿宋" w:hAnsi="仿宋" w:eastAsia="仿宋" w:cs="仿宋"/>
                <w:sz w:val="24"/>
              </w:rPr>
            </w:pPr>
          </w:p>
        </w:tc>
        <w:tc>
          <w:tcPr>
            <w:tcW w:w="2633" w:type="pct"/>
            <w:tcMar>
              <w:top w:w="60" w:type="dxa"/>
              <w:left w:w="120" w:type="dxa"/>
              <w:bottom w:w="30" w:type="dxa"/>
              <w:right w:w="120" w:type="dxa"/>
            </w:tcMar>
            <w:vAlign w:val="center"/>
          </w:tcPr>
          <w:p w14:paraId="145C304A">
            <w:pPr>
              <w:snapToGrid w:val="0"/>
              <w:spacing w:line="360" w:lineRule="auto"/>
              <w:jc w:val="center"/>
              <w:rPr>
                <w:rFonts w:ascii="仿宋" w:hAnsi="仿宋" w:eastAsia="仿宋" w:cs="仿宋"/>
                <w:sz w:val="24"/>
              </w:rPr>
            </w:pPr>
            <w:r>
              <w:rPr>
                <w:rFonts w:hint="eastAsia" w:ascii="仿宋" w:hAnsi="仿宋" w:eastAsia="仿宋" w:cs="仿宋"/>
                <w:sz w:val="24"/>
              </w:rPr>
              <w:t>口腔叫号系统</w:t>
            </w:r>
          </w:p>
        </w:tc>
      </w:tr>
      <w:tr w14:paraId="33995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66" w:type="pct"/>
            <w:vMerge w:val="continue"/>
            <w:tcMar>
              <w:top w:w="60" w:type="dxa"/>
              <w:left w:w="120" w:type="dxa"/>
              <w:bottom w:w="30" w:type="dxa"/>
              <w:right w:w="120" w:type="dxa"/>
            </w:tcMar>
            <w:vAlign w:val="center"/>
          </w:tcPr>
          <w:p w14:paraId="12FD4C2B">
            <w:pPr>
              <w:snapToGrid w:val="0"/>
              <w:spacing w:line="360" w:lineRule="auto"/>
              <w:jc w:val="center"/>
              <w:rPr>
                <w:rFonts w:ascii="仿宋" w:hAnsi="仿宋" w:eastAsia="仿宋" w:cs="仿宋"/>
                <w:sz w:val="24"/>
              </w:rPr>
            </w:pPr>
          </w:p>
        </w:tc>
        <w:tc>
          <w:tcPr>
            <w:tcW w:w="2633" w:type="pct"/>
            <w:tcMar>
              <w:top w:w="60" w:type="dxa"/>
              <w:left w:w="120" w:type="dxa"/>
              <w:bottom w:w="30" w:type="dxa"/>
              <w:right w:w="120" w:type="dxa"/>
            </w:tcMar>
            <w:vAlign w:val="center"/>
          </w:tcPr>
          <w:p w14:paraId="2430E8D3">
            <w:pPr>
              <w:snapToGrid w:val="0"/>
              <w:spacing w:line="360" w:lineRule="auto"/>
              <w:jc w:val="center"/>
              <w:rPr>
                <w:rFonts w:ascii="仿宋" w:hAnsi="仿宋" w:eastAsia="仿宋" w:cs="仿宋"/>
                <w:sz w:val="24"/>
              </w:rPr>
            </w:pPr>
            <w:r>
              <w:rPr>
                <w:rFonts w:hint="eastAsia" w:ascii="仿宋" w:hAnsi="仿宋" w:eastAsia="仿宋" w:cs="仿宋"/>
                <w:sz w:val="24"/>
              </w:rPr>
              <w:t>医技叫号系统</w:t>
            </w:r>
          </w:p>
        </w:tc>
      </w:tr>
      <w:tr w14:paraId="2413F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66" w:type="pct"/>
            <w:vMerge w:val="continue"/>
            <w:tcMar>
              <w:top w:w="60" w:type="dxa"/>
              <w:left w:w="120" w:type="dxa"/>
              <w:bottom w:w="30" w:type="dxa"/>
              <w:right w:w="120" w:type="dxa"/>
            </w:tcMar>
            <w:vAlign w:val="center"/>
          </w:tcPr>
          <w:p w14:paraId="12995320">
            <w:pPr>
              <w:snapToGrid w:val="0"/>
              <w:spacing w:line="360" w:lineRule="auto"/>
              <w:jc w:val="center"/>
              <w:rPr>
                <w:rFonts w:ascii="仿宋" w:hAnsi="仿宋" w:eastAsia="仿宋" w:cs="仿宋"/>
                <w:sz w:val="24"/>
              </w:rPr>
            </w:pPr>
          </w:p>
        </w:tc>
        <w:tc>
          <w:tcPr>
            <w:tcW w:w="2633" w:type="pct"/>
            <w:tcMar>
              <w:top w:w="60" w:type="dxa"/>
              <w:left w:w="120" w:type="dxa"/>
              <w:bottom w:w="30" w:type="dxa"/>
              <w:right w:w="120" w:type="dxa"/>
            </w:tcMar>
            <w:vAlign w:val="center"/>
          </w:tcPr>
          <w:p w14:paraId="7DC2F233">
            <w:pPr>
              <w:snapToGrid w:val="0"/>
              <w:spacing w:line="360" w:lineRule="auto"/>
              <w:jc w:val="center"/>
              <w:rPr>
                <w:rFonts w:ascii="仿宋" w:hAnsi="仿宋" w:eastAsia="仿宋" w:cs="仿宋"/>
                <w:sz w:val="24"/>
              </w:rPr>
            </w:pPr>
            <w:r>
              <w:rPr>
                <w:rFonts w:hint="eastAsia" w:ascii="仿宋" w:hAnsi="仿宋" w:eastAsia="仿宋" w:cs="仿宋"/>
                <w:sz w:val="24"/>
              </w:rPr>
              <w:t>语音多媒体控制系统</w:t>
            </w:r>
          </w:p>
        </w:tc>
      </w:tr>
      <w:tr w14:paraId="5A948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66" w:type="pct"/>
            <w:vMerge w:val="continue"/>
            <w:tcMar>
              <w:top w:w="60" w:type="dxa"/>
              <w:left w:w="120" w:type="dxa"/>
              <w:bottom w:w="30" w:type="dxa"/>
              <w:right w:w="120" w:type="dxa"/>
            </w:tcMar>
            <w:vAlign w:val="center"/>
          </w:tcPr>
          <w:p w14:paraId="556715B3">
            <w:pPr>
              <w:snapToGrid w:val="0"/>
              <w:spacing w:line="360" w:lineRule="auto"/>
              <w:jc w:val="center"/>
              <w:rPr>
                <w:rFonts w:ascii="仿宋" w:hAnsi="仿宋" w:eastAsia="仿宋" w:cs="仿宋"/>
                <w:sz w:val="24"/>
              </w:rPr>
            </w:pPr>
          </w:p>
        </w:tc>
        <w:tc>
          <w:tcPr>
            <w:tcW w:w="2633" w:type="pct"/>
            <w:tcMar>
              <w:top w:w="60" w:type="dxa"/>
              <w:left w:w="120" w:type="dxa"/>
              <w:bottom w:w="30" w:type="dxa"/>
              <w:right w:w="120" w:type="dxa"/>
            </w:tcMar>
            <w:vAlign w:val="center"/>
          </w:tcPr>
          <w:p w14:paraId="10A87221">
            <w:pPr>
              <w:snapToGrid w:val="0"/>
              <w:spacing w:line="360" w:lineRule="auto"/>
              <w:jc w:val="center"/>
              <w:rPr>
                <w:rFonts w:ascii="仿宋" w:hAnsi="仿宋" w:eastAsia="仿宋" w:cs="仿宋"/>
                <w:sz w:val="24"/>
              </w:rPr>
            </w:pPr>
            <w:r>
              <w:rPr>
                <w:rFonts w:hint="eastAsia" w:ascii="仿宋" w:hAnsi="仿宋" w:eastAsia="仿宋" w:cs="仿宋"/>
                <w:sz w:val="24"/>
              </w:rPr>
              <w:t>信息发布系统</w:t>
            </w:r>
          </w:p>
        </w:tc>
      </w:tr>
    </w:tbl>
    <w:p w14:paraId="7353862F">
      <w:pPr>
        <w:snapToGrid w:val="0"/>
        <w:spacing w:line="360" w:lineRule="auto"/>
        <w:jc w:val="left"/>
        <w:rPr>
          <w:rFonts w:ascii="仿宋" w:hAnsi="仿宋" w:eastAsia="仿宋" w:cs="仿宋"/>
          <w:sz w:val="24"/>
        </w:rPr>
      </w:pPr>
      <w:r>
        <w:rPr>
          <w:rFonts w:hint="eastAsia" w:ascii="仿宋" w:hAnsi="仿宋" w:eastAsia="仿宋" w:cs="仿宋"/>
          <w:b/>
          <w:sz w:val="24"/>
        </w:rPr>
        <w:t>3. 故障分级标准及服务级别协议（SLA）要求</w:t>
      </w:r>
    </w:p>
    <w:p w14:paraId="0A58547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结合医疗行业业务连续性要求、《医疗卫生机构网络安全管理办法》事件分级标准，制定四级故障分级与刚性SLA要求，服务商须提供7×24小时全时段服务，工作日、节假日、夜间执行统一响应与处置标准，具体如下：</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77"/>
        <w:gridCol w:w="1720"/>
        <w:gridCol w:w="3442"/>
        <w:gridCol w:w="3199"/>
      </w:tblGrid>
      <w:tr w14:paraId="1FFC9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6D0D6DAC">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941" w:type="pct"/>
            <w:tcMar>
              <w:top w:w="60" w:type="dxa"/>
              <w:left w:w="120" w:type="dxa"/>
              <w:bottom w:w="30" w:type="dxa"/>
              <w:right w:w="120" w:type="dxa"/>
            </w:tcMar>
            <w:vAlign w:val="center"/>
          </w:tcPr>
          <w:p w14:paraId="3A210DB9">
            <w:pPr>
              <w:snapToGrid w:val="0"/>
              <w:spacing w:line="360" w:lineRule="auto"/>
              <w:jc w:val="center"/>
              <w:rPr>
                <w:rFonts w:ascii="仿宋" w:hAnsi="仿宋" w:eastAsia="仿宋" w:cs="仿宋"/>
                <w:b/>
                <w:sz w:val="24"/>
              </w:rPr>
            </w:pPr>
            <w:r>
              <w:rPr>
                <w:rFonts w:hint="eastAsia" w:ascii="仿宋" w:hAnsi="仿宋" w:eastAsia="仿宋" w:cs="仿宋"/>
                <w:b/>
                <w:sz w:val="24"/>
              </w:rPr>
              <w:t>故障等级</w:t>
            </w:r>
          </w:p>
        </w:tc>
        <w:tc>
          <w:tcPr>
            <w:tcW w:w="1883" w:type="pct"/>
            <w:tcMar>
              <w:top w:w="60" w:type="dxa"/>
              <w:left w:w="120" w:type="dxa"/>
              <w:bottom w:w="30" w:type="dxa"/>
              <w:right w:w="120" w:type="dxa"/>
            </w:tcMar>
            <w:vAlign w:val="center"/>
          </w:tcPr>
          <w:p w14:paraId="0F3321E9">
            <w:pPr>
              <w:snapToGrid w:val="0"/>
              <w:spacing w:line="360" w:lineRule="auto"/>
              <w:jc w:val="center"/>
              <w:rPr>
                <w:rFonts w:ascii="仿宋" w:hAnsi="仿宋" w:eastAsia="仿宋" w:cs="仿宋"/>
                <w:b/>
                <w:sz w:val="24"/>
              </w:rPr>
            </w:pPr>
            <w:r>
              <w:rPr>
                <w:rFonts w:hint="eastAsia" w:ascii="仿宋" w:hAnsi="仿宋" w:eastAsia="仿宋" w:cs="仿宋"/>
                <w:b/>
                <w:sz w:val="24"/>
              </w:rPr>
              <w:t>故障情况描述</w:t>
            </w:r>
          </w:p>
        </w:tc>
        <w:tc>
          <w:tcPr>
            <w:tcW w:w="1750" w:type="pct"/>
            <w:tcMar>
              <w:top w:w="60" w:type="dxa"/>
              <w:left w:w="120" w:type="dxa"/>
              <w:bottom w:w="30" w:type="dxa"/>
              <w:right w:w="120" w:type="dxa"/>
            </w:tcMar>
            <w:vAlign w:val="center"/>
          </w:tcPr>
          <w:p w14:paraId="6F2015F9">
            <w:pPr>
              <w:snapToGrid w:val="0"/>
              <w:spacing w:line="360" w:lineRule="auto"/>
              <w:jc w:val="center"/>
              <w:rPr>
                <w:rFonts w:ascii="仿宋" w:hAnsi="仿宋" w:eastAsia="仿宋" w:cs="仿宋"/>
                <w:b/>
                <w:sz w:val="24"/>
              </w:rPr>
            </w:pPr>
            <w:r>
              <w:rPr>
                <w:rFonts w:hint="eastAsia" w:ascii="仿宋" w:hAnsi="仿宋" w:eastAsia="仿宋" w:cs="仿宋"/>
                <w:b/>
                <w:sz w:val="24"/>
              </w:rPr>
              <w:t>刚性SLA要求</w:t>
            </w:r>
          </w:p>
        </w:tc>
      </w:tr>
      <w:tr w14:paraId="6CED8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4D8BD3C0">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941" w:type="pct"/>
            <w:tcMar>
              <w:top w:w="60" w:type="dxa"/>
              <w:left w:w="120" w:type="dxa"/>
              <w:bottom w:w="30" w:type="dxa"/>
              <w:right w:w="120" w:type="dxa"/>
            </w:tcMar>
            <w:vAlign w:val="center"/>
          </w:tcPr>
          <w:p w14:paraId="270F3718">
            <w:pPr>
              <w:snapToGrid w:val="0"/>
              <w:spacing w:line="360" w:lineRule="auto"/>
              <w:jc w:val="center"/>
              <w:rPr>
                <w:rFonts w:ascii="仿宋" w:hAnsi="仿宋" w:eastAsia="仿宋" w:cs="仿宋"/>
                <w:sz w:val="24"/>
              </w:rPr>
            </w:pPr>
            <w:r>
              <w:rPr>
                <w:rFonts w:hint="eastAsia" w:ascii="仿宋" w:hAnsi="仿宋" w:eastAsia="仿宋" w:cs="仿宋"/>
                <w:sz w:val="24"/>
              </w:rPr>
              <w:t>一级故障（重大）</w:t>
            </w:r>
          </w:p>
        </w:tc>
        <w:tc>
          <w:tcPr>
            <w:tcW w:w="1883" w:type="pct"/>
            <w:tcMar>
              <w:top w:w="60" w:type="dxa"/>
              <w:left w:w="120" w:type="dxa"/>
              <w:bottom w:w="30" w:type="dxa"/>
              <w:right w:w="120" w:type="dxa"/>
            </w:tcMar>
          </w:tcPr>
          <w:p w14:paraId="2FFA7EED">
            <w:pPr>
              <w:snapToGrid w:val="0"/>
              <w:spacing w:line="360" w:lineRule="auto"/>
              <w:jc w:val="left"/>
              <w:rPr>
                <w:rFonts w:ascii="仿宋" w:hAnsi="仿宋" w:eastAsia="仿宋" w:cs="仿宋"/>
                <w:sz w:val="24"/>
              </w:rPr>
            </w:pPr>
            <w:r>
              <w:rPr>
                <w:rFonts w:hint="eastAsia" w:ascii="仿宋" w:hAnsi="仿宋" w:eastAsia="仿宋" w:cs="仿宋"/>
                <w:sz w:val="24"/>
              </w:rPr>
              <w:t>1. 系统核心服务瘫痪，导致业务中断，多部门终端无法办理业务，严重影响医院正常医疗秩序；</w:t>
            </w:r>
          </w:p>
          <w:p w14:paraId="4F22DF59">
            <w:pPr>
              <w:snapToGrid w:val="0"/>
              <w:spacing w:line="360" w:lineRule="auto"/>
              <w:jc w:val="left"/>
              <w:rPr>
                <w:rFonts w:ascii="仿宋" w:hAnsi="仿宋" w:eastAsia="仿宋" w:cs="仿宋"/>
                <w:sz w:val="24"/>
              </w:rPr>
            </w:pPr>
            <w:r>
              <w:rPr>
                <w:rFonts w:hint="eastAsia" w:ascii="仿宋" w:hAnsi="仿宋" w:eastAsia="仿宋" w:cs="仿宋"/>
                <w:sz w:val="24"/>
              </w:rPr>
              <w:t>2. 系统与HIS、EMR、PACS等核心系统接口完全中断，导致业务数据无法传输，严重影响医院正常医疗秩序</w:t>
            </w:r>
          </w:p>
          <w:p w14:paraId="24762F3D">
            <w:pPr>
              <w:snapToGrid w:val="0"/>
              <w:spacing w:line="360" w:lineRule="auto"/>
              <w:jc w:val="left"/>
              <w:rPr>
                <w:rFonts w:ascii="仿宋" w:hAnsi="仿宋" w:eastAsia="仿宋" w:cs="仿宋"/>
                <w:sz w:val="24"/>
              </w:rPr>
            </w:pPr>
            <w:r>
              <w:rPr>
                <w:rFonts w:hint="eastAsia" w:ascii="仿宋" w:hAnsi="仿宋" w:eastAsia="仿宋" w:cs="仿宋"/>
                <w:sz w:val="24"/>
              </w:rPr>
              <w:t>3.  发生患者个人信息批量泄露、医疗数据被篡改/丢失等重大数据安全事件；</w:t>
            </w:r>
          </w:p>
          <w:p w14:paraId="775DC14B">
            <w:pPr>
              <w:snapToGrid w:val="0"/>
              <w:spacing w:line="360" w:lineRule="auto"/>
              <w:jc w:val="left"/>
              <w:rPr>
                <w:rFonts w:ascii="仿宋" w:hAnsi="仿宋" w:eastAsia="仿宋" w:cs="仿宋"/>
                <w:sz w:val="24"/>
              </w:rPr>
            </w:pPr>
            <w:r>
              <w:rPr>
                <w:rFonts w:hint="eastAsia" w:ascii="仿宋" w:hAnsi="仿宋" w:eastAsia="仿宋" w:cs="仿宋"/>
                <w:sz w:val="24"/>
              </w:rPr>
              <w:t>4. 系统被非法入侵、攻击，出现高危安全漏洞，威胁医院整体网络安全。</w:t>
            </w:r>
          </w:p>
        </w:tc>
        <w:tc>
          <w:tcPr>
            <w:tcW w:w="1750" w:type="pct"/>
            <w:tcMar>
              <w:top w:w="60" w:type="dxa"/>
              <w:left w:w="120" w:type="dxa"/>
              <w:bottom w:w="30" w:type="dxa"/>
              <w:right w:w="120" w:type="dxa"/>
            </w:tcMar>
          </w:tcPr>
          <w:p w14:paraId="5B7C36A9">
            <w:pPr>
              <w:snapToGrid w:val="0"/>
              <w:spacing w:line="360" w:lineRule="auto"/>
              <w:jc w:val="left"/>
              <w:rPr>
                <w:rFonts w:ascii="仿宋" w:hAnsi="仿宋" w:eastAsia="仿宋" w:cs="仿宋"/>
                <w:sz w:val="24"/>
              </w:rPr>
            </w:pPr>
            <w:r>
              <w:rPr>
                <w:rFonts w:hint="eastAsia" w:ascii="仿宋" w:hAnsi="仿宋" w:eastAsia="仿宋" w:cs="仿宋"/>
                <w:sz w:val="24"/>
              </w:rPr>
              <w:t>1. 10分钟内必须响应，与采购人明确故障情况，出具应急处置方案；</w:t>
            </w:r>
          </w:p>
          <w:p w14:paraId="15C861E0">
            <w:pPr>
              <w:snapToGrid w:val="0"/>
              <w:spacing w:line="360" w:lineRule="auto"/>
              <w:jc w:val="left"/>
              <w:rPr>
                <w:rFonts w:ascii="仿宋" w:hAnsi="仿宋" w:eastAsia="仿宋" w:cs="仿宋"/>
                <w:sz w:val="24"/>
              </w:rPr>
            </w:pPr>
            <w:r>
              <w:rPr>
                <w:rFonts w:hint="eastAsia" w:ascii="仿宋" w:hAnsi="仿宋" w:eastAsia="仿宋" w:cs="仿宋"/>
                <w:sz w:val="24"/>
              </w:rPr>
              <w:t>2. 4小时内派驻具备资质的技术人员到达现场；</w:t>
            </w:r>
          </w:p>
          <w:p w14:paraId="269202F1">
            <w:pPr>
              <w:snapToGrid w:val="0"/>
              <w:spacing w:line="360" w:lineRule="auto"/>
              <w:jc w:val="left"/>
              <w:rPr>
                <w:rFonts w:ascii="仿宋" w:hAnsi="仿宋" w:eastAsia="仿宋" w:cs="仿宋"/>
                <w:sz w:val="24"/>
              </w:rPr>
            </w:pPr>
            <w:r>
              <w:rPr>
                <w:rFonts w:hint="eastAsia" w:ascii="仿宋" w:hAnsi="仿宋" w:eastAsia="仿宋" w:cs="仿宋"/>
                <w:sz w:val="24"/>
              </w:rPr>
              <w:t>3. 6小时内完成故障修复，恢复系统核心业务正常运行；</w:t>
            </w:r>
          </w:p>
          <w:p w14:paraId="2077BD19">
            <w:pPr>
              <w:snapToGrid w:val="0"/>
              <w:spacing w:line="360" w:lineRule="auto"/>
              <w:jc w:val="left"/>
              <w:rPr>
                <w:rFonts w:ascii="仿宋" w:hAnsi="仿宋" w:eastAsia="仿宋" w:cs="仿宋"/>
                <w:sz w:val="24"/>
              </w:rPr>
            </w:pPr>
            <w:r>
              <w:rPr>
                <w:rFonts w:hint="eastAsia" w:ascii="仿宋" w:hAnsi="仿宋" w:eastAsia="仿宋" w:cs="仿宋"/>
                <w:sz w:val="24"/>
              </w:rPr>
              <w:t>4. 无法在时限内完全修复的，须提供临时应急方案保障业务连续性，直至系统完全恢复；</w:t>
            </w:r>
          </w:p>
          <w:p w14:paraId="47D95719">
            <w:pPr>
              <w:snapToGrid w:val="0"/>
              <w:spacing w:line="360" w:lineRule="auto"/>
              <w:jc w:val="left"/>
              <w:rPr>
                <w:rFonts w:ascii="仿宋" w:hAnsi="仿宋" w:eastAsia="仿宋" w:cs="仿宋"/>
                <w:sz w:val="24"/>
              </w:rPr>
            </w:pPr>
            <w:r>
              <w:rPr>
                <w:rFonts w:hint="eastAsia" w:ascii="仿宋" w:hAnsi="仿宋" w:eastAsia="仿宋" w:cs="仿宋"/>
                <w:sz w:val="24"/>
              </w:rPr>
              <w:t>5. 故障处置完成后24小时内提交正式故障分析与复盘报告。</w:t>
            </w:r>
          </w:p>
        </w:tc>
      </w:tr>
      <w:tr w14:paraId="5396F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76D1AC99">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941" w:type="pct"/>
            <w:tcMar>
              <w:top w:w="60" w:type="dxa"/>
              <w:left w:w="120" w:type="dxa"/>
              <w:bottom w:w="30" w:type="dxa"/>
              <w:right w:w="120" w:type="dxa"/>
            </w:tcMar>
            <w:vAlign w:val="center"/>
          </w:tcPr>
          <w:p w14:paraId="3A573C29">
            <w:pPr>
              <w:snapToGrid w:val="0"/>
              <w:spacing w:line="360" w:lineRule="auto"/>
              <w:jc w:val="center"/>
              <w:rPr>
                <w:rFonts w:ascii="仿宋" w:hAnsi="仿宋" w:eastAsia="仿宋" w:cs="仿宋"/>
                <w:sz w:val="24"/>
              </w:rPr>
            </w:pPr>
            <w:r>
              <w:rPr>
                <w:rFonts w:hint="eastAsia" w:ascii="仿宋" w:hAnsi="仿宋" w:eastAsia="仿宋" w:cs="仿宋"/>
                <w:sz w:val="24"/>
              </w:rPr>
              <w:t>二级故障（严重）</w:t>
            </w:r>
          </w:p>
        </w:tc>
        <w:tc>
          <w:tcPr>
            <w:tcW w:w="1883" w:type="pct"/>
            <w:tcMar>
              <w:top w:w="60" w:type="dxa"/>
              <w:left w:w="120" w:type="dxa"/>
              <w:bottom w:w="30" w:type="dxa"/>
              <w:right w:w="120" w:type="dxa"/>
            </w:tcMar>
          </w:tcPr>
          <w:p w14:paraId="0D735AD6">
            <w:pPr>
              <w:snapToGrid w:val="0"/>
              <w:spacing w:line="360" w:lineRule="auto"/>
              <w:jc w:val="left"/>
              <w:rPr>
                <w:rFonts w:ascii="仿宋" w:hAnsi="仿宋" w:eastAsia="仿宋" w:cs="仿宋"/>
                <w:sz w:val="24"/>
              </w:rPr>
            </w:pPr>
            <w:r>
              <w:rPr>
                <w:rFonts w:hint="eastAsia" w:ascii="仿宋" w:hAnsi="仿宋" w:eastAsia="仿宋" w:cs="仿宋"/>
                <w:sz w:val="24"/>
              </w:rPr>
              <w:t>1. 系统操作性能严重降级，核心功能响应延迟超500%，严重影响医生操作与患者业务办理；</w:t>
            </w:r>
          </w:p>
          <w:p w14:paraId="0A0AD74A">
            <w:pPr>
              <w:snapToGrid w:val="0"/>
              <w:spacing w:line="360" w:lineRule="auto"/>
              <w:jc w:val="left"/>
              <w:rPr>
                <w:rFonts w:ascii="仿宋" w:hAnsi="仿宋" w:eastAsia="仿宋" w:cs="仿宋"/>
                <w:sz w:val="24"/>
              </w:rPr>
            </w:pPr>
            <w:r>
              <w:rPr>
                <w:rFonts w:hint="eastAsia" w:ascii="仿宋" w:hAnsi="仿宋" w:eastAsia="仿宋" w:cs="仿宋"/>
                <w:sz w:val="24"/>
              </w:rPr>
              <w:t>2. 核心科室、门诊3个及以上科室系统无法正常使用，影响大面积患者就医；</w:t>
            </w:r>
          </w:p>
          <w:p w14:paraId="5AF02183">
            <w:pPr>
              <w:snapToGrid w:val="0"/>
              <w:spacing w:line="360" w:lineRule="auto"/>
              <w:jc w:val="left"/>
              <w:rPr>
                <w:rFonts w:ascii="仿宋" w:hAnsi="仿宋" w:eastAsia="仿宋" w:cs="仿宋"/>
                <w:sz w:val="24"/>
              </w:rPr>
            </w:pPr>
            <w:r>
              <w:rPr>
                <w:rFonts w:hint="eastAsia" w:ascii="仿宋" w:hAnsi="仿宋" w:eastAsia="仿宋" w:cs="仿宋"/>
                <w:sz w:val="24"/>
              </w:rPr>
              <w:t>3. 系统出现数据异常、统计错误，影响医疗业务正常开展，存在数据安全隐患。</w:t>
            </w:r>
          </w:p>
        </w:tc>
        <w:tc>
          <w:tcPr>
            <w:tcW w:w="1750" w:type="pct"/>
            <w:tcMar>
              <w:top w:w="60" w:type="dxa"/>
              <w:left w:w="120" w:type="dxa"/>
              <w:bottom w:w="30" w:type="dxa"/>
              <w:right w:w="120" w:type="dxa"/>
            </w:tcMar>
          </w:tcPr>
          <w:p w14:paraId="5D0939F1">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30分钟内必须响应，出具初步处置方案；</w:t>
            </w:r>
          </w:p>
          <w:p w14:paraId="5A425DCF">
            <w:pPr>
              <w:snapToGrid w:val="0"/>
              <w:spacing w:line="360" w:lineRule="auto"/>
              <w:jc w:val="left"/>
              <w:rPr>
                <w:rFonts w:ascii="仿宋" w:hAnsi="仿宋" w:eastAsia="仿宋" w:cs="仿宋"/>
                <w:sz w:val="24"/>
              </w:rPr>
            </w:pPr>
            <w:r>
              <w:rPr>
                <w:rFonts w:hint="eastAsia" w:ascii="仿宋" w:hAnsi="仿宋" w:eastAsia="仿宋" w:cs="仿宋"/>
                <w:sz w:val="24"/>
              </w:rPr>
              <w:t>2. 6小时内到达现场或通过安全远程方式完成故障处置；</w:t>
            </w:r>
          </w:p>
          <w:p w14:paraId="2FB266AF">
            <w:pPr>
              <w:snapToGrid w:val="0"/>
              <w:spacing w:line="360" w:lineRule="auto"/>
              <w:jc w:val="left"/>
              <w:rPr>
                <w:rFonts w:ascii="仿宋" w:hAnsi="仿宋" w:eastAsia="仿宋" w:cs="仿宋"/>
                <w:sz w:val="24"/>
              </w:rPr>
            </w:pPr>
            <w:r>
              <w:rPr>
                <w:rFonts w:hint="eastAsia" w:ascii="仿宋" w:hAnsi="仿宋" w:eastAsia="仿宋" w:cs="仿宋"/>
                <w:sz w:val="24"/>
              </w:rPr>
              <w:t>3. 12小时内完成故障修复，系统恢复正常运行；</w:t>
            </w:r>
          </w:p>
          <w:p w14:paraId="4E12AA10">
            <w:pPr>
              <w:snapToGrid w:val="0"/>
              <w:spacing w:line="360" w:lineRule="auto"/>
              <w:jc w:val="left"/>
              <w:rPr>
                <w:rFonts w:ascii="仿宋" w:hAnsi="仿宋" w:eastAsia="仿宋" w:cs="仿宋"/>
                <w:sz w:val="24"/>
              </w:rPr>
            </w:pPr>
            <w:r>
              <w:rPr>
                <w:rFonts w:hint="eastAsia" w:ascii="仿宋" w:hAnsi="仿宋" w:eastAsia="仿宋" w:cs="仿宋"/>
                <w:sz w:val="24"/>
              </w:rPr>
              <w:t>4. 故障处置完成后3个工作日内提交故障分析报告。</w:t>
            </w:r>
          </w:p>
        </w:tc>
      </w:tr>
      <w:tr w14:paraId="735E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212" w:hRule="atLeast"/>
        </w:trPr>
        <w:tc>
          <w:tcPr>
            <w:tcW w:w="425" w:type="pct"/>
            <w:tcMar>
              <w:top w:w="60" w:type="dxa"/>
              <w:left w:w="120" w:type="dxa"/>
              <w:bottom w:w="30" w:type="dxa"/>
              <w:right w:w="120" w:type="dxa"/>
            </w:tcMar>
            <w:vAlign w:val="center"/>
          </w:tcPr>
          <w:p w14:paraId="221A8A20">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941" w:type="pct"/>
            <w:tcMar>
              <w:top w:w="60" w:type="dxa"/>
              <w:left w:w="120" w:type="dxa"/>
              <w:bottom w:w="30" w:type="dxa"/>
              <w:right w:w="120" w:type="dxa"/>
            </w:tcMar>
            <w:vAlign w:val="center"/>
          </w:tcPr>
          <w:p w14:paraId="1F749DA9">
            <w:pPr>
              <w:snapToGrid w:val="0"/>
              <w:spacing w:line="360" w:lineRule="auto"/>
              <w:jc w:val="center"/>
              <w:rPr>
                <w:rFonts w:ascii="仿宋" w:hAnsi="仿宋" w:eastAsia="仿宋" w:cs="仿宋"/>
                <w:sz w:val="24"/>
              </w:rPr>
            </w:pPr>
            <w:r>
              <w:rPr>
                <w:rFonts w:hint="eastAsia" w:ascii="仿宋" w:hAnsi="仿宋" w:eastAsia="仿宋" w:cs="仿宋"/>
                <w:sz w:val="24"/>
              </w:rPr>
              <w:t>三级故障（一般）</w:t>
            </w:r>
          </w:p>
        </w:tc>
        <w:tc>
          <w:tcPr>
            <w:tcW w:w="1883" w:type="pct"/>
            <w:tcMar>
              <w:top w:w="60" w:type="dxa"/>
              <w:left w:w="120" w:type="dxa"/>
              <w:bottom w:w="30" w:type="dxa"/>
              <w:right w:w="120" w:type="dxa"/>
            </w:tcMar>
          </w:tcPr>
          <w:p w14:paraId="775CB5AD">
            <w:pPr>
              <w:snapToGrid w:val="0"/>
              <w:spacing w:line="360" w:lineRule="auto"/>
              <w:jc w:val="left"/>
              <w:rPr>
                <w:rFonts w:ascii="仿宋" w:hAnsi="仿宋" w:eastAsia="仿宋" w:cs="仿宋"/>
                <w:sz w:val="24"/>
              </w:rPr>
            </w:pPr>
            <w:r>
              <w:rPr>
                <w:rFonts w:hint="eastAsia" w:ascii="仿宋" w:hAnsi="仿宋" w:eastAsia="仿宋" w:cs="仿宋"/>
                <w:sz w:val="24"/>
              </w:rPr>
              <w:t>1. 系统非核心功能受损，仅影响单个科室/少量终端使用，医院核心业务可正常开展；</w:t>
            </w:r>
          </w:p>
          <w:p w14:paraId="1C1FAEAD">
            <w:pPr>
              <w:snapToGrid w:val="0"/>
              <w:spacing w:line="360" w:lineRule="auto"/>
              <w:jc w:val="left"/>
              <w:rPr>
                <w:rFonts w:ascii="仿宋" w:hAnsi="仿宋" w:eastAsia="仿宋" w:cs="仿宋"/>
                <w:sz w:val="24"/>
              </w:rPr>
            </w:pPr>
            <w:r>
              <w:rPr>
                <w:rFonts w:hint="eastAsia" w:ascii="仿宋" w:hAnsi="仿宋" w:eastAsia="仿宋" w:cs="仿宋"/>
                <w:sz w:val="24"/>
              </w:rPr>
              <w:t>2. 系统出现局部数据异常、报表统计偏差，不影响核心业务办理；</w:t>
            </w:r>
          </w:p>
          <w:p w14:paraId="508DA04D">
            <w:pPr>
              <w:snapToGrid w:val="0"/>
              <w:spacing w:line="360" w:lineRule="auto"/>
              <w:jc w:val="left"/>
              <w:rPr>
                <w:rFonts w:ascii="仿宋" w:hAnsi="仿宋" w:eastAsia="仿宋" w:cs="仿宋"/>
                <w:sz w:val="24"/>
              </w:rPr>
            </w:pPr>
            <w:r>
              <w:rPr>
                <w:rFonts w:hint="eastAsia" w:ascii="仿宋" w:hAnsi="仿宋" w:eastAsia="仿宋" w:cs="仿宋"/>
                <w:sz w:val="24"/>
              </w:rPr>
              <w:t>3.配套设备故障，不影响整体业务流程。</w:t>
            </w:r>
          </w:p>
        </w:tc>
        <w:tc>
          <w:tcPr>
            <w:tcW w:w="1750" w:type="pct"/>
            <w:tcMar>
              <w:top w:w="60" w:type="dxa"/>
              <w:left w:w="120" w:type="dxa"/>
              <w:bottom w:w="30" w:type="dxa"/>
              <w:right w:w="120" w:type="dxa"/>
            </w:tcMar>
          </w:tcPr>
          <w:p w14:paraId="36C812FE">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30分钟内必须响应，出具处置方案；</w:t>
            </w:r>
          </w:p>
          <w:p w14:paraId="0710C2B3">
            <w:pPr>
              <w:snapToGrid w:val="0"/>
              <w:spacing w:line="360" w:lineRule="auto"/>
              <w:jc w:val="left"/>
              <w:rPr>
                <w:rFonts w:ascii="仿宋" w:hAnsi="仿宋" w:eastAsia="仿宋" w:cs="仿宋"/>
                <w:sz w:val="24"/>
              </w:rPr>
            </w:pPr>
            <w:r>
              <w:rPr>
                <w:rFonts w:hint="eastAsia" w:ascii="仿宋" w:hAnsi="仿宋" w:eastAsia="仿宋" w:cs="仿宋"/>
                <w:sz w:val="24"/>
              </w:rPr>
              <w:t>2. 12小时内到达现场或通过远程方式完成故障处置；</w:t>
            </w:r>
          </w:p>
          <w:p w14:paraId="4EC5C5D8">
            <w:pPr>
              <w:snapToGrid w:val="0"/>
              <w:spacing w:line="360" w:lineRule="auto"/>
              <w:jc w:val="left"/>
              <w:rPr>
                <w:rFonts w:ascii="仿宋" w:hAnsi="仿宋" w:eastAsia="仿宋" w:cs="仿宋"/>
                <w:sz w:val="24"/>
              </w:rPr>
            </w:pPr>
            <w:r>
              <w:rPr>
                <w:rFonts w:hint="eastAsia" w:ascii="仿宋" w:hAnsi="仿宋" w:eastAsia="仿宋" w:cs="仿宋"/>
                <w:sz w:val="24"/>
              </w:rPr>
              <w:t>3. 24小时内完成故障修复，闭环处置问题。</w:t>
            </w:r>
          </w:p>
        </w:tc>
      </w:tr>
      <w:tr w14:paraId="2875D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5182844C">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941" w:type="pct"/>
            <w:tcMar>
              <w:top w:w="60" w:type="dxa"/>
              <w:left w:w="120" w:type="dxa"/>
              <w:bottom w:w="30" w:type="dxa"/>
              <w:right w:w="120" w:type="dxa"/>
            </w:tcMar>
            <w:vAlign w:val="center"/>
          </w:tcPr>
          <w:p w14:paraId="06B3EAE1">
            <w:pPr>
              <w:snapToGrid w:val="0"/>
              <w:spacing w:line="360" w:lineRule="auto"/>
              <w:jc w:val="center"/>
              <w:rPr>
                <w:rFonts w:ascii="仿宋" w:hAnsi="仿宋" w:eastAsia="仿宋" w:cs="仿宋"/>
                <w:sz w:val="24"/>
              </w:rPr>
            </w:pPr>
            <w:r>
              <w:rPr>
                <w:rFonts w:hint="eastAsia" w:ascii="仿宋" w:hAnsi="仿宋" w:eastAsia="仿宋" w:cs="仿宋"/>
                <w:sz w:val="24"/>
              </w:rPr>
              <w:t>四级故障（轻微）</w:t>
            </w:r>
          </w:p>
        </w:tc>
        <w:tc>
          <w:tcPr>
            <w:tcW w:w="1883" w:type="pct"/>
            <w:tcMar>
              <w:top w:w="60" w:type="dxa"/>
              <w:left w:w="120" w:type="dxa"/>
              <w:bottom w:w="30" w:type="dxa"/>
              <w:right w:w="120" w:type="dxa"/>
            </w:tcMar>
          </w:tcPr>
          <w:p w14:paraId="1C720C58">
            <w:pPr>
              <w:snapToGrid w:val="0"/>
              <w:spacing w:line="360" w:lineRule="auto"/>
              <w:jc w:val="left"/>
              <w:rPr>
                <w:rFonts w:ascii="仿宋" w:hAnsi="仿宋" w:eastAsia="仿宋" w:cs="仿宋"/>
                <w:sz w:val="24"/>
              </w:rPr>
            </w:pPr>
            <w:r>
              <w:rPr>
                <w:rFonts w:hint="eastAsia" w:ascii="仿宋" w:hAnsi="仿宋" w:eastAsia="仿宋" w:cs="仿宋"/>
                <w:sz w:val="24"/>
              </w:rPr>
              <w:t>1. 系统出现一般性操作问题、界面显示异常，对患者就医、系统运行几乎无影响；</w:t>
            </w:r>
          </w:p>
          <w:p w14:paraId="20F3F23D">
            <w:pPr>
              <w:snapToGrid w:val="0"/>
              <w:spacing w:line="360" w:lineRule="auto"/>
              <w:jc w:val="left"/>
              <w:rPr>
                <w:rFonts w:ascii="仿宋" w:hAnsi="仿宋" w:eastAsia="仿宋" w:cs="仿宋"/>
                <w:sz w:val="24"/>
              </w:rPr>
            </w:pPr>
            <w:r>
              <w:rPr>
                <w:rFonts w:hint="eastAsia" w:ascii="仿宋" w:hAnsi="仿宋" w:eastAsia="仿宋" w:cs="仿宋"/>
                <w:sz w:val="24"/>
              </w:rPr>
              <w:t>2. 医护人员提出的系统操作咨询、功能配置调整等非故障类服务请求。</w:t>
            </w:r>
          </w:p>
        </w:tc>
        <w:tc>
          <w:tcPr>
            <w:tcW w:w="1750" w:type="pct"/>
            <w:tcMar>
              <w:top w:w="60" w:type="dxa"/>
              <w:left w:w="120" w:type="dxa"/>
              <w:bottom w:w="30" w:type="dxa"/>
              <w:right w:w="120" w:type="dxa"/>
            </w:tcMar>
          </w:tcPr>
          <w:p w14:paraId="7FDD90A8">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30分钟内必须响应，提供技术指导与解决方案；</w:t>
            </w:r>
          </w:p>
          <w:p w14:paraId="32A876A1">
            <w:pPr>
              <w:snapToGrid w:val="0"/>
              <w:spacing w:line="360" w:lineRule="auto"/>
              <w:jc w:val="left"/>
              <w:rPr>
                <w:rFonts w:ascii="仿宋" w:hAnsi="仿宋" w:eastAsia="仿宋" w:cs="仿宋"/>
                <w:sz w:val="24"/>
              </w:rPr>
            </w:pPr>
            <w:r>
              <w:rPr>
                <w:rFonts w:hint="eastAsia" w:ascii="仿宋" w:hAnsi="仿宋" w:eastAsia="仿宋" w:cs="仿宋"/>
                <w:sz w:val="24"/>
              </w:rPr>
              <w:t>2. 24小时内通过远程或现场方式完成处置；</w:t>
            </w:r>
          </w:p>
          <w:p w14:paraId="0C90CC46">
            <w:pPr>
              <w:snapToGrid w:val="0"/>
              <w:spacing w:line="360" w:lineRule="auto"/>
              <w:jc w:val="left"/>
              <w:rPr>
                <w:rFonts w:ascii="仿宋" w:hAnsi="仿宋" w:eastAsia="仿宋" w:cs="仿宋"/>
                <w:sz w:val="24"/>
              </w:rPr>
            </w:pPr>
            <w:r>
              <w:rPr>
                <w:rFonts w:hint="eastAsia" w:ascii="仿宋" w:hAnsi="仿宋" w:eastAsia="仿宋" w:cs="仿宋"/>
                <w:sz w:val="24"/>
              </w:rPr>
              <w:t>3. 48小时内完成问题闭环。</w:t>
            </w:r>
          </w:p>
        </w:tc>
      </w:tr>
    </w:tbl>
    <w:p w14:paraId="569ADD4F">
      <w:pPr>
        <w:snapToGrid w:val="0"/>
        <w:spacing w:line="360" w:lineRule="auto"/>
        <w:jc w:val="left"/>
        <w:rPr>
          <w:rFonts w:ascii="仿宋" w:hAnsi="仿宋" w:eastAsia="仿宋" w:cs="仿宋"/>
          <w:sz w:val="24"/>
        </w:rPr>
      </w:pPr>
      <w:r>
        <w:rPr>
          <w:rFonts w:hint="eastAsia" w:ascii="仿宋" w:hAnsi="仿宋" w:eastAsia="仿宋" w:cs="仿宋"/>
          <w:b/>
          <w:sz w:val="24"/>
        </w:rPr>
        <w:t>4. 售后运维服务核心要求</w:t>
      </w:r>
    </w:p>
    <w:p w14:paraId="26BD489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服务商须严格按照以下要求提供全流程售后运维服务，可依据自身技术能力提供增值服务，但不得低于以下标准要求，所有服务须留存完整、可追溯的工作记录，接受采购人全程监督。</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591"/>
        <w:gridCol w:w="885"/>
        <w:gridCol w:w="5024"/>
        <w:gridCol w:w="1311"/>
        <w:gridCol w:w="1327"/>
      </w:tblGrid>
      <w:tr w14:paraId="60D85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4D9AD710">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484" w:type="pct"/>
            <w:tcMar>
              <w:top w:w="60" w:type="dxa"/>
              <w:left w:w="120" w:type="dxa"/>
              <w:bottom w:w="30" w:type="dxa"/>
              <w:right w:w="120" w:type="dxa"/>
            </w:tcMar>
            <w:vAlign w:val="center"/>
          </w:tcPr>
          <w:p w14:paraId="555DAF8E">
            <w:pPr>
              <w:snapToGrid w:val="0"/>
              <w:spacing w:line="360" w:lineRule="auto"/>
              <w:jc w:val="center"/>
              <w:rPr>
                <w:rFonts w:ascii="仿宋" w:hAnsi="仿宋" w:eastAsia="仿宋" w:cs="仿宋"/>
                <w:b/>
                <w:sz w:val="24"/>
              </w:rPr>
            </w:pPr>
            <w:r>
              <w:rPr>
                <w:rFonts w:hint="eastAsia" w:ascii="仿宋" w:hAnsi="仿宋" w:eastAsia="仿宋" w:cs="仿宋"/>
                <w:b/>
                <w:sz w:val="24"/>
              </w:rPr>
              <w:t>服务项目</w:t>
            </w:r>
          </w:p>
        </w:tc>
        <w:tc>
          <w:tcPr>
            <w:tcW w:w="2748" w:type="pct"/>
            <w:tcMar>
              <w:top w:w="60" w:type="dxa"/>
              <w:left w:w="120" w:type="dxa"/>
              <w:bottom w:w="30" w:type="dxa"/>
              <w:right w:w="120" w:type="dxa"/>
            </w:tcMar>
            <w:vAlign w:val="center"/>
          </w:tcPr>
          <w:p w14:paraId="77F83E8B">
            <w:pPr>
              <w:snapToGrid w:val="0"/>
              <w:spacing w:line="360" w:lineRule="auto"/>
              <w:jc w:val="center"/>
              <w:rPr>
                <w:rFonts w:ascii="仿宋" w:hAnsi="仿宋" w:eastAsia="仿宋" w:cs="仿宋"/>
                <w:b/>
                <w:sz w:val="24"/>
              </w:rPr>
            </w:pPr>
            <w:r>
              <w:rPr>
                <w:rFonts w:hint="eastAsia" w:ascii="仿宋" w:hAnsi="仿宋" w:eastAsia="仿宋" w:cs="仿宋"/>
                <w:b/>
                <w:sz w:val="24"/>
              </w:rPr>
              <w:t>服务内涵</w:t>
            </w:r>
          </w:p>
        </w:tc>
        <w:tc>
          <w:tcPr>
            <w:tcW w:w="717" w:type="pct"/>
            <w:tcMar>
              <w:top w:w="60" w:type="dxa"/>
              <w:left w:w="120" w:type="dxa"/>
              <w:bottom w:w="30" w:type="dxa"/>
              <w:right w:w="120" w:type="dxa"/>
            </w:tcMar>
            <w:vAlign w:val="center"/>
          </w:tcPr>
          <w:p w14:paraId="5A1FE0E6">
            <w:pPr>
              <w:snapToGrid w:val="0"/>
              <w:spacing w:line="360" w:lineRule="auto"/>
              <w:jc w:val="center"/>
              <w:rPr>
                <w:rFonts w:ascii="仿宋" w:hAnsi="仿宋" w:eastAsia="仿宋" w:cs="仿宋"/>
                <w:b/>
                <w:sz w:val="24"/>
              </w:rPr>
            </w:pPr>
            <w:r>
              <w:rPr>
                <w:rFonts w:hint="eastAsia" w:ascii="仿宋" w:hAnsi="仿宋" w:eastAsia="仿宋" w:cs="仿宋"/>
                <w:b/>
                <w:sz w:val="24"/>
              </w:rPr>
              <w:t>服务方式</w:t>
            </w:r>
          </w:p>
        </w:tc>
        <w:tc>
          <w:tcPr>
            <w:tcW w:w="726" w:type="pct"/>
            <w:tcMar>
              <w:top w:w="60" w:type="dxa"/>
              <w:left w:w="120" w:type="dxa"/>
              <w:bottom w:w="30" w:type="dxa"/>
              <w:right w:w="120" w:type="dxa"/>
            </w:tcMar>
            <w:vAlign w:val="center"/>
          </w:tcPr>
          <w:p w14:paraId="26D8A4E4">
            <w:pPr>
              <w:snapToGrid w:val="0"/>
              <w:spacing w:line="360" w:lineRule="auto"/>
              <w:jc w:val="center"/>
              <w:rPr>
                <w:rFonts w:ascii="仿宋" w:hAnsi="仿宋" w:eastAsia="仿宋" w:cs="仿宋"/>
                <w:b/>
                <w:sz w:val="24"/>
              </w:rPr>
            </w:pPr>
            <w:r>
              <w:rPr>
                <w:rFonts w:hint="eastAsia" w:ascii="仿宋" w:hAnsi="仿宋" w:eastAsia="仿宋" w:cs="仿宋"/>
                <w:b/>
                <w:sz w:val="24"/>
              </w:rPr>
              <w:t>服务频次/次数要求</w:t>
            </w:r>
          </w:p>
        </w:tc>
      </w:tr>
      <w:tr w14:paraId="3A332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3E535756">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484" w:type="pct"/>
            <w:tcMar>
              <w:top w:w="60" w:type="dxa"/>
              <w:left w:w="120" w:type="dxa"/>
              <w:bottom w:w="30" w:type="dxa"/>
              <w:right w:w="120" w:type="dxa"/>
            </w:tcMar>
            <w:vAlign w:val="center"/>
          </w:tcPr>
          <w:p w14:paraId="76AC689D">
            <w:pPr>
              <w:snapToGrid w:val="0"/>
              <w:spacing w:line="360" w:lineRule="auto"/>
              <w:jc w:val="center"/>
              <w:rPr>
                <w:rFonts w:ascii="仿宋" w:hAnsi="仿宋" w:eastAsia="仿宋" w:cs="仿宋"/>
                <w:sz w:val="24"/>
              </w:rPr>
            </w:pPr>
            <w:r>
              <w:rPr>
                <w:rFonts w:hint="eastAsia" w:ascii="仿宋" w:hAnsi="仿宋" w:eastAsia="仿宋" w:cs="仿宋"/>
                <w:sz w:val="24"/>
              </w:rPr>
              <w:t>信息系统基础运维服务</w:t>
            </w:r>
          </w:p>
        </w:tc>
        <w:tc>
          <w:tcPr>
            <w:tcW w:w="2748" w:type="pct"/>
            <w:tcMar>
              <w:top w:w="60" w:type="dxa"/>
              <w:left w:w="120" w:type="dxa"/>
              <w:bottom w:w="30" w:type="dxa"/>
              <w:right w:w="120" w:type="dxa"/>
            </w:tcMar>
            <w:vAlign w:val="center"/>
          </w:tcPr>
          <w:p w14:paraId="6212E312">
            <w:pPr>
              <w:snapToGrid w:val="0"/>
              <w:spacing w:line="360" w:lineRule="auto"/>
              <w:rPr>
                <w:rFonts w:ascii="仿宋" w:hAnsi="仿宋" w:eastAsia="仿宋" w:cs="仿宋"/>
                <w:sz w:val="24"/>
              </w:rPr>
            </w:pPr>
            <w:r>
              <w:rPr>
                <w:rFonts w:hint="eastAsia" w:ascii="仿宋" w:hAnsi="仿宋" w:eastAsia="仿宋" w:cs="仿宋"/>
                <w:sz w:val="24"/>
              </w:rPr>
              <w:t>1. 上表所列全部系统模块的软件操作指导、故障排查、bug修复、配置管理服务；</w:t>
            </w:r>
          </w:p>
          <w:p w14:paraId="32F50021">
            <w:pPr>
              <w:snapToGrid w:val="0"/>
              <w:spacing w:line="360" w:lineRule="auto"/>
              <w:rPr>
                <w:rFonts w:ascii="仿宋" w:hAnsi="仿宋" w:eastAsia="仿宋" w:cs="仿宋"/>
                <w:sz w:val="24"/>
              </w:rPr>
            </w:pPr>
            <w:r>
              <w:rPr>
                <w:rFonts w:hint="eastAsia" w:ascii="仿宋" w:hAnsi="仿宋" w:eastAsia="仿宋" w:cs="仿宋"/>
                <w:sz w:val="24"/>
              </w:rPr>
              <w:t>2. 系统死机、数据错误、运行异常、兼容性问题等全场景故障处置；</w:t>
            </w:r>
          </w:p>
          <w:p w14:paraId="4CA5007F">
            <w:pPr>
              <w:snapToGrid w:val="0"/>
              <w:spacing w:line="360" w:lineRule="auto"/>
              <w:rPr>
                <w:rFonts w:ascii="仿宋" w:hAnsi="仿宋" w:eastAsia="仿宋" w:cs="仿宋"/>
                <w:sz w:val="24"/>
              </w:rPr>
            </w:pPr>
            <w:r>
              <w:rPr>
                <w:rFonts w:hint="eastAsia" w:ascii="仿宋" w:hAnsi="仿宋" w:eastAsia="仿宋" w:cs="仿宋"/>
                <w:sz w:val="24"/>
              </w:rPr>
              <w:t>3. 系统运行环境适配、显示异常、运行效率降低等问题的优化处置；</w:t>
            </w:r>
          </w:p>
          <w:p w14:paraId="0ADF92C2">
            <w:pPr>
              <w:snapToGrid w:val="0"/>
              <w:spacing w:line="360" w:lineRule="auto"/>
              <w:rPr>
                <w:rFonts w:ascii="仿宋" w:hAnsi="仿宋" w:eastAsia="仿宋" w:cs="仿宋"/>
                <w:sz w:val="24"/>
              </w:rPr>
            </w:pPr>
            <w:r>
              <w:rPr>
                <w:rFonts w:hint="eastAsia" w:ascii="仿宋" w:hAnsi="仿宋" w:eastAsia="仿宋" w:cs="仿宋"/>
                <w:sz w:val="24"/>
              </w:rPr>
              <w:t>4. 系统与院内其他信息系统的接口运维、适配调整、故障修复；</w:t>
            </w:r>
          </w:p>
          <w:p w14:paraId="3F53D7CA">
            <w:pPr>
              <w:snapToGrid w:val="0"/>
              <w:spacing w:line="360" w:lineRule="auto"/>
              <w:rPr>
                <w:rFonts w:ascii="仿宋" w:hAnsi="仿宋" w:eastAsia="仿宋" w:cs="仿宋"/>
                <w:sz w:val="24"/>
              </w:rPr>
            </w:pPr>
            <w:r>
              <w:rPr>
                <w:rFonts w:hint="eastAsia" w:ascii="仿宋" w:hAnsi="仿宋" w:eastAsia="仿宋" w:cs="仿宋"/>
                <w:sz w:val="24"/>
              </w:rPr>
              <w:t>5. 系统终端设备、服务器运行状态的定期巡检与隐患排查。</w:t>
            </w:r>
          </w:p>
        </w:tc>
        <w:tc>
          <w:tcPr>
            <w:tcW w:w="717" w:type="pct"/>
            <w:tcMar>
              <w:top w:w="60" w:type="dxa"/>
              <w:left w:w="120" w:type="dxa"/>
              <w:bottom w:w="30" w:type="dxa"/>
              <w:right w:w="120" w:type="dxa"/>
            </w:tcMar>
            <w:vAlign w:val="center"/>
          </w:tcPr>
          <w:p w14:paraId="5AE74200">
            <w:pPr>
              <w:snapToGrid w:val="0"/>
              <w:spacing w:line="360" w:lineRule="auto"/>
              <w:jc w:val="center"/>
              <w:rPr>
                <w:rFonts w:ascii="仿宋" w:hAnsi="仿宋" w:eastAsia="仿宋" w:cs="仿宋"/>
                <w:sz w:val="24"/>
              </w:rPr>
            </w:pPr>
            <w:r>
              <w:rPr>
                <w:rFonts w:hint="eastAsia" w:ascii="仿宋" w:hAnsi="仿宋" w:eastAsia="仿宋" w:cs="仿宋"/>
                <w:sz w:val="24"/>
              </w:rPr>
              <w:t>7×24小时热线服务安全远程运维服务现场驻场/上门服务</w:t>
            </w:r>
          </w:p>
        </w:tc>
        <w:tc>
          <w:tcPr>
            <w:tcW w:w="726" w:type="pct"/>
            <w:tcMar>
              <w:top w:w="60" w:type="dxa"/>
              <w:left w:w="120" w:type="dxa"/>
              <w:bottom w:w="30" w:type="dxa"/>
              <w:right w:w="120" w:type="dxa"/>
            </w:tcMar>
            <w:vAlign w:val="center"/>
          </w:tcPr>
          <w:p w14:paraId="2AE0C313">
            <w:pPr>
              <w:snapToGrid w:val="0"/>
              <w:spacing w:line="360" w:lineRule="auto"/>
              <w:jc w:val="center"/>
              <w:rPr>
                <w:rFonts w:ascii="仿宋" w:hAnsi="仿宋" w:eastAsia="仿宋" w:cs="仿宋"/>
                <w:sz w:val="24"/>
              </w:rPr>
            </w:pPr>
            <w:r>
              <w:rPr>
                <w:rFonts w:hint="eastAsia" w:ascii="仿宋" w:hAnsi="仿宋" w:eastAsia="仿宋" w:cs="仿宋"/>
                <w:sz w:val="24"/>
              </w:rPr>
              <w:t>不限次数，全时段响应</w:t>
            </w:r>
          </w:p>
        </w:tc>
      </w:tr>
      <w:tr w14:paraId="0D4F6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3894CCDF">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484" w:type="pct"/>
            <w:tcMar>
              <w:top w:w="60" w:type="dxa"/>
              <w:left w:w="120" w:type="dxa"/>
              <w:bottom w:w="30" w:type="dxa"/>
              <w:right w:w="120" w:type="dxa"/>
            </w:tcMar>
            <w:vAlign w:val="center"/>
          </w:tcPr>
          <w:p w14:paraId="24012F3F">
            <w:pPr>
              <w:snapToGrid w:val="0"/>
              <w:spacing w:line="360" w:lineRule="auto"/>
              <w:jc w:val="center"/>
              <w:rPr>
                <w:rFonts w:ascii="仿宋" w:hAnsi="仿宋" w:eastAsia="仿宋" w:cs="仿宋"/>
                <w:sz w:val="24"/>
              </w:rPr>
            </w:pPr>
            <w:r>
              <w:rPr>
                <w:rFonts w:hint="eastAsia" w:ascii="仿宋" w:hAnsi="仿宋" w:eastAsia="仿宋" w:cs="仿宋"/>
                <w:sz w:val="24"/>
              </w:rPr>
              <w:t>数据库专项运维服务</w:t>
            </w:r>
          </w:p>
        </w:tc>
        <w:tc>
          <w:tcPr>
            <w:tcW w:w="2748" w:type="pct"/>
            <w:tcMar>
              <w:top w:w="60" w:type="dxa"/>
              <w:left w:w="120" w:type="dxa"/>
              <w:bottom w:w="30" w:type="dxa"/>
              <w:right w:w="120" w:type="dxa"/>
            </w:tcMar>
            <w:vAlign w:val="center"/>
          </w:tcPr>
          <w:p w14:paraId="41D45980">
            <w:pPr>
              <w:snapToGrid w:val="0"/>
              <w:spacing w:line="360" w:lineRule="auto"/>
              <w:rPr>
                <w:rFonts w:ascii="仿宋" w:hAnsi="仿宋" w:eastAsia="仿宋" w:cs="仿宋"/>
                <w:sz w:val="24"/>
              </w:rPr>
            </w:pPr>
            <w:r>
              <w:rPr>
                <w:rFonts w:hint="eastAsia" w:ascii="仿宋" w:hAnsi="仿宋" w:eastAsia="仿宋" w:cs="仿宋"/>
                <w:sz w:val="24"/>
              </w:rPr>
              <w:t>1. 每月开展数据库全量巡检，检查内容包括服务器系统日志、磁盘空间、CPU/内存使用率、数据库表空间、数据文件大小、数据库运行日志、异常操作审计日志等，及时发现并处置潜在风险；</w:t>
            </w:r>
          </w:p>
          <w:p w14:paraId="7FA87863">
            <w:pPr>
              <w:snapToGrid w:val="0"/>
              <w:spacing w:line="360" w:lineRule="auto"/>
              <w:rPr>
                <w:rFonts w:ascii="仿宋" w:hAnsi="仿宋" w:eastAsia="仿宋" w:cs="仿宋"/>
                <w:sz w:val="24"/>
              </w:rPr>
            </w:pPr>
            <w:r>
              <w:rPr>
                <w:rFonts w:hint="eastAsia" w:ascii="仿宋" w:hAnsi="仿宋" w:eastAsia="仿宋" w:cs="仿宋"/>
                <w:sz w:val="24"/>
              </w:rPr>
              <w:t>2. 每季度完成数据库安全加固、高危漏洞修复，确保数据库符合等保合规要求；</w:t>
            </w:r>
          </w:p>
          <w:p w14:paraId="582194C9">
            <w:pPr>
              <w:snapToGrid w:val="0"/>
              <w:spacing w:line="360" w:lineRule="auto"/>
              <w:rPr>
                <w:rFonts w:ascii="仿宋" w:hAnsi="仿宋" w:eastAsia="仿宋" w:cs="仿宋"/>
                <w:sz w:val="24"/>
              </w:rPr>
            </w:pPr>
            <w:r>
              <w:rPr>
                <w:rFonts w:hint="eastAsia" w:ascii="仿宋" w:hAnsi="仿宋" w:eastAsia="仿宋" w:cs="仿宋"/>
                <w:sz w:val="24"/>
              </w:rPr>
              <w:t>3. 提供同版本数据库迁移、数据备份与恢复服务，配合采购人完成数据备份有效性验证；</w:t>
            </w:r>
          </w:p>
          <w:p w14:paraId="41E86935">
            <w:pPr>
              <w:snapToGrid w:val="0"/>
              <w:spacing w:line="360" w:lineRule="auto"/>
              <w:rPr>
                <w:rFonts w:ascii="仿宋" w:hAnsi="仿宋" w:eastAsia="仿宋" w:cs="仿宋"/>
                <w:sz w:val="24"/>
              </w:rPr>
            </w:pPr>
            <w:r>
              <w:rPr>
                <w:rFonts w:hint="eastAsia" w:ascii="仿宋" w:hAnsi="仿宋" w:eastAsia="仿宋" w:cs="仿宋"/>
                <w:sz w:val="24"/>
              </w:rPr>
              <w:t>4. 针对巡检发现的问题，完成数据库性能优化、参数调整，保障数据库持续处于最佳运行状态；</w:t>
            </w:r>
          </w:p>
          <w:p w14:paraId="3A189CE5">
            <w:pPr>
              <w:snapToGrid w:val="0"/>
              <w:spacing w:line="360" w:lineRule="auto"/>
              <w:rPr>
                <w:rFonts w:ascii="仿宋" w:hAnsi="仿宋" w:eastAsia="仿宋" w:cs="仿宋"/>
                <w:sz w:val="24"/>
              </w:rPr>
            </w:pPr>
            <w:r>
              <w:rPr>
                <w:rFonts w:hint="eastAsia" w:ascii="仿宋" w:hAnsi="仿宋" w:eastAsia="仿宋" w:cs="仿宋"/>
                <w:sz w:val="24"/>
              </w:rPr>
              <w:t>5. 数据库故障的应急处置，保障医疗数据不丢失、不泄露、不篡改。</w:t>
            </w:r>
          </w:p>
        </w:tc>
        <w:tc>
          <w:tcPr>
            <w:tcW w:w="717" w:type="pct"/>
            <w:tcMar>
              <w:top w:w="60" w:type="dxa"/>
              <w:left w:w="120" w:type="dxa"/>
              <w:bottom w:w="30" w:type="dxa"/>
              <w:right w:w="120" w:type="dxa"/>
            </w:tcMar>
            <w:vAlign w:val="center"/>
          </w:tcPr>
          <w:p w14:paraId="213E935F">
            <w:pPr>
              <w:snapToGrid w:val="0"/>
              <w:spacing w:line="360" w:lineRule="auto"/>
              <w:jc w:val="center"/>
              <w:rPr>
                <w:rFonts w:ascii="仿宋" w:hAnsi="仿宋" w:eastAsia="仿宋" w:cs="仿宋"/>
                <w:sz w:val="24"/>
              </w:rPr>
            </w:pPr>
            <w:r>
              <w:rPr>
                <w:rFonts w:hint="eastAsia" w:ascii="仿宋" w:hAnsi="仿宋" w:eastAsia="仿宋" w:cs="仿宋"/>
                <w:sz w:val="24"/>
              </w:rPr>
              <w:t>热线服务安全远程服务现场服务</w:t>
            </w:r>
          </w:p>
        </w:tc>
        <w:tc>
          <w:tcPr>
            <w:tcW w:w="726" w:type="pct"/>
            <w:tcMar>
              <w:top w:w="60" w:type="dxa"/>
              <w:left w:w="120" w:type="dxa"/>
              <w:bottom w:w="30" w:type="dxa"/>
              <w:right w:w="120" w:type="dxa"/>
            </w:tcMar>
            <w:vAlign w:val="center"/>
          </w:tcPr>
          <w:p w14:paraId="509493D6">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不限次数，每月至少1次全量巡检，每季度至少1次性能优化，每年至少2次备份恢复演练</w:t>
            </w:r>
          </w:p>
        </w:tc>
      </w:tr>
      <w:tr w14:paraId="0D82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64D5119F">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484" w:type="pct"/>
            <w:tcMar>
              <w:top w:w="60" w:type="dxa"/>
              <w:left w:w="120" w:type="dxa"/>
              <w:bottom w:w="30" w:type="dxa"/>
              <w:right w:w="120" w:type="dxa"/>
            </w:tcMar>
            <w:vAlign w:val="center"/>
          </w:tcPr>
          <w:p w14:paraId="4385D764">
            <w:pPr>
              <w:snapToGrid w:val="0"/>
              <w:spacing w:line="360" w:lineRule="auto"/>
              <w:jc w:val="center"/>
              <w:rPr>
                <w:rFonts w:ascii="仿宋" w:hAnsi="仿宋" w:eastAsia="仿宋" w:cs="仿宋"/>
                <w:sz w:val="24"/>
              </w:rPr>
            </w:pPr>
            <w:r>
              <w:rPr>
                <w:rFonts w:hint="eastAsia" w:ascii="仿宋" w:hAnsi="仿宋" w:eastAsia="仿宋" w:cs="仿宋"/>
                <w:sz w:val="24"/>
              </w:rPr>
              <w:t>系统升级与合规更新服务</w:t>
            </w:r>
          </w:p>
        </w:tc>
        <w:tc>
          <w:tcPr>
            <w:tcW w:w="2748" w:type="pct"/>
            <w:tcMar>
              <w:top w:w="60" w:type="dxa"/>
              <w:left w:w="120" w:type="dxa"/>
              <w:bottom w:w="30" w:type="dxa"/>
              <w:right w:w="120" w:type="dxa"/>
            </w:tcMar>
            <w:vAlign w:val="center"/>
          </w:tcPr>
          <w:p w14:paraId="399F9D7A">
            <w:pPr>
              <w:snapToGrid w:val="0"/>
              <w:spacing w:line="360" w:lineRule="auto"/>
              <w:rPr>
                <w:rFonts w:ascii="仿宋" w:hAnsi="仿宋" w:eastAsia="仿宋" w:cs="仿宋"/>
                <w:sz w:val="24"/>
              </w:rPr>
            </w:pPr>
            <w:r>
              <w:rPr>
                <w:rFonts w:hint="eastAsia" w:ascii="仿宋" w:hAnsi="仿宋" w:eastAsia="仿宋" w:cs="仿宋"/>
                <w:sz w:val="24"/>
              </w:rPr>
              <w:t>1. 依据国家、省、市卫健、医保、网信等部门新增或变更的政策法规、标准规范，免费、及时完成系统的合规性适配与更新服务，确保系统符合最新监管要求；</w:t>
            </w:r>
          </w:p>
          <w:p w14:paraId="311EE5F3">
            <w:pPr>
              <w:snapToGrid w:val="0"/>
              <w:spacing w:line="360" w:lineRule="auto"/>
              <w:rPr>
                <w:rFonts w:ascii="仿宋" w:hAnsi="仿宋" w:eastAsia="仿宋" w:cs="仿宋"/>
                <w:sz w:val="24"/>
              </w:rPr>
            </w:pPr>
            <w:r>
              <w:rPr>
                <w:rFonts w:hint="eastAsia" w:ascii="仿宋" w:hAnsi="仿宋" w:eastAsia="仿宋" w:cs="仿宋"/>
                <w:sz w:val="24"/>
              </w:rPr>
              <w:t>2. 提供系统同版本内的免费升级、功能优化服务，组织专业技术人员完成升级方案制定、测试、上线全流程工作，确保升级过程不影响医院正常业务；</w:t>
            </w:r>
          </w:p>
          <w:p w14:paraId="3BB5DEF8">
            <w:pPr>
              <w:snapToGrid w:val="0"/>
              <w:spacing w:line="360" w:lineRule="auto"/>
              <w:rPr>
                <w:rFonts w:ascii="仿宋" w:hAnsi="仿宋" w:eastAsia="仿宋" w:cs="仿宋"/>
                <w:sz w:val="24"/>
              </w:rPr>
            </w:pPr>
            <w:r>
              <w:rPr>
                <w:rFonts w:hint="eastAsia" w:ascii="仿宋" w:hAnsi="仿宋" w:eastAsia="仿宋" w:cs="仿宋"/>
                <w:sz w:val="24"/>
              </w:rPr>
              <w:t>3. 定期完成系统安全补丁、漏洞修复包的安装与调试，每月完成高危漏洞排查与修复；</w:t>
            </w:r>
          </w:p>
          <w:p w14:paraId="6C10DCC6">
            <w:pPr>
              <w:snapToGrid w:val="0"/>
              <w:spacing w:line="360" w:lineRule="auto"/>
              <w:rPr>
                <w:rFonts w:ascii="仿宋" w:hAnsi="仿宋" w:eastAsia="仿宋" w:cs="仿宋"/>
                <w:sz w:val="24"/>
              </w:rPr>
            </w:pPr>
            <w:r>
              <w:rPr>
                <w:rFonts w:hint="eastAsia" w:ascii="仿宋" w:hAnsi="仿宋" w:eastAsia="仿宋" w:cs="仿宋"/>
                <w:sz w:val="24"/>
              </w:rPr>
              <w:t>4. 配合采购人完成网络安全等级保护测评、医院信息互联互通标准化成熟度测评等相关工作，完成对应整改与系统适配。</w:t>
            </w:r>
          </w:p>
        </w:tc>
        <w:tc>
          <w:tcPr>
            <w:tcW w:w="717" w:type="pct"/>
            <w:tcMar>
              <w:top w:w="60" w:type="dxa"/>
              <w:left w:w="120" w:type="dxa"/>
              <w:bottom w:w="30" w:type="dxa"/>
              <w:right w:w="120" w:type="dxa"/>
            </w:tcMar>
            <w:vAlign w:val="center"/>
          </w:tcPr>
          <w:p w14:paraId="34C64192">
            <w:pPr>
              <w:snapToGrid w:val="0"/>
              <w:spacing w:line="360" w:lineRule="auto"/>
              <w:jc w:val="center"/>
              <w:rPr>
                <w:rFonts w:ascii="仿宋" w:hAnsi="仿宋" w:eastAsia="仿宋" w:cs="仿宋"/>
                <w:sz w:val="24"/>
              </w:rPr>
            </w:pPr>
            <w:r>
              <w:rPr>
                <w:rFonts w:hint="eastAsia" w:ascii="仿宋" w:hAnsi="仿宋" w:eastAsia="仿宋" w:cs="仿宋"/>
                <w:sz w:val="24"/>
              </w:rPr>
              <w:t>现场服务为主远程辅助</w:t>
            </w:r>
          </w:p>
        </w:tc>
        <w:tc>
          <w:tcPr>
            <w:tcW w:w="726" w:type="pct"/>
            <w:tcMar>
              <w:top w:w="60" w:type="dxa"/>
              <w:left w:w="120" w:type="dxa"/>
              <w:bottom w:w="30" w:type="dxa"/>
              <w:right w:w="120" w:type="dxa"/>
            </w:tcMar>
            <w:vAlign w:val="center"/>
          </w:tcPr>
          <w:p w14:paraId="6155476F">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不限次数，每月至少1次安全补丁更新，政策变更后10个工作日内完成合规适配</w:t>
            </w:r>
          </w:p>
        </w:tc>
      </w:tr>
      <w:tr w14:paraId="16F03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1C5C4D79">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484" w:type="pct"/>
            <w:tcMar>
              <w:top w:w="60" w:type="dxa"/>
              <w:left w:w="120" w:type="dxa"/>
              <w:bottom w:w="30" w:type="dxa"/>
              <w:right w:w="120" w:type="dxa"/>
            </w:tcMar>
            <w:vAlign w:val="center"/>
          </w:tcPr>
          <w:p w14:paraId="69A2CDA6">
            <w:pPr>
              <w:snapToGrid w:val="0"/>
              <w:spacing w:line="360" w:lineRule="auto"/>
              <w:jc w:val="center"/>
              <w:rPr>
                <w:rFonts w:ascii="仿宋" w:hAnsi="仿宋" w:eastAsia="仿宋" w:cs="仿宋"/>
                <w:sz w:val="24"/>
              </w:rPr>
            </w:pPr>
            <w:r>
              <w:rPr>
                <w:rFonts w:hint="eastAsia" w:ascii="仿宋" w:hAnsi="仿宋" w:eastAsia="仿宋" w:cs="仿宋"/>
                <w:sz w:val="24"/>
              </w:rPr>
              <w:t>配套设备运维服务</w:t>
            </w:r>
          </w:p>
        </w:tc>
        <w:tc>
          <w:tcPr>
            <w:tcW w:w="2748" w:type="pct"/>
            <w:tcMar>
              <w:top w:w="60" w:type="dxa"/>
              <w:left w:w="120" w:type="dxa"/>
              <w:bottom w:w="30" w:type="dxa"/>
              <w:right w:w="120" w:type="dxa"/>
            </w:tcMar>
            <w:vAlign w:val="center"/>
          </w:tcPr>
          <w:p w14:paraId="0F3C2163">
            <w:pPr>
              <w:snapToGrid w:val="0"/>
              <w:spacing w:line="360" w:lineRule="auto"/>
              <w:rPr>
                <w:rFonts w:ascii="仿宋" w:hAnsi="仿宋" w:eastAsia="仿宋" w:cs="仿宋"/>
                <w:sz w:val="24"/>
              </w:rPr>
            </w:pPr>
            <w:r>
              <w:rPr>
                <w:rFonts w:hint="eastAsia" w:ascii="仿宋" w:hAnsi="仿宋" w:eastAsia="仿宋" w:cs="仿宋"/>
                <w:sz w:val="24"/>
              </w:rPr>
              <w:t>1. 针对系统配套的叫号屏、自助终端、语音播报设备、工控机等硬件设备，提供维修、维护、调试服务，保障设备与系统接口程序稳定运行；</w:t>
            </w:r>
          </w:p>
          <w:p w14:paraId="595B848C">
            <w:pPr>
              <w:snapToGrid w:val="0"/>
              <w:spacing w:line="360" w:lineRule="auto"/>
              <w:rPr>
                <w:rFonts w:ascii="仿宋" w:hAnsi="仿宋" w:eastAsia="仿宋" w:cs="仿宋"/>
                <w:sz w:val="24"/>
              </w:rPr>
            </w:pPr>
            <w:r>
              <w:rPr>
                <w:rFonts w:hint="eastAsia" w:ascii="仿宋" w:hAnsi="仿宋" w:eastAsia="仿宋" w:cs="仿宋"/>
                <w:sz w:val="24"/>
              </w:rPr>
              <w:t>2. 医院新增、调整配套设备时，免费提供设备对接、系统适配、调试开通服务；</w:t>
            </w:r>
          </w:p>
          <w:p w14:paraId="11B83B0B">
            <w:pPr>
              <w:snapToGrid w:val="0"/>
              <w:spacing w:line="360" w:lineRule="auto"/>
              <w:rPr>
                <w:rFonts w:ascii="仿宋" w:hAnsi="仿宋" w:eastAsia="仿宋" w:cs="仿宋"/>
                <w:sz w:val="24"/>
              </w:rPr>
            </w:pPr>
            <w:r>
              <w:rPr>
                <w:rFonts w:hint="eastAsia" w:ascii="仿宋" w:hAnsi="仿宋" w:eastAsia="仿宋" w:cs="仿宋"/>
                <w:sz w:val="24"/>
              </w:rPr>
              <w:t>3. 定期对配套设备进行巡检，排查硬件故障隐患，降低设备故障率。</w:t>
            </w:r>
          </w:p>
        </w:tc>
        <w:tc>
          <w:tcPr>
            <w:tcW w:w="717" w:type="pct"/>
            <w:tcMar>
              <w:top w:w="60" w:type="dxa"/>
              <w:left w:w="120" w:type="dxa"/>
              <w:bottom w:w="30" w:type="dxa"/>
              <w:right w:w="120" w:type="dxa"/>
            </w:tcMar>
            <w:vAlign w:val="center"/>
          </w:tcPr>
          <w:p w14:paraId="6DA18BC0">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w:t>
            </w:r>
          </w:p>
        </w:tc>
        <w:tc>
          <w:tcPr>
            <w:tcW w:w="726" w:type="pct"/>
            <w:tcMar>
              <w:top w:w="60" w:type="dxa"/>
              <w:left w:w="120" w:type="dxa"/>
              <w:bottom w:w="30" w:type="dxa"/>
              <w:right w:w="120" w:type="dxa"/>
            </w:tcMar>
            <w:vAlign w:val="center"/>
          </w:tcPr>
          <w:p w14:paraId="3A11F8C6">
            <w:pPr>
              <w:snapToGrid w:val="0"/>
              <w:spacing w:line="360" w:lineRule="auto"/>
              <w:jc w:val="center"/>
              <w:rPr>
                <w:rFonts w:ascii="仿宋" w:hAnsi="仿宋" w:eastAsia="仿宋" w:cs="仿宋"/>
                <w:sz w:val="24"/>
              </w:rPr>
            </w:pPr>
            <w:r>
              <w:rPr>
                <w:rFonts w:hint="eastAsia" w:ascii="仿宋" w:hAnsi="仿宋" w:eastAsia="仿宋" w:cs="仿宋"/>
                <w:sz w:val="24"/>
              </w:rPr>
              <w:t>不限次数，每季度至少1次全量设备巡检</w:t>
            </w:r>
          </w:p>
        </w:tc>
      </w:tr>
      <w:tr w14:paraId="0F62A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1F0AD848">
            <w:pPr>
              <w:snapToGrid w:val="0"/>
              <w:spacing w:line="360" w:lineRule="auto"/>
              <w:jc w:val="center"/>
              <w:rPr>
                <w:rFonts w:ascii="仿宋" w:hAnsi="仿宋" w:eastAsia="仿宋" w:cs="仿宋"/>
                <w:sz w:val="24"/>
              </w:rPr>
            </w:pPr>
            <w:r>
              <w:rPr>
                <w:rFonts w:hint="eastAsia" w:ascii="仿宋" w:hAnsi="仿宋" w:eastAsia="仿宋" w:cs="仿宋"/>
                <w:sz w:val="24"/>
              </w:rPr>
              <w:t>5</w:t>
            </w:r>
          </w:p>
        </w:tc>
        <w:tc>
          <w:tcPr>
            <w:tcW w:w="484" w:type="pct"/>
            <w:tcMar>
              <w:top w:w="60" w:type="dxa"/>
              <w:left w:w="120" w:type="dxa"/>
              <w:bottom w:w="30" w:type="dxa"/>
              <w:right w:w="120" w:type="dxa"/>
            </w:tcMar>
            <w:vAlign w:val="center"/>
          </w:tcPr>
          <w:p w14:paraId="4C41AE34">
            <w:pPr>
              <w:snapToGrid w:val="0"/>
              <w:spacing w:line="360" w:lineRule="auto"/>
              <w:jc w:val="center"/>
              <w:rPr>
                <w:rFonts w:ascii="仿宋" w:hAnsi="仿宋" w:eastAsia="仿宋" w:cs="仿宋"/>
                <w:sz w:val="24"/>
              </w:rPr>
            </w:pPr>
            <w:r>
              <w:rPr>
                <w:rFonts w:hint="eastAsia" w:ascii="仿宋" w:hAnsi="仿宋" w:eastAsia="仿宋" w:cs="仿宋"/>
                <w:sz w:val="24"/>
              </w:rPr>
              <w:t>网络安全与数据安全服务</w:t>
            </w:r>
          </w:p>
        </w:tc>
        <w:tc>
          <w:tcPr>
            <w:tcW w:w="2748" w:type="pct"/>
            <w:tcMar>
              <w:top w:w="60" w:type="dxa"/>
              <w:left w:w="120" w:type="dxa"/>
              <w:bottom w:w="30" w:type="dxa"/>
              <w:right w:w="120" w:type="dxa"/>
            </w:tcMar>
            <w:vAlign w:val="center"/>
          </w:tcPr>
          <w:p w14:paraId="06F881B3">
            <w:pPr>
              <w:snapToGrid w:val="0"/>
              <w:spacing w:line="360" w:lineRule="auto"/>
              <w:rPr>
                <w:rFonts w:ascii="仿宋" w:hAnsi="仿宋" w:eastAsia="仿宋" w:cs="仿宋"/>
                <w:sz w:val="24"/>
              </w:rPr>
            </w:pPr>
            <w:r>
              <w:rPr>
                <w:rFonts w:hint="eastAsia" w:ascii="仿宋" w:hAnsi="仿宋" w:eastAsia="仿宋" w:cs="仿宋"/>
                <w:sz w:val="24"/>
              </w:rPr>
              <w:t>1. 严格根据《网络安全法》《数据安全法》《个人信息保护法》《医疗卫生机构网络安全管理办法》及相关法律法规，为采购人提供全流程网络安全与数据安全服务；</w:t>
            </w:r>
          </w:p>
          <w:p w14:paraId="052757A1">
            <w:pPr>
              <w:snapToGrid w:val="0"/>
              <w:spacing w:line="360" w:lineRule="auto"/>
              <w:rPr>
                <w:rFonts w:ascii="仿宋" w:hAnsi="仿宋" w:eastAsia="仿宋" w:cs="仿宋"/>
                <w:sz w:val="24"/>
              </w:rPr>
            </w:pPr>
            <w:r>
              <w:rPr>
                <w:rFonts w:hint="eastAsia" w:ascii="仿宋" w:hAnsi="仿宋" w:eastAsia="仿宋" w:cs="仿宋"/>
                <w:sz w:val="24"/>
              </w:rPr>
              <w:t>2. 网络安全服务包含且不限于：漏洞修复、安全问题整改、安全风险排查、入侵检测与防御等服务，重点保障系统核心数据传输安全；</w:t>
            </w:r>
          </w:p>
          <w:p w14:paraId="79EF872E">
            <w:pPr>
              <w:snapToGrid w:val="0"/>
              <w:spacing w:line="360" w:lineRule="auto"/>
              <w:rPr>
                <w:rFonts w:ascii="仿宋" w:hAnsi="仿宋" w:eastAsia="仿宋" w:cs="仿宋"/>
                <w:sz w:val="24"/>
              </w:rPr>
            </w:pPr>
            <w:r>
              <w:rPr>
                <w:rFonts w:hint="eastAsia" w:ascii="仿宋" w:hAnsi="仿宋" w:eastAsia="仿宋" w:cs="仿宋"/>
                <w:sz w:val="24"/>
              </w:rPr>
              <w:t>3. 数据安全服务包含且不限于：数据加密、数据备份与恢复、数据库安全审计、患者信息保护等服务，确保数据符合数据安全要求；</w:t>
            </w:r>
          </w:p>
          <w:p w14:paraId="38E3126C">
            <w:pPr>
              <w:snapToGrid w:val="0"/>
              <w:spacing w:line="360" w:lineRule="auto"/>
              <w:rPr>
                <w:rFonts w:ascii="仿宋" w:hAnsi="仿宋" w:eastAsia="仿宋" w:cs="仿宋"/>
                <w:sz w:val="24"/>
              </w:rPr>
            </w:pPr>
            <w:r>
              <w:rPr>
                <w:rFonts w:hint="eastAsia" w:ascii="仿宋" w:hAnsi="仿宋" w:eastAsia="仿宋" w:cs="仿宋"/>
                <w:sz w:val="24"/>
              </w:rPr>
              <w:t>4. 配合采购人完成数据安全检查、网络安全审计、等保测评等相关工作，提供技术支撑与整改服务；</w:t>
            </w:r>
          </w:p>
          <w:p w14:paraId="19543322">
            <w:pPr>
              <w:snapToGrid w:val="0"/>
              <w:spacing w:line="360" w:lineRule="auto"/>
              <w:rPr>
                <w:rFonts w:ascii="仿宋" w:hAnsi="仿宋" w:eastAsia="仿宋" w:cs="仿宋"/>
                <w:sz w:val="24"/>
              </w:rPr>
            </w:pPr>
            <w:r>
              <w:rPr>
                <w:rFonts w:hint="eastAsia" w:ascii="仿宋" w:hAnsi="仿宋" w:eastAsia="仿宋" w:cs="仿宋"/>
                <w:sz w:val="24"/>
              </w:rPr>
              <w:t>5. 规范远程运维操作，所有远程操作全程留痕，审计日志留存不少于6个月，杜绝非法远程访问。</w:t>
            </w:r>
          </w:p>
        </w:tc>
        <w:tc>
          <w:tcPr>
            <w:tcW w:w="717" w:type="pct"/>
            <w:tcMar>
              <w:top w:w="60" w:type="dxa"/>
              <w:left w:w="120" w:type="dxa"/>
              <w:bottom w:w="30" w:type="dxa"/>
              <w:right w:w="120" w:type="dxa"/>
            </w:tcMar>
            <w:vAlign w:val="center"/>
          </w:tcPr>
          <w:p w14:paraId="3C03DB05">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w:t>
            </w:r>
          </w:p>
        </w:tc>
        <w:tc>
          <w:tcPr>
            <w:tcW w:w="726" w:type="pct"/>
            <w:tcMar>
              <w:top w:w="60" w:type="dxa"/>
              <w:left w:w="120" w:type="dxa"/>
              <w:bottom w:w="30" w:type="dxa"/>
              <w:right w:w="120" w:type="dxa"/>
            </w:tcMar>
            <w:vAlign w:val="center"/>
          </w:tcPr>
          <w:p w14:paraId="0E153F3B">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不限次数，每月至少1次安全风险排查，每季度至少1次数据安全专项检查</w:t>
            </w:r>
          </w:p>
        </w:tc>
      </w:tr>
      <w:tr w14:paraId="29892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4C3DCBE0">
            <w:pPr>
              <w:snapToGrid w:val="0"/>
              <w:spacing w:line="360" w:lineRule="auto"/>
              <w:jc w:val="center"/>
              <w:rPr>
                <w:rFonts w:ascii="仿宋" w:hAnsi="仿宋" w:eastAsia="仿宋" w:cs="仿宋"/>
                <w:sz w:val="24"/>
              </w:rPr>
            </w:pPr>
            <w:r>
              <w:rPr>
                <w:rFonts w:hint="eastAsia" w:ascii="仿宋" w:hAnsi="仿宋" w:eastAsia="仿宋" w:cs="仿宋"/>
                <w:sz w:val="24"/>
              </w:rPr>
              <w:t>6</w:t>
            </w:r>
          </w:p>
        </w:tc>
        <w:tc>
          <w:tcPr>
            <w:tcW w:w="484" w:type="pct"/>
            <w:tcMar>
              <w:top w:w="60" w:type="dxa"/>
              <w:left w:w="120" w:type="dxa"/>
              <w:bottom w:w="30" w:type="dxa"/>
              <w:right w:w="120" w:type="dxa"/>
            </w:tcMar>
            <w:vAlign w:val="center"/>
          </w:tcPr>
          <w:p w14:paraId="706B3780">
            <w:pPr>
              <w:snapToGrid w:val="0"/>
              <w:spacing w:line="360" w:lineRule="auto"/>
              <w:jc w:val="center"/>
              <w:rPr>
                <w:rFonts w:ascii="仿宋" w:hAnsi="仿宋" w:eastAsia="仿宋" w:cs="仿宋"/>
                <w:sz w:val="24"/>
              </w:rPr>
            </w:pPr>
            <w:r>
              <w:rPr>
                <w:rFonts w:hint="eastAsia" w:ascii="仿宋" w:hAnsi="仿宋" w:eastAsia="仿宋" w:cs="仿宋"/>
                <w:sz w:val="24"/>
              </w:rPr>
              <w:t>人员培训服务</w:t>
            </w:r>
          </w:p>
        </w:tc>
        <w:tc>
          <w:tcPr>
            <w:tcW w:w="2748" w:type="pct"/>
            <w:tcMar>
              <w:top w:w="60" w:type="dxa"/>
              <w:left w:w="120" w:type="dxa"/>
              <w:bottom w:w="30" w:type="dxa"/>
              <w:right w:w="120" w:type="dxa"/>
            </w:tcMar>
            <w:vAlign w:val="center"/>
          </w:tcPr>
          <w:p w14:paraId="2C13B1F8">
            <w:pPr>
              <w:snapToGrid w:val="0"/>
              <w:spacing w:line="360" w:lineRule="auto"/>
              <w:rPr>
                <w:rFonts w:ascii="仿宋" w:hAnsi="仿宋" w:eastAsia="仿宋" w:cs="仿宋"/>
                <w:sz w:val="24"/>
              </w:rPr>
            </w:pPr>
            <w:r>
              <w:rPr>
                <w:rFonts w:hint="eastAsia" w:ascii="仿宋" w:hAnsi="仿宋" w:eastAsia="仿宋" w:cs="仿宋"/>
                <w:sz w:val="24"/>
              </w:rPr>
              <w:t>1. 针对医院管理岗、医护操作岗、信息科技术岗，分别制定差异化培训计划，编制标准化培训教材与操作手册；</w:t>
            </w:r>
          </w:p>
          <w:p w14:paraId="7B0199B1">
            <w:pPr>
              <w:snapToGrid w:val="0"/>
              <w:spacing w:line="360" w:lineRule="auto"/>
              <w:rPr>
                <w:rFonts w:ascii="仿宋" w:hAnsi="仿宋" w:eastAsia="仿宋" w:cs="仿宋"/>
                <w:sz w:val="24"/>
              </w:rPr>
            </w:pPr>
            <w:r>
              <w:rPr>
                <w:rFonts w:hint="eastAsia" w:ascii="仿宋" w:hAnsi="仿宋" w:eastAsia="仿宋" w:cs="仿宋"/>
                <w:sz w:val="24"/>
              </w:rPr>
              <w:t>2. 培训内容包括系统操作规范、常见故障处置、数据安全与个人信息保护、应急处置流程等；</w:t>
            </w:r>
          </w:p>
          <w:p w14:paraId="5C050DC9">
            <w:pPr>
              <w:snapToGrid w:val="0"/>
              <w:spacing w:line="360" w:lineRule="auto"/>
              <w:rPr>
                <w:rFonts w:ascii="仿宋" w:hAnsi="仿宋" w:eastAsia="仿宋" w:cs="仿宋"/>
                <w:sz w:val="24"/>
              </w:rPr>
            </w:pPr>
            <w:r>
              <w:rPr>
                <w:rFonts w:hint="eastAsia" w:ascii="仿宋" w:hAnsi="仿宋" w:eastAsia="仿宋" w:cs="仿宋"/>
                <w:sz w:val="24"/>
              </w:rPr>
              <w:t>3. 培训完成后组织考核，确保参训人员掌握对应技能；</w:t>
            </w:r>
          </w:p>
          <w:p w14:paraId="4F1C3A0B">
            <w:pPr>
              <w:snapToGrid w:val="0"/>
              <w:spacing w:line="360" w:lineRule="auto"/>
              <w:rPr>
                <w:rFonts w:ascii="仿宋" w:hAnsi="仿宋" w:eastAsia="仿宋" w:cs="仿宋"/>
                <w:sz w:val="24"/>
              </w:rPr>
            </w:pPr>
            <w:r>
              <w:rPr>
                <w:rFonts w:hint="eastAsia" w:ascii="仿宋" w:hAnsi="仿宋" w:eastAsia="仿宋" w:cs="仿宋"/>
                <w:sz w:val="24"/>
              </w:rPr>
              <w:t>4. 针对系统升级、新功能上线、新员工入职等场景，提供即时专项培训服务。</w:t>
            </w:r>
          </w:p>
        </w:tc>
        <w:tc>
          <w:tcPr>
            <w:tcW w:w="717" w:type="pct"/>
            <w:tcMar>
              <w:top w:w="60" w:type="dxa"/>
              <w:left w:w="120" w:type="dxa"/>
              <w:bottom w:w="30" w:type="dxa"/>
              <w:right w:w="120" w:type="dxa"/>
            </w:tcMar>
            <w:vAlign w:val="center"/>
          </w:tcPr>
          <w:p w14:paraId="6AF0668D">
            <w:pPr>
              <w:snapToGrid w:val="0"/>
              <w:spacing w:line="360" w:lineRule="auto"/>
              <w:jc w:val="center"/>
              <w:rPr>
                <w:rFonts w:ascii="仿宋" w:hAnsi="仿宋" w:eastAsia="仿宋" w:cs="仿宋"/>
                <w:sz w:val="24"/>
              </w:rPr>
            </w:pPr>
            <w:r>
              <w:rPr>
                <w:rFonts w:hint="eastAsia" w:ascii="仿宋" w:hAnsi="仿宋" w:eastAsia="仿宋" w:cs="仿宋"/>
                <w:sz w:val="24"/>
              </w:rPr>
              <w:t>现场培训远程线上培训</w:t>
            </w:r>
          </w:p>
        </w:tc>
        <w:tc>
          <w:tcPr>
            <w:tcW w:w="726" w:type="pct"/>
            <w:tcMar>
              <w:top w:w="60" w:type="dxa"/>
              <w:left w:w="120" w:type="dxa"/>
              <w:bottom w:w="30" w:type="dxa"/>
              <w:right w:w="120" w:type="dxa"/>
            </w:tcMar>
            <w:vAlign w:val="center"/>
          </w:tcPr>
          <w:p w14:paraId="04553E8D">
            <w:pPr>
              <w:snapToGrid w:val="0"/>
              <w:spacing w:line="360" w:lineRule="auto"/>
              <w:jc w:val="center"/>
              <w:rPr>
                <w:rFonts w:ascii="仿宋" w:hAnsi="仿宋" w:eastAsia="仿宋" w:cs="仿宋"/>
                <w:sz w:val="24"/>
              </w:rPr>
            </w:pPr>
            <w:r>
              <w:rPr>
                <w:rFonts w:hint="eastAsia" w:ascii="仿宋" w:hAnsi="仿宋" w:eastAsia="仿宋" w:cs="仿宋"/>
                <w:sz w:val="24"/>
              </w:rPr>
              <w:t>全年累计培训不少于20学时，集中培训不少于2次，专项培训不限次数</w:t>
            </w:r>
          </w:p>
        </w:tc>
      </w:tr>
      <w:tr w14:paraId="2C72F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1B89C78E">
            <w:pPr>
              <w:snapToGrid w:val="0"/>
              <w:spacing w:line="360" w:lineRule="auto"/>
              <w:jc w:val="center"/>
              <w:rPr>
                <w:rFonts w:ascii="仿宋" w:hAnsi="仿宋" w:eastAsia="仿宋" w:cs="仿宋"/>
                <w:sz w:val="24"/>
              </w:rPr>
            </w:pPr>
            <w:r>
              <w:rPr>
                <w:rFonts w:hint="eastAsia" w:ascii="仿宋" w:hAnsi="仿宋" w:eastAsia="仿宋" w:cs="仿宋"/>
                <w:sz w:val="24"/>
              </w:rPr>
              <w:t>7</w:t>
            </w:r>
          </w:p>
        </w:tc>
        <w:tc>
          <w:tcPr>
            <w:tcW w:w="484" w:type="pct"/>
            <w:tcMar>
              <w:top w:w="60" w:type="dxa"/>
              <w:left w:w="120" w:type="dxa"/>
              <w:bottom w:w="30" w:type="dxa"/>
              <w:right w:w="120" w:type="dxa"/>
            </w:tcMar>
            <w:vAlign w:val="center"/>
          </w:tcPr>
          <w:p w14:paraId="521D1F5F">
            <w:pPr>
              <w:snapToGrid w:val="0"/>
              <w:spacing w:line="360" w:lineRule="auto"/>
              <w:jc w:val="center"/>
              <w:rPr>
                <w:rFonts w:ascii="仿宋" w:hAnsi="仿宋" w:eastAsia="仿宋" w:cs="仿宋"/>
                <w:sz w:val="24"/>
              </w:rPr>
            </w:pPr>
            <w:r>
              <w:rPr>
                <w:rFonts w:hint="eastAsia" w:ascii="仿宋" w:hAnsi="仿宋" w:eastAsia="仿宋" w:cs="仿宋"/>
                <w:sz w:val="24"/>
              </w:rPr>
              <w:t>应急保障服务</w:t>
            </w:r>
          </w:p>
        </w:tc>
        <w:tc>
          <w:tcPr>
            <w:tcW w:w="2748" w:type="pct"/>
            <w:tcMar>
              <w:top w:w="60" w:type="dxa"/>
              <w:left w:w="120" w:type="dxa"/>
              <w:bottom w:w="30" w:type="dxa"/>
              <w:right w:w="120" w:type="dxa"/>
            </w:tcMar>
            <w:vAlign w:val="center"/>
          </w:tcPr>
          <w:p w14:paraId="0D6A865B">
            <w:pPr>
              <w:snapToGrid w:val="0"/>
              <w:spacing w:line="360" w:lineRule="auto"/>
              <w:rPr>
                <w:rFonts w:ascii="仿宋" w:hAnsi="仿宋" w:eastAsia="仿宋" w:cs="仿宋"/>
                <w:sz w:val="24"/>
              </w:rPr>
            </w:pPr>
            <w:r>
              <w:rPr>
                <w:rFonts w:hint="eastAsia" w:ascii="仿宋" w:hAnsi="仿宋" w:eastAsia="仿宋" w:cs="仿宋"/>
                <w:sz w:val="24"/>
              </w:rPr>
              <w:t>1. 针对系统瘫痪、重大数据安全事件、网络攻击等突发场景，制定专项应急预案，明确应急处置流程、责任人员、处置方案；</w:t>
            </w:r>
          </w:p>
          <w:p w14:paraId="5569534B">
            <w:pPr>
              <w:snapToGrid w:val="0"/>
              <w:spacing w:line="360" w:lineRule="auto"/>
              <w:rPr>
                <w:rFonts w:ascii="仿宋" w:hAnsi="仿宋" w:eastAsia="仿宋" w:cs="仿宋"/>
                <w:sz w:val="24"/>
              </w:rPr>
            </w:pPr>
            <w:r>
              <w:rPr>
                <w:rFonts w:hint="eastAsia" w:ascii="仿宋" w:hAnsi="仿宋" w:eastAsia="仿宋" w:cs="仿宋"/>
                <w:sz w:val="24"/>
              </w:rPr>
              <w:t>2. 每年联合采购人组织不少于1次应急演练，优化应急预案；</w:t>
            </w:r>
          </w:p>
          <w:p w14:paraId="54E2F1C6">
            <w:pPr>
              <w:snapToGrid w:val="0"/>
              <w:spacing w:line="360" w:lineRule="auto"/>
              <w:rPr>
                <w:rFonts w:ascii="仿宋" w:hAnsi="仿宋" w:eastAsia="仿宋" w:cs="仿宋"/>
                <w:sz w:val="24"/>
              </w:rPr>
            </w:pPr>
            <w:r>
              <w:rPr>
                <w:rFonts w:hint="eastAsia" w:ascii="仿宋" w:hAnsi="仿宋" w:eastAsia="仿宋" w:cs="仿宋"/>
                <w:sz w:val="24"/>
              </w:rPr>
              <w:t>3. 医院体检高峰、节假日、重大医疗活动等特殊时段，提供专属驻场保障服务，提前完成系统巡检，全程值守保障系统稳定运行。</w:t>
            </w:r>
          </w:p>
        </w:tc>
        <w:tc>
          <w:tcPr>
            <w:tcW w:w="717" w:type="pct"/>
            <w:tcMar>
              <w:top w:w="60" w:type="dxa"/>
              <w:left w:w="120" w:type="dxa"/>
              <w:bottom w:w="30" w:type="dxa"/>
              <w:right w:w="120" w:type="dxa"/>
            </w:tcMar>
            <w:vAlign w:val="center"/>
          </w:tcPr>
          <w:p w14:paraId="552D96CD">
            <w:pPr>
              <w:snapToGrid w:val="0"/>
              <w:spacing w:line="360" w:lineRule="auto"/>
              <w:jc w:val="center"/>
              <w:rPr>
                <w:rFonts w:ascii="仿宋" w:hAnsi="仿宋" w:eastAsia="仿宋" w:cs="仿宋"/>
                <w:sz w:val="24"/>
              </w:rPr>
            </w:pPr>
            <w:r>
              <w:rPr>
                <w:rFonts w:hint="eastAsia" w:ascii="仿宋" w:hAnsi="仿宋" w:eastAsia="仿宋" w:cs="仿宋"/>
                <w:sz w:val="24"/>
              </w:rPr>
              <w:t>现场驻场服务7×24小时应急响应</w:t>
            </w:r>
          </w:p>
        </w:tc>
        <w:tc>
          <w:tcPr>
            <w:tcW w:w="726" w:type="pct"/>
            <w:tcMar>
              <w:top w:w="60" w:type="dxa"/>
              <w:left w:w="120" w:type="dxa"/>
              <w:bottom w:w="30" w:type="dxa"/>
              <w:right w:w="120" w:type="dxa"/>
            </w:tcMar>
            <w:vAlign w:val="center"/>
          </w:tcPr>
          <w:p w14:paraId="6695F616">
            <w:pPr>
              <w:snapToGrid w:val="0"/>
              <w:spacing w:line="360" w:lineRule="auto"/>
              <w:jc w:val="center"/>
              <w:rPr>
                <w:rFonts w:ascii="仿宋" w:hAnsi="仿宋" w:eastAsia="仿宋" w:cs="仿宋"/>
                <w:sz w:val="24"/>
              </w:rPr>
            </w:pPr>
            <w:r>
              <w:rPr>
                <w:rFonts w:hint="eastAsia" w:ascii="仿宋" w:hAnsi="仿宋" w:eastAsia="仿宋" w:cs="仿宋"/>
                <w:sz w:val="24"/>
              </w:rPr>
              <w:t>每年不少于1次应急演练，特殊时段按需提供驻场保障</w:t>
            </w:r>
          </w:p>
        </w:tc>
      </w:tr>
      <w:tr w14:paraId="5E76D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43319EBE">
            <w:pPr>
              <w:snapToGrid w:val="0"/>
              <w:spacing w:line="360" w:lineRule="auto"/>
              <w:jc w:val="center"/>
              <w:rPr>
                <w:rFonts w:ascii="仿宋" w:hAnsi="仿宋" w:eastAsia="仿宋" w:cs="仿宋"/>
                <w:sz w:val="24"/>
              </w:rPr>
            </w:pPr>
            <w:r>
              <w:rPr>
                <w:rFonts w:hint="eastAsia" w:ascii="仿宋" w:hAnsi="仿宋" w:eastAsia="仿宋" w:cs="仿宋"/>
                <w:sz w:val="24"/>
              </w:rPr>
              <w:t>8</w:t>
            </w:r>
          </w:p>
        </w:tc>
        <w:tc>
          <w:tcPr>
            <w:tcW w:w="484" w:type="pct"/>
            <w:tcMar>
              <w:top w:w="60" w:type="dxa"/>
              <w:left w:w="120" w:type="dxa"/>
              <w:bottom w:w="30" w:type="dxa"/>
              <w:right w:w="120" w:type="dxa"/>
            </w:tcMar>
            <w:vAlign w:val="center"/>
          </w:tcPr>
          <w:p w14:paraId="390DA098">
            <w:pPr>
              <w:snapToGrid w:val="0"/>
              <w:spacing w:line="360" w:lineRule="auto"/>
              <w:jc w:val="center"/>
              <w:rPr>
                <w:rFonts w:ascii="仿宋" w:hAnsi="仿宋" w:eastAsia="仿宋" w:cs="仿宋"/>
                <w:sz w:val="24"/>
              </w:rPr>
            </w:pPr>
            <w:r>
              <w:rPr>
                <w:rFonts w:hint="eastAsia" w:ascii="仿宋" w:hAnsi="仿宋" w:eastAsia="仿宋" w:cs="仿宋"/>
                <w:sz w:val="24"/>
              </w:rPr>
              <w:t>服务器端国产化替代专项技术服务</w:t>
            </w:r>
          </w:p>
        </w:tc>
        <w:tc>
          <w:tcPr>
            <w:tcW w:w="2748" w:type="pct"/>
            <w:tcMar>
              <w:top w:w="60" w:type="dxa"/>
              <w:left w:w="120" w:type="dxa"/>
              <w:bottom w:w="30" w:type="dxa"/>
              <w:right w:w="120" w:type="dxa"/>
            </w:tcMar>
            <w:vAlign w:val="center"/>
          </w:tcPr>
          <w:p w14:paraId="1F09A825">
            <w:pPr>
              <w:snapToGrid w:val="0"/>
              <w:spacing w:line="360" w:lineRule="auto"/>
              <w:rPr>
                <w:rFonts w:ascii="仿宋" w:hAnsi="仿宋" w:eastAsia="仿宋" w:cs="仿宋"/>
                <w:sz w:val="24"/>
              </w:rPr>
            </w:pPr>
            <w:r>
              <w:rPr>
                <w:rFonts w:hint="eastAsia" w:ascii="仿宋" w:hAnsi="仿宋" w:eastAsia="仿宋" w:cs="仿宋"/>
                <w:sz w:val="24"/>
              </w:rPr>
              <w:t>1. 国产化适配前置评估：针对采购人服务器端国产化替代建设需求，完成现有《体检导检系统》《门诊叫号系统》全模块、全功能的国产化环境兼容性评估，覆盖国产服务器硬件、操作系统、数据库、中间件的全栈适配性分析，结合信息系统特性出具完整的《系统国产化适配评估报告》《国产化迁移实施方案》《业务割接与风险应急预案》</w:t>
            </w:r>
          </w:p>
          <w:p w14:paraId="374E398E">
            <w:pPr>
              <w:snapToGrid w:val="0"/>
              <w:spacing w:line="360" w:lineRule="auto"/>
              <w:rPr>
                <w:rFonts w:ascii="仿宋" w:hAnsi="仿宋" w:eastAsia="仿宋" w:cs="仿宋"/>
                <w:sz w:val="24"/>
              </w:rPr>
            </w:pPr>
            <w:r>
              <w:rPr>
                <w:rFonts w:hint="eastAsia" w:ascii="仿宋" w:hAnsi="仿宋" w:eastAsia="仿宋" w:cs="仿宋"/>
                <w:sz w:val="24"/>
              </w:rPr>
              <w:t>2. 原厂级适配改造开发：针对评估发现的兼容性问题，提供系统源代码级的适配改造、功能优化、接口重构服务，确保系统在国产化服务器环境下全功能正常运行、业务流程无断点、数据交互无异常，同时保障系统与院内HIS、LIS、PACS、EMR等现有及新增信创/非信创系统的互联互通，适配改造后系统性能不低于原有非国产化环境水平；</w:t>
            </w:r>
          </w:p>
          <w:p w14:paraId="71F31DAA">
            <w:pPr>
              <w:snapToGrid w:val="0"/>
              <w:spacing w:line="360" w:lineRule="auto"/>
              <w:rPr>
                <w:rFonts w:ascii="仿宋" w:hAnsi="仿宋" w:eastAsia="仿宋" w:cs="仿宋"/>
                <w:sz w:val="24"/>
              </w:rPr>
            </w:pPr>
            <w:r>
              <w:rPr>
                <w:rFonts w:hint="eastAsia" w:ascii="仿宋" w:hAnsi="仿宋" w:eastAsia="仿宋" w:cs="仿宋"/>
                <w:sz w:val="24"/>
              </w:rPr>
              <w:t>3. 国产化迁移与割接实施：配合采购人完成国产化测试环境搭建、全量功能测试、压力测试、兼容性测试、安全测试，制定分阶段、零风险的业务割接方案，割接操作安排在非业务高峰时段（夜间、节假日），全程派驻技术人员现场值守，保障迁移过程医疗数据零丢失、零泄露、零篡改，业务中断时长符合医院医疗安全管理要求，如出现异常立即启动回滚预案，保障业务连续性；</w:t>
            </w:r>
          </w:p>
          <w:p w14:paraId="28957C96">
            <w:pPr>
              <w:snapToGrid w:val="0"/>
              <w:spacing w:line="360" w:lineRule="auto"/>
              <w:rPr>
                <w:rFonts w:ascii="仿宋" w:hAnsi="仿宋" w:eastAsia="仿宋" w:cs="仿宋"/>
                <w:sz w:val="24"/>
              </w:rPr>
            </w:pPr>
            <w:r>
              <w:rPr>
                <w:rFonts w:hint="eastAsia" w:ascii="仿宋" w:hAnsi="仿宋" w:eastAsia="仿宋" w:cs="仿宋"/>
                <w:sz w:val="24"/>
              </w:rPr>
              <w:t>4. 国产化环境专项运维保障：系统迁移至国产化服务器环境后，提供专属专项运维服务，包括国产化环境下系统日常巡检、性能优化、故障排查处置、安全补丁适配、漏洞修复、合规性升级，建立国产化环境专属运维台账，针对国产化平台特性优化运维流程，保障系统在国产化服务器环境下持续稳定运行；</w:t>
            </w:r>
          </w:p>
          <w:p w14:paraId="3DE902C4">
            <w:pPr>
              <w:snapToGrid w:val="0"/>
              <w:spacing w:line="360" w:lineRule="auto"/>
              <w:rPr>
                <w:rFonts w:ascii="仿宋" w:hAnsi="仿宋" w:eastAsia="仿宋" w:cs="仿宋"/>
                <w:sz w:val="24"/>
              </w:rPr>
            </w:pPr>
            <w:r>
              <w:rPr>
                <w:rFonts w:hint="eastAsia" w:ascii="仿宋" w:hAnsi="仿宋" w:eastAsia="仿宋" w:cs="仿宋"/>
                <w:sz w:val="24"/>
              </w:rPr>
              <w:t>5. 合规适配与测评支撑：配合采购人完成信创建设合规验收、网络安全等级保护测评、医院信息互联互通标准化成熟度测评等相关工作，提供系统国产化适配证明、测试报告、技术支撑及整改服务，确保系统符合国家及地方交通、卫健、网信部门关于医疗信息化信创建设的最新政策要求；</w:t>
            </w:r>
          </w:p>
          <w:p w14:paraId="33860C93">
            <w:pPr>
              <w:snapToGrid w:val="0"/>
              <w:spacing w:line="360" w:lineRule="auto"/>
              <w:rPr>
                <w:rFonts w:ascii="仿宋" w:hAnsi="仿宋" w:eastAsia="仿宋" w:cs="仿宋"/>
                <w:sz w:val="24"/>
              </w:rPr>
            </w:pPr>
            <w:r>
              <w:rPr>
                <w:rFonts w:hint="eastAsia" w:ascii="仿宋" w:hAnsi="仿宋" w:eastAsia="仿宋" w:cs="仿宋"/>
                <w:sz w:val="24"/>
              </w:rPr>
              <w:t>6. 国产化专项培训：针对国产化服务器环境下的系统运维、操作使用、故障应急处置，为采购人信息科技术人员、医护操作岗、管理岗人员提供专项定制化培训，编制专属培训教材，确保参训人员掌握对应技能。</w:t>
            </w:r>
          </w:p>
        </w:tc>
        <w:tc>
          <w:tcPr>
            <w:tcW w:w="717" w:type="pct"/>
            <w:tcMar>
              <w:top w:w="60" w:type="dxa"/>
              <w:left w:w="120" w:type="dxa"/>
              <w:bottom w:w="30" w:type="dxa"/>
              <w:right w:w="120" w:type="dxa"/>
            </w:tcMar>
            <w:vAlign w:val="center"/>
          </w:tcPr>
          <w:p w14:paraId="088EC6D6">
            <w:pPr>
              <w:snapToGrid w:val="0"/>
              <w:spacing w:line="360" w:lineRule="auto"/>
              <w:jc w:val="center"/>
              <w:rPr>
                <w:rFonts w:ascii="仿宋" w:hAnsi="仿宋" w:eastAsia="仿宋" w:cs="仿宋"/>
                <w:sz w:val="24"/>
              </w:rPr>
            </w:pPr>
            <w:r>
              <w:rPr>
                <w:rFonts w:hint="eastAsia" w:ascii="仿宋" w:hAnsi="仿宋" w:eastAsia="仿宋" w:cs="仿宋"/>
                <w:sz w:val="24"/>
              </w:rPr>
              <w:t>现场服务为主，远程辅助服务，专项驻场服务</w:t>
            </w:r>
          </w:p>
        </w:tc>
        <w:tc>
          <w:tcPr>
            <w:tcW w:w="726" w:type="pct"/>
            <w:tcMar>
              <w:top w:w="60" w:type="dxa"/>
              <w:left w:w="120" w:type="dxa"/>
              <w:bottom w:w="30" w:type="dxa"/>
              <w:right w:w="120" w:type="dxa"/>
            </w:tcMar>
            <w:vAlign w:val="center"/>
          </w:tcPr>
          <w:p w14:paraId="5FF7C29C">
            <w:pPr>
              <w:snapToGrid w:val="0"/>
              <w:spacing w:line="360" w:lineRule="auto"/>
              <w:jc w:val="center"/>
              <w:rPr>
                <w:rFonts w:ascii="仿宋" w:hAnsi="仿宋" w:eastAsia="仿宋" w:cs="仿宋"/>
                <w:sz w:val="24"/>
              </w:rPr>
            </w:pPr>
            <w:r>
              <w:rPr>
                <w:rFonts w:hint="eastAsia" w:ascii="仿宋" w:hAnsi="仿宋" w:eastAsia="仿宋" w:cs="仿宋"/>
                <w:sz w:val="24"/>
              </w:rPr>
              <w:t>按需提供全流程服务，服务期内不限响应次数；迁移完成后每月至少1次国产化环境专项巡检，每季度至少1次性能优化</w:t>
            </w:r>
          </w:p>
        </w:tc>
      </w:tr>
      <w:tr w14:paraId="61CD9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23" w:type="pct"/>
            <w:tcMar>
              <w:top w:w="60" w:type="dxa"/>
              <w:left w:w="120" w:type="dxa"/>
              <w:bottom w:w="30" w:type="dxa"/>
              <w:right w:w="120" w:type="dxa"/>
            </w:tcMar>
            <w:vAlign w:val="center"/>
          </w:tcPr>
          <w:p w14:paraId="4E6892FF">
            <w:pPr>
              <w:snapToGrid w:val="0"/>
              <w:spacing w:line="360" w:lineRule="auto"/>
              <w:jc w:val="center"/>
              <w:rPr>
                <w:rFonts w:ascii="仿宋" w:hAnsi="仿宋" w:eastAsia="仿宋" w:cs="仿宋"/>
                <w:sz w:val="24"/>
              </w:rPr>
            </w:pPr>
            <w:r>
              <w:rPr>
                <w:rFonts w:hint="eastAsia" w:ascii="仿宋" w:hAnsi="仿宋" w:eastAsia="仿宋" w:cs="仿宋"/>
                <w:sz w:val="24"/>
              </w:rPr>
              <w:t>9</w:t>
            </w:r>
          </w:p>
        </w:tc>
        <w:tc>
          <w:tcPr>
            <w:tcW w:w="484" w:type="pct"/>
            <w:tcMar>
              <w:top w:w="60" w:type="dxa"/>
              <w:left w:w="120" w:type="dxa"/>
              <w:bottom w:w="30" w:type="dxa"/>
              <w:right w:w="120" w:type="dxa"/>
            </w:tcMar>
            <w:vAlign w:val="center"/>
          </w:tcPr>
          <w:p w14:paraId="19374946">
            <w:pPr>
              <w:snapToGrid w:val="0"/>
              <w:spacing w:line="360" w:lineRule="auto"/>
              <w:jc w:val="center"/>
              <w:rPr>
                <w:rFonts w:ascii="仿宋" w:hAnsi="仿宋" w:eastAsia="仿宋" w:cs="仿宋"/>
                <w:sz w:val="24"/>
              </w:rPr>
            </w:pPr>
            <w:r>
              <w:rPr>
                <w:rFonts w:hint="eastAsia" w:ascii="仿宋" w:hAnsi="仿宋" w:eastAsia="仿宋" w:cs="仿宋"/>
                <w:sz w:val="24"/>
              </w:rPr>
              <w:t>运维报告服务</w:t>
            </w:r>
          </w:p>
        </w:tc>
        <w:tc>
          <w:tcPr>
            <w:tcW w:w="2748" w:type="pct"/>
            <w:tcMar>
              <w:top w:w="60" w:type="dxa"/>
              <w:left w:w="120" w:type="dxa"/>
              <w:bottom w:w="30" w:type="dxa"/>
              <w:right w:w="120" w:type="dxa"/>
            </w:tcMar>
            <w:vAlign w:val="center"/>
          </w:tcPr>
          <w:p w14:paraId="520E3944">
            <w:pPr>
              <w:snapToGrid w:val="0"/>
              <w:spacing w:line="360" w:lineRule="auto"/>
              <w:rPr>
                <w:rFonts w:ascii="仿宋" w:hAnsi="仿宋" w:eastAsia="仿宋" w:cs="仿宋"/>
                <w:sz w:val="24"/>
              </w:rPr>
            </w:pPr>
            <w:r>
              <w:rPr>
                <w:rFonts w:hint="eastAsia" w:ascii="仿宋" w:hAnsi="仿宋" w:eastAsia="仿宋" w:cs="仿宋"/>
                <w:sz w:val="24"/>
              </w:rPr>
              <w:t>1. 每季度、每年提交阶段性运维报告，年度报告须包含全年服务总结、系统运行评估、安全合规情况、下一年度运维优化方案等；</w:t>
            </w:r>
          </w:p>
          <w:p w14:paraId="38F36470">
            <w:pPr>
              <w:snapToGrid w:val="0"/>
              <w:spacing w:line="360" w:lineRule="auto"/>
              <w:rPr>
                <w:rFonts w:ascii="仿宋" w:hAnsi="仿宋" w:eastAsia="仿宋" w:cs="仿宋"/>
                <w:sz w:val="24"/>
              </w:rPr>
            </w:pPr>
            <w:r>
              <w:rPr>
                <w:rFonts w:hint="eastAsia" w:ascii="仿宋" w:hAnsi="仿宋" w:eastAsia="仿宋" w:cs="仿宋"/>
                <w:sz w:val="24"/>
              </w:rPr>
              <w:t>2. 重大故障、专项工作单独提交专项报告。</w:t>
            </w:r>
          </w:p>
        </w:tc>
        <w:tc>
          <w:tcPr>
            <w:tcW w:w="717" w:type="pct"/>
            <w:tcMar>
              <w:top w:w="60" w:type="dxa"/>
              <w:left w:w="120" w:type="dxa"/>
              <w:bottom w:w="30" w:type="dxa"/>
              <w:right w:w="120" w:type="dxa"/>
            </w:tcMar>
            <w:vAlign w:val="center"/>
          </w:tcPr>
          <w:p w14:paraId="1594F9F2">
            <w:pPr>
              <w:snapToGrid w:val="0"/>
              <w:spacing w:line="360" w:lineRule="auto"/>
              <w:jc w:val="center"/>
              <w:rPr>
                <w:rFonts w:ascii="仿宋" w:hAnsi="仿宋" w:eastAsia="仿宋" w:cs="仿宋"/>
                <w:sz w:val="24"/>
              </w:rPr>
            </w:pPr>
            <w:r>
              <w:rPr>
                <w:rFonts w:hint="eastAsia" w:ascii="仿宋" w:hAnsi="仿宋" w:eastAsia="仿宋" w:cs="仿宋"/>
                <w:sz w:val="24"/>
              </w:rPr>
              <w:t>书面盖章报告电子文档</w:t>
            </w:r>
          </w:p>
        </w:tc>
        <w:tc>
          <w:tcPr>
            <w:tcW w:w="726" w:type="pct"/>
            <w:tcMar>
              <w:top w:w="60" w:type="dxa"/>
              <w:left w:w="120" w:type="dxa"/>
              <w:bottom w:w="30" w:type="dxa"/>
              <w:right w:w="120" w:type="dxa"/>
            </w:tcMar>
            <w:vAlign w:val="center"/>
          </w:tcPr>
          <w:p w14:paraId="3E181690">
            <w:pPr>
              <w:snapToGrid w:val="0"/>
              <w:spacing w:line="360" w:lineRule="auto"/>
              <w:jc w:val="center"/>
              <w:rPr>
                <w:rFonts w:ascii="仿宋" w:hAnsi="仿宋" w:eastAsia="仿宋" w:cs="仿宋"/>
                <w:sz w:val="24"/>
              </w:rPr>
            </w:pPr>
            <w:r>
              <w:rPr>
                <w:rFonts w:hint="eastAsia" w:ascii="仿宋" w:hAnsi="仿宋" w:eastAsia="仿宋" w:cs="仿宋"/>
                <w:sz w:val="24"/>
              </w:rPr>
              <w:t>每季度1次季报，每年1次年报，专项报告按需提交</w:t>
            </w:r>
          </w:p>
        </w:tc>
      </w:tr>
    </w:tbl>
    <w:p w14:paraId="57E2FC01">
      <w:pPr>
        <w:snapToGrid w:val="0"/>
        <w:spacing w:line="360" w:lineRule="auto"/>
        <w:jc w:val="left"/>
        <w:rPr>
          <w:rFonts w:ascii="仿宋" w:hAnsi="仿宋" w:eastAsia="仿宋" w:cs="仿宋"/>
          <w:sz w:val="24"/>
        </w:rPr>
      </w:pPr>
      <w:r>
        <w:rPr>
          <w:rFonts w:hint="eastAsia" w:ascii="仿宋" w:hAnsi="仿宋" w:eastAsia="仿宋" w:cs="仿宋"/>
          <w:b/>
          <w:sz w:val="24"/>
        </w:rPr>
        <w:t>5. 售后服务方案与技术能力要求</w:t>
      </w:r>
    </w:p>
    <w:p w14:paraId="50DD3C65">
      <w:pPr>
        <w:snapToGrid w:val="0"/>
        <w:spacing w:line="360" w:lineRule="auto"/>
        <w:jc w:val="left"/>
        <w:rPr>
          <w:rFonts w:ascii="仿宋" w:hAnsi="仿宋" w:eastAsia="仿宋" w:cs="仿宋"/>
          <w:sz w:val="24"/>
        </w:rPr>
      </w:pPr>
      <w:r>
        <w:rPr>
          <w:rFonts w:hint="eastAsia" w:ascii="仿宋" w:hAnsi="仿宋" w:eastAsia="仿宋" w:cs="仿宋"/>
          <w:b/>
          <w:sz w:val="24"/>
        </w:rPr>
        <w:t>5.1 售后服务方案要求</w:t>
      </w:r>
    </w:p>
    <w:p w14:paraId="38B2114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服务商须根据采购人信息化建设现状、系统使用情况、业务运行特点，制定详尽、可落地的售后服务方案，方案须至少包含以下内容：</w:t>
      </w:r>
    </w:p>
    <w:p w14:paraId="50140B21">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1.</w:t>
      </w:r>
    </w:p>
    <w:p w14:paraId="7BDF2923">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2.</w:t>
      </w:r>
    </w:p>
    <w:p w14:paraId="57B3A88E">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3.</w:t>
      </w:r>
    </w:p>
    <w:p w14:paraId="495FCCAC">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4.</w:t>
      </w:r>
    </w:p>
    <w:p w14:paraId="6744BAB2">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5.</w:t>
      </w:r>
    </w:p>
    <w:p w14:paraId="6DF69EB7">
      <w:pPr>
        <w:pStyle w:val="34"/>
        <w:numPr>
          <w:ilvl w:val="1"/>
          <w:numId w:val="0"/>
        </w:numPr>
        <w:snapToGrid w:val="0"/>
        <w:spacing w:line="360" w:lineRule="auto"/>
        <w:ind w:left="567" w:hanging="567"/>
        <w:jc w:val="left"/>
        <w:rPr>
          <w:rFonts w:ascii="仿宋" w:hAnsi="仿宋" w:eastAsia="仿宋" w:cs="仿宋"/>
          <w:vanish/>
          <w:sz w:val="24"/>
        </w:rPr>
      </w:pPr>
      <w:r>
        <w:rPr>
          <w:rFonts w:hint="eastAsia" w:ascii="仿宋" w:hAnsi="仿宋" w:eastAsia="仿宋" w:cs="仿宋"/>
          <w:vanish/>
          <w:sz w:val="24"/>
        </w:rPr>
        <w:t>5.1.</w:t>
      </w:r>
    </w:p>
    <w:p w14:paraId="1EFA23AD">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5.1.1.售后运维服务的整体承诺、服务级别保障承诺；</w:t>
      </w:r>
    </w:p>
    <w:p w14:paraId="5E89EDF1">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5.1.2.售后运维服务的详细内容、实施流程、操作规范；</w:t>
      </w:r>
    </w:p>
    <w:p w14:paraId="1F896EB1">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5.1.3.各故障等级的应急处置措施、业务连续性保障方案；</w:t>
      </w:r>
    </w:p>
    <w:p w14:paraId="45926D44">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5.1.4.售后运维服务全流程管理制度、质量管控体系；</w:t>
      </w:r>
    </w:p>
    <w:p w14:paraId="3E080747">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5.1.5.数据安全事件、系统瘫痪等突发场景的专项应急预案；</w:t>
      </w:r>
    </w:p>
    <w:p w14:paraId="4C43D2E6">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5.1.6.运维服务人员的岗位职责、考核方案、奖惩机制；</w:t>
      </w:r>
    </w:p>
    <w:p w14:paraId="19530B65">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5.1.7.合规性保障方案、等保合规配合方案、个人信息保护专项方案。</w:t>
      </w:r>
    </w:p>
    <w:p w14:paraId="615BE059">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5.1.8.服务器端国产化替代专项服务方案与专项应急预案。</w:t>
      </w:r>
    </w:p>
    <w:p w14:paraId="0A9A7A9B">
      <w:pPr>
        <w:snapToGrid w:val="0"/>
        <w:spacing w:line="360" w:lineRule="auto"/>
        <w:jc w:val="left"/>
        <w:rPr>
          <w:rFonts w:ascii="仿宋" w:hAnsi="仿宋" w:eastAsia="仿宋" w:cs="仿宋"/>
          <w:sz w:val="24"/>
        </w:rPr>
      </w:pPr>
      <w:r>
        <w:rPr>
          <w:rFonts w:hint="eastAsia" w:ascii="仿宋" w:hAnsi="仿宋" w:eastAsia="仿宋" w:cs="仿宋"/>
          <w:b/>
          <w:sz w:val="24"/>
        </w:rPr>
        <w:t>5.2 技术能力与人员要求</w:t>
      </w:r>
    </w:p>
    <w:p w14:paraId="1113834D">
      <w:pPr>
        <w:pStyle w:val="34"/>
        <w:widowControl/>
        <w:snapToGrid w:val="0"/>
        <w:spacing w:line="360" w:lineRule="auto"/>
        <w:ind w:left="425" w:hanging="425" w:firstLineChars="0"/>
        <w:jc w:val="left"/>
        <w:rPr>
          <w:rFonts w:ascii="仿宋" w:hAnsi="仿宋" w:eastAsia="仿宋" w:cs="仿宋"/>
          <w:bCs/>
          <w:vanish/>
          <w:sz w:val="24"/>
        </w:rPr>
      </w:pPr>
      <w:r>
        <w:rPr>
          <w:rFonts w:hint="eastAsia" w:ascii="仿宋" w:hAnsi="仿宋" w:eastAsia="仿宋" w:cs="仿宋"/>
          <w:bCs/>
          <w:vanish/>
          <w:sz w:val="24"/>
        </w:rPr>
        <w:t>5.</w:t>
      </w:r>
    </w:p>
    <w:p w14:paraId="3437CB83">
      <w:pPr>
        <w:pStyle w:val="34"/>
        <w:widowControl/>
        <w:numPr>
          <w:ilvl w:val="1"/>
          <w:numId w:val="0"/>
        </w:numPr>
        <w:snapToGrid w:val="0"/>
        <w:spacing w:line="360" w:lineRule="auto"/>
        <w:ind w:left="567" w:hanging="567"/>
        <w:jc w:val="left"/>
        <w:rPr>
          <w:rFonts w:ascii="仿宋" w:hAnsi="仿宋" w:eastAsia="仿宋" w:cs="仿宋"/>
          <w:bCs/>
          <w:vanish/>
          <w:sz w:val="24"/>
        </w:rPr>
      </w:pPr>
      <w:r>
        <w:rPr>
          <w:rFonts w:hint="eastAsia" w:ascii="仿宋" w:hAnsi="仿宋" w:eastAsia="仿宋" w:cs="仿宋"/>
          <w:bCs/>
          <w:vanish/>
          <w:sz w:val="24"/>
        </w:rPr>
        <w:t>5.1.</w:t>
      </w:r>
    </w:p>
    <w:p w14:paraId="7E9B3692">
      <w:pPr>
        <w:pStyle w:val="34"/>
        <w:widowControl/>
        <w:numPr>
          <w:ilvl w:val="1"/>
          <w:numId w:val="0"/>
        </w:numPr>
        <w:snapToGrid w:val="0"/>
        <w:spacing w:line="360" w:lineRule="auto"/>
        <w:ind w:left="567" w:hanging="567"/>
        <w:jc w:val="left"/>
        <w:rPr>
          <w:rFonts w:ascii="仿宋" w:hAnsi="仿宋" w:eastAsia="仿宋" w:cs="仿宋"/>
          <w:bCs/>
          <w:vanish/>
          <w:sz w:val="24"/>
        </w:rPr>
      </w:pPr>
      <w:r>
        <w:rPr>
          <w:rFonts w:hint="eastAsia" w:ascii="仿宋" w:hAnsi="仿宋" w:eastAsia="仿宋" w:cs="仿宋"/>
          <w:bCs/>
          <w:vanish/>
          <w:sz w:val="24"/>
        </w:rPr>
        <w:t>5.2.</w:t>
      </w:r>
    </w:p>
    <w:p w14:paraId="26134654">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5.2.1.服务商须提供本项目售后服务专属团队组织架构，明确项目负责人、技术负责人、现场运维人员、安全专项人员、应急保障人员的岗位职责与联系方式，确保7×24小时可联系。</w:t>
      </w:r>
    </w:p>
    <w:p w14:paraId="652CE6D0">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5.2.2.本项目专属技术团队人员不少于5人，其中专职人员不少于1人（可根据采购人需求调整），团队人员须满足以下资质要求：</w:t>
      </w:r>
    </w:p>
    <w:p w14:paraId="196C9083">
      <w:pPr>
        <w:pStyle w:val="34"/>
        <w:numPr>
          <w:ilvl w:val="0"/>
          <w:numId w:val="4"/>
        </w:numPr>
        <w:snapToGrid w:val="0"/>
        <w:spacing w:line="360" w:lineRule="auto"/>
        <w:ind w:left="0" w:firstLine="480"/>
        <w:jc w:val="left"/>
        <w:rPr>
          <w:rFonts w:ascii="仿宋" w:hAnsi="仿宋" w:eastAsia="仿宋" w:cs="仿宋"/>
          <w:sz w:val="24"/>
        </w:rPr>
      </w:pPr>
      <w:r>
        <w:rPr>
          <w:rFonts w:hint="eastAsia" w:ascii="仿宋" w:hAnsi="仿宋" w:eastAsia="仿宋" w:cs="仿宋"/>
          <w:sz w:val="24"/>
        </w:rPr>
        <w:t>项目负责人须具备3年以上医疗信息化系统运维项目管理经验；</w:t>
      </w:r>
    </w:p>
    <w:p w14:paraId="7DA3074E">
      <w:pPr>
        <w:pStyle w:val="34"/>
        <w:numPr>
          <w:ilvl w:val="0"/>
          <w:numId w:val="4"/>
        </w:numPr>
        <w:snapToGrid w:val="0"/>
        <w:spacing w:line="360" w:lineRule="auto"/>
        <w:ind w:left="0" w:firstLine="480"/>
        <w:jc w:val="left"/>
        <w:rPr>
          <w:rFonts w:ascii="仿宋" w:hAnsi="仿宋" w:eastAsia="仿宋" w:cs="仿宋"/>
          <w:sz w:val="24"/>
        </w:rPr>
      </w:pPr>
      <w:r>
        <w:rPr>
          <w:rFonts w:hint="eastAsia" w:ascii="仿宋" w:hAnsi="仿宋" w:eastAsia="仿宋" w:cs="仿宋"/>
          <w:sz w:val="24"/>
        </w:rPr>
        <w:t>技术团队须包含至少1名数据库工程师、1名网络安全工程师，所有运维人员须具备对应系统的原厂运维认证资质；</w:t>
      </w:r>
    </w:p>
    <w:p w14:paraId="33FCD6FF">
      <w:pPr>
        <w:pStyle w:val="34"/>
        <w:numPr>
          <w:ilvl w:val="0"/>
          <w:numId w:val="4"/>
        </w:numPr>
        <w:snapToGrid w:val="0"/>
        <w:spacing w:line="360" w:lineRule="auto"/>
        <w:ind w:left="0" w:firstLine="480"/>
        <w:jc w:val="left"/>
        <w:rPr>
          <w:rFonts w:ascii="仿宋" w:hAnsi="仿宋" w:eastAsia="仿宋" w:cs="仿宋"/>
          <w:sz w:val="24"/>
        </w:rPr>
      </w:pPr>
      <w:r>
        <w:rPr>
          <w:rFonts w:hint="eastAsia" w:ascii="仿宋" w:hAnsi="仿宋" w:eastAsia="仿宋" w:cs="仿宋"/>
          <w:sz w:val="24"/>
        </w:rPr>
        <w:t>提供团队所有人员近3个月的社保缴纳证明材料，确保人员稳定，未经采购人书面同意，不得擅自更换项目核心人员。</w:t>
      </w:r>
    </w:p>
    <w:p w14:paraId="33F56FBB">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5.2.3.服务商须具备完善的技术支撑体系，具备原厂级研发与维护能力，可提供系统源代码级的故障修复、功能适配服务，具备本地化服务能力，确保应急处置时效。</w:t>
      </w:r>
    </w:p>
    <w:p w14:paraId="5A3AA5EB">
      <w:pPr>
        <w:snapToGrid w:val="0"/>
        <w:spacing w:line="360" w:lineRule="auto"/>
        <w:jc w:val="left"/>
        <w:rPr>
          <w:rFonts w:ascii="仿宋" w:hAnsi="仿宋" w:eastAsia="仿宋" w:cs="仿宋"/>
          <w:sz w:val="24"/>
        </w:rPr>
      </w:pPr>
      <w:r>
        <w:rPr>
          <w:rFonts w:hint="eastAsia" w:ascii="仿宋" w:hAnsi="仿宋" w:eastAsia="仿宋" w:cs="仿宋"/>
          <w:b/>
          <w:sz w:val="24"/>
        </w:rPr>
        <w:t>6. 数据安全与信息保密要求</w:t>
      </w:r>
    </w:p>
    <w:p w14:paraId="0950AC8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本条款严格遵循《数据安全法》、《个人信息保护法》、《医疗卫生机构网络安全管理办法》、《医疗卫生数据安全指南》制定，为项目刚性要求，具体如下：</w:t>
      </w:r>
    </w:p>
    <w:p w14:paraId="117A8A69">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5.</w:t>
      </w:r>
    </w:p>
    <w:p w14:paraId="505930C0">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6.</w:t>
      </w:r>
    </w:p>
    <w:p w14:paraId="024C4D88">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6.1.服务商须建立完善的数据安全管理制度、全生命周期数据保护体系、个人信息保护管理制度，符合国家医疗数据分类分级保护要求，明确数据安全责任部门与专职技术人员，提供专职人员近6个月的社保缴纳证明材料。</w:t>
      </w:r>
    </w:p>
    <w:p w14:paraId="1809B9ED">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6.2.服务商须与采购人签订专项数据安全与保密协议，同时与所有参与本项目的服务人员签订保密协议，明确保密义务、保密范围、保密期限（含在职期间及离职后终身保密）与违约责任，相关协议文本须提交采购人备案。</w:t>
      </w:r>
    </w:p>
    <w:p w14:paraId="564250DB">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6.3.服务商须严格遵守国家法律法规，对服务过程中接触、获取的所有医疗数据、患者个人信息、医院业务数据、涉密信息等，仅可用于本项目运维服务工作，不得擅自复制、存储、泄露、转让、篡改、销毁，不得用于任何商业用途或其他未经授权的用途。</w:t>
      </w:r>
    </w:p>
    <w:p w14:paraId="42FC1279">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6.4.服务商的远程运维操作须经过采购人书面审批，采用加密安全接入方式，全程留痕，审计日志留存不少于6个月；严禁未经授权的远程操作，严禁将系统接入公共互联网进行运维操作。</w:t>
      </w:r>
    </w:p>
    <w:p w14:paraId="6EAFB465">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6.5.服务商须建立数据安全事件应急处置机制，发生数据泄露、篡改、丢失等安全事件时，须10分钟内响应，第一时间通知采购人，同步启动应急预案，采取处置措施防止事件扩大，配合采购人完成监管上报、事件调查等工作，并承担全部法律责任与经济损失。</w:t>
      </w:r>
    </w:p>
    <w:p w14:paraId="346F3572">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6.6.国产化迁移实施过程中，须严格遵循采购人数据安全管理规定，制定专项数据迁移安全方案，全程加密传输数据，做好全量数据备份与一致性校验，确保迁移过程数据全生命周期安全。</w:t>
      </w:r>
    </w:p>
    <w:p w14:paraId="200F5029">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6.7.服务期结束后，服务商须将所有运维相关数据、文档、材料完整移交采购人，彻底删除所持有的采购人全部数据，不得留存任何副本，并向采购人出具数据删除承诺书。</w:t>
      </w:r>
    </w:p>
    <w:p w14:paraId="0412B857">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6.8.服务商须配合采购人完成数据安全检查、网络安全审计、等保测评等相关工作，提供对应的技术支撑与整改服务。</w:t>
      </w:r>
    </w:p>
    <w:p w14:paraId="35F93CEF">
      <w:pPr>
        <w:snapToGrid w:val="0"/>
        <w:spacing w:line="360" w:lineRule="auto"/>
        <w:jc w:val="left"/>
        <w:rPr>
          <w:rFonts w:ascii="仿宋" w:hAnsi="仿宋" w:eastAsia="仿宋" w:cs="仿宋"/>
          <w:sz w:val="24"/>
        </w:rPr>
      </w:pPr>
      <w:r>
        <w:rPr>
          <w:rFonts w:hint="eastAsia" w:ascii="仿宋" w:hAnsi="仿宋" w:eastAsia="仿宋" w:cs="仿宋"/>
          <w:b/>
          <w:sz w:val="24"/>
        </w:rPr>
        <w:t>三、商务要求</w:t>
      </w:r>
    </w:p>
    <w:p w14:paraId="3A95BC61">
      <w:pPr>
        <w:snapToGrid w:val="0"/>
        <w:spacing w:line="360" w:lineRule="auto"/>
        <w:jc w:val="left"/>
        <w:rPr>
          <w:rFonts w:ascii="仿宋" w:hAnsi="仿宋" w:eastAsia="仿宋" w:cs="仿宋"/>
          <w:sz w:val="24"/>
        </w:rPr>
      </w:pPr>
      <w:r>
        <w:rPr>
          <w:rFonts w:hint="eastAsia" w:ascii="仿宋" w:hAnsi="仿宋" w:eastAsia="仿宋" w:cs="仿宋"/>
          <w:b/>
          <w:sz w:val="24"/>
        </w:rPr>
        <w:t>1. 合同核心内容</w:t>
      </w:r>
    </w:p>
    <w:p w14:paraId="50087B3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合同标的为成交供应商提供的本文件约定的全部运维服务、服务器端国产化替代专项技术服务，合同内容包含采购文件、成交供应商的响应文件、单一来源采购协商记录、服务承诺、成交通知书、合同文本等全部文件，成交总金额为合同固定总价，包含服务期内完成全部服务所需的人工、材料、设备、开发、测试、税费、培训、应急保障等所有费用，采购人无需额外支付任何费用。</w:t>
      </w:r>
    </w:p>
    <w:p w14:paraId="5DA76223">
      <w:pPr>
        <w:snapToGrid w:val="0"/>
        <w:spacing w:line="360" w:lineRule="auto"/>
        <w:jc w:val="left"/>
        <w:rPr>
          <w:rFonts w:ascii="仿宋" w:hAnsi="仿宋" w:eastAsia="仿宋" w:cs="仿宋"/>
          <w:sz w:val="24"/>
        </w:rPr>
      </w:pPr>
      <w:r>
        <w:rPr>
          <w:rFonts w:hint="eastAsia" w:ascii="仿宋" w:hAnsi="仿宋" w:eastAsia="仿宋" w:cs="仿宋"/>
          <w:b/>
          <w:sz w:val="24"/>
        </w:rPr>
        <w:t>2. 服务地点</w:t>
      </w:r>
    </w:p>
    <w:p w14:paraId="5ABA6F4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陕西省交通医院本部及所有分院区、采购人指定的其他服务场所。</w:t>
      </w:r>
    </w:p>
    <w:p w14:paraId="237DE104">
      <w:pPr>
        <w:snapToGrid w:val="0"/>
        <w:spacing w:line="360" w:lineRule="auto"/>
        <w:jc w:val="left"/>
        <w:rPr>
          <w:rFonts w:ascii="仿宋" w:hAnsi="仿宋" w:eastAsia="仿宋" w:cs="仿宋"/>
          <w:sz w:val="24"/>
        </w:rPr>
      </w:pPr>
      <w:r>
        <w:rPr>
          <w:rFonts w:hint="eastAsia" w:ascii="仿宋" w:hAnsi="仿宋" w:eastAsia="仿宋" w:cs="仿宋"/>
          <w:b/>
          <w:sz w:val="24"/>
        </w:rPr>
        <w:t>3. 服务期限</w:t>
      </w:r>
    </w:p>
    <w:p w14:paraId="3D82554F">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本项目服务期限为1年，自合同签订之日起计算。服务期内，服务商服务质量持续不达标，采购人有权提前终止合同。</w:t>
      </w:r>
    </w:p>
    <w:p w14:paraId="0F30A4CD">
      <w:pPr>
        <w:snapToGrid w:val="0"/>
        <w:spacing w:line="360" w:lineRule="auto"/>
        <w:jc w:val="left"/>
        <w:rPr>
          <w:rFonts w:ascii="仿宋" w:hAnsi="仿宋" w:eastAsia="仿宋" w:cs="仿宋"/>
          <w:sz w:val="24"/>
        </w:rPr>
      </w:pPr>
      <w:r>
        <w:rPr>
          <w:rFonts w:hint="eastAsia" w:ascii="仿宋" w:hAnsi="仿宋" w:eastAsia="仿宋" w:cs="仿宋"/>
          <w:b/>
          <w:sz w:val="24"/>
        </w:rPr>
        <w:t>4. 项目考核与验收</w:t>
      </w:r>
    </w:p>
    <w:p w14:paraId="1AED7A7E">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1</w:t>
      </w:r>
    </w:p>
    <w:p w14:paraId="05DE5C8E">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2</w:t>
      </w:r>
    </w:p>
    <w:p w14:paraId="2E394250">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3</w:t>
      </w:r>
    </w:p>
    <w:p w14:paraId="04537824">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4</w:t>
      </w:r>
    </w:p>
    <w:p w14:paraId="375AF516">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4.1本项目采用月度动态考核+年度总验收的方式，由采购人信息科牵头，联合医务科、体检科、门诊办公室、财务科等相关部门，或邀请外部专家开展考核评价与验收工作，成交供应商须无条件配合，并提供全部所需的运维记录、报告等资料。</w:t>
      </w:r>
    </w:p>
    <w:p w14:paraId="3E498FED">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4.2考核标准：严格按照本文件附件《信息系统售后运维服务质量评价标准》执行，评分满分100分。90分（含）-100分为优秀，70分（含）-89分为合格，70分以下为不合格。</w:t>
      </w:r>
    </w:p>
    <w:p w14:paraId="2A3541EE">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4.3验收依据：本采购文件、成交供应商响应文件、合同文本、国家及行业现行相关标准规范、月度考核记录、运维服务报告、服务满意度调查结果、项目考核汇总表等。</w:t>
      </w:r>
    </w:p>
    <w:p w14:paraId="42141903">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4.4年度验收合格的前提：服务期内无重大数据安全事件、无重大服务质量投诉、无因服务商责任导致的医疗业务重大中断事故，年度考核评分≥70分。</w:t>
      </w:r>
    </w:p>
    <w:p w14:paraId="7316498E">
      <w:pPr>
        <w:snapToGrid w:val="0"/>
        <w:spacing w:line="360" w:lineRule="auto"/>
        <w:jc w:val="left"/>
        <w:rPr>
          <w:rFonts w:ascii="仿宋" w:hAnsi="仿宋" w:eastAsia="仿宋" w:cs="仿宋"/>
          <w:sz w:val="24"/>
        </w:rPr>
      </w:pPr>
      <w:r>
        <w:rPr>
          <w:rFonts w:hint="eastAsia" w:ascii="仿宋" w:hAnsi="仿宋" w:eastAsia="仿宋" w:cs="仿宋"/>
          <w:b/>
          <w:sz w:val="24"/>
        </w:rPr>
        <w:t>5. 结算与付款方式</w:t>
      </w:r>
    </w:p>
    <w:p w14:paraId="3F997264">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5</w:t>
      </w:r>
    </w:p>
    <w:p w14:paraId="27634F56">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5.1结算主体为采购人，结算前，成交供应商须向采购人开具合法、等额、有效的发票，采购人收到发票后按以下约定付款，因供应商发票开具不合规导致的付款延误，由供应商自行承担全部责任。</w:t>
      </w:r>
    </w:p>
    <w:p w14:paraId="0CF53F62">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5.2付款方式：</w:t>
      </w:r>
    </w:p>
    <w:p w14:paraId="1D7C8E2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0BD5B37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4BE2F8DD">
      <w:pPr>
        <w:tabs>
          <w:tab w:val="left" w:pos="567"/>
        </w:tabs>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5AD0FD01">
      <w:pPr>
        <w:tabs>
          <w:tab w:val="left" w:pos="567"/>
        </w:tabs>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41AD8FF7">
      <w:pPr>
        <w:tabs>
          <w:tab w:val="left" w:pos="567"/>
        </w:tabs>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11CEA06F">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5.3月度考核连续2个月低于70分，或年度内累计3个月低于70分的，直接认定为年度考核不合格。</w:t>
      </w:r>
    </w:p>
    <w:p w14:paraId="4815969A">
      <w:pPr>
        <w:snapToGrid w:val="0"/>
        <w:spacing w:line="360" w:lineRule="auto"/>
        <w:jc w:val="left"/>
        <w:rPr>
          <w:rFonts w:ascii="仿宋" w:hAnsi="仿宋" w:eastAsia="仿宋" w:cs="仿宋"/>
          <w:sz w:val="24"/>
        </w:rPr>
      </w:pPr>
      <w:r>
        <w:rPr>
          <w:rFonts w:hint="eastAsia" w:ascii="仿宋" w:hAnsi="仿宋" w:eastAsia="仿宋" w:cs="仿宋"/>
          <w:b/>
          <w:sz w:val="24"/>
        </w:rPr>
        <w:t>6. 知识产权条款</w:t>
      </w:r>
    </w:p>
    <w:p w14:paraId="052E5471">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6</w:t>
      </w:r>
    </w:p>
    <w:p w14:paraId="4F0992A9">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6.1供应商须保证，其提供的运维服务、软件更新、升级服务及相关技术成果，不会出现任何第三方提出侵犯其专利权、商标权、著作权或其他知识产权的主张或诉讼，如发生前述情形，由供应商承担全部法律责任，并赔偿采购人因此遭受的全部经济损失。</w:t>
      </w:r>
    </w:p>
    <w:p w14:paraId="35CEA157">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6.2本项目涉及系统的软件著作权、知识产权归原权利人所有，供应商仅可基于本项目运维服务目的，在采购人授权范围内使用相关软件及技术资料，不得擅自复制、分发、转让、反编译、反向工程，不得用于任何其他用途。</w:t>
      </w:r>
    </w:p>
    <w:p w14:paraId="2F772200">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6.3服务期内，采购人基于系统使用产生的全部医疗数据、业务数据、患者个人信息等所有数据的所有权、使用权均归采购人所有，供应商不得主张任何权利，不得擅自使用。</w:t>
      </w:r>
    </w:p>
    <w:p w14:paraId="3FD74C26">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6.4供应商为采购人提供的定制化功能开发、政策适配升级、技术方案等成果，知识产权归采购人所有，供应商仅可保留非商业用途的技术使用权。</w:t>
      </w:r>
    </w:p>
    <w:p w14:paraId="6D367616">
      <w:pPr>
        <w:snapToGrid w:val="0"/>
        <w:spacing w:line="360" w:lineRule="auto"/>
        <w:jc w:val="left"/>
        <w:rPr>
          <w:rFonts w:ascii="仿宋" w:hAnsi="仿宋" w:eastAsia="仿宋" w:cs="仿宋"/>
          <w:sz w:val="24"/>
        </w:rPr>
      </w:pPr>
      <w:r>
        <w:rPr>
          <w:rFonts w:hint="eastAsia" w:ascii="仿宋" w:hAnsi="仿宋" w:eastAsia="仿宋" w:cs="仿宋"/>
          <w:b/>
          <w:sz w:val="24"/>
        </w:rPr>
        <w:t>7. 违约责任</w:t>
      </w:r>
    </w:p>
    <w:p w14:paraId="16264994">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7</w:t>
      </w:r>
    </w:p>
    <w:p w14:paraId="7442DF6E">
      <w:pPr>
        <w:numPr>
          <w:ilvl w:val="1"/>
          <w:numId w:val="0"/>
        </w:numPr>
        <w:snapToGrid w:val="0"/>
        <w:spacing w:line="360" w:lineRule="auto"/>
        <w:ind w:left="987" w:hanging="567"/>
        <w:jc w:val="left"/>
        <w:rPr>
          <w:rFonts w:ascii="仿宋" w:hAnsi="仿宋" w:eastAsia="仿宋" w:cs="仿宋"/>
          <w:sz w:val="24"/>
        </w:rPr>
      </w:pPr>
      <w:r>
        <w:rPr>
          <w:rFonts w:hint="eastAsia" w:ascii="仿宋" w:hAnsi="仿宋" w:eastAsia="仿宋" w:cs="仿宋"/>
          <w:sz w:val="24"/>
        </w:rPr>
        <w:t>7.1本合同违约责任严格按照《中华人民共和国民法典》相关条款执行。</w:t>
      </w:r>
    </w:p>
    <w:p w14:paraId="7EDA54D8">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7.2供应商未按合同约定提供服务，或服务质量、响应时效、技术能力不满足合同要求，采购人有权按《服务质量评价标准》扣除对应款项，并要求供应商限期整改；整改后仍无法满足合同要求的，采购人有权扣除对应合同款项，直至单方面解除合同，供应商须承担采购人因此遭受的全部损失。</w:t>
      </w:r>
    </w:p>
    <w:p w14:paraId="4A87EA0E">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7.3供应商未按故障SLA要求完成响应与故障处置的，每出现一次一级故障超时，扣除合同总价款的5%；每出现一次二级故障超时，扣除合同总价款的2%；三级、四级故障超时，按评价标准扣除对应分值，并累计扣除合同款项。因供应商故障处置不及时导致医院业务中断、产生医疗纠纷或监管处罚的，全部责任与经济损失由供应商承担。</w:t>
      </w:r>
    </w:p>
    <w:p w14:paraId="6C8F6BFA">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7.4供应商违反数据安全与保密约定，发生数据泄露、篡改、丢失等事件，或擅自使用、转让采购人数据的，采购人有权立即解除合同，不予支付剩余全部合同款项，供应商须支付合同总价款30%的违约金，同时承担全部法律责任，赔偿采购人因此遭受的全部经济损失（含监管处罚、民事赔偿、商誉损失等）。</w:t>
      </w:r>
    </w:p>
    <w:p w14:paraId="2C0C7DF8">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7.5供应商未经采购人同意，擅自更换项目核心人员、转包/分包本项目服务的，采购人有权扣除合同总价款的10%作为违约金，情节严重的，有权解除合同。</w:t>
      </w:r>
    </w:p>
    <w:p w14:paraId="36D92A65">
      <w:pPr>
        <w:snapToGrid w:val="0"/>
        <w:spacing w:line="360" w:lineRule="auto"/>
        <w:jc w:val="left"/>
        <w:rPr>
          <w:rFonts w:ascii="仿宋" w:hAnsi="仿宋" w:eastAsia="仿宋" w:cs="仿宋"/>
          <w:sz w:val="24"/>
        </w:rPr>
      </w:pPr>
      <w:r>
        <w:rPr>
          <w:rFonts w:hint="eastAsia" w:ascii="仿宋" w:hAnsi="仿宋" w:eastAsia="仿宋" w:cs="仿宋"/>
          <w:b/>
          <w:sz w:val="24"/>
        </w:rPr>
        <w:t>8. 其他约定</w:t>
      </w:r>
    </w:p>
    <w:p w14:paraId="300D0213">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8</w:t>
      </w:r>
    </w:p>
    <w:p w14:paraId="2C723A91">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8.1本项目技术要求与商务要求为合同核心条款，不允许任何负偏离，供应商响应文件须对所有条款作出完全响应承诺，负偏离响应将按无效响应处理。</w:t>
      </w:r>
    </w:p>
    <w:p w14:paraId="506AA83B">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8.2服务期内，如遇国家政策法规、行业标准发生重大调整，采购人有权对服务内容与要求进行合规性调整，供应商须无条件配合，不得额外收取费用。</w:t>
      </w:r>
    </w:p>
    <w:p w14:paraId="2D0C83F2">
      <w:pPr>
        <w:snapToGrid w:val="0"/>
        <w:spacing w:line="360" w:lineRule="auto"/>
        <w:rPr>
          <w:rFonts w:ascii="仿宋" w:hAnsi="仿宋" w:eastAsia="仿宋" w:cs="仿宋"/>
          <w:b/>
          <w:bCs/>
          <w:sz w:val="24"/>
        </w:rPr>
      </w:pPr>
      <w:r>
        <w:rPr>
          <w:rFonts w:hint="eastAsia" w:ascii="仿宋" w:hAnsi="仿宋" w:eastAsia="仿宋" w:cs="仿宋"/>
          <w:sz w:val="24"/>
        </w:rPr>
        <w:t>本文件未尽事宜，由双方在合同中另行约定，约定内容不得违反本文件的核心要求与国家相关法律法规。</w:t>
      </w:r>
    </w:p>
    <w:p w14:paraId="27FA8A1D">
      <w:pPr>
        <w:rPr>
          <w:rFonts w:ascii="仿宋" w:hAnsi="仿宋" w:eastAsia="仿宋" w:cs="仿宋"/>
          <w:b/>
          <w:bCs/>
          <w:sz w:val="24"/>
        </w:rPr>
      </w:pPr>
    </w:p>
    <w:p w14:paraId="6927E865">
      <w:pPr>
        <w:rPr>
          <w:rFonts w:ascii="仿宋" w:hAnsi="仿宋" w:eastAsia="仿宋" w:cs="仿宋"/>
          <w:b/>
          <w:bCs/>
          <w:sz w:val="24"/>
        </w:rPr>
        <w:sectPr>
          <w:headerReference r:id="rId22" w:type="default"/>
          <w:footerReference r:id="rId23" w:type="default"/>
          <w:pgSz w:w="11906" w:h="16838"/>
          <w:pgMar w:top="1440" w:right="1417" w:bottom="1440" w:left="1587" w:header="850" w:footer="992" w:gutter="0"/>
          <w:cols w:space="720" w:num="1"/>
          <w:docGrid w:type="lines" w:linePitch="317" w:charSpace="0"/>
        </w:sectPr>
      </w:pPr>
    </w:p>
    <w:p w14:paraId="6AFDA6D5">
      <w:pPr>
        <w:pStyle w:val="3"/>
        <w:spacing w:line="360" w:lineRule="auto"/>
        <w:jc w:val="both"/>
        <w:rPr>
          <w:rFonts w:ascii="仿宋" w:hAnsi="仿宋" w:eastAsia="仿宋" w:cs="仿宋"/>
          <w:b/>
          <w:bCs/>
          <w:sz w:val="24"/>
          <w:szCs w:val="24"/>
          <w:lang w:eastAsia="zh-CN"/>
        </w:rPr>
      </w:pPr>
      <w:r>
        <w:rPr>
          <w:rFonts w:hint="eastAsia" w:ascii="仿宋" w:hAnsi="仿宋" w:eastAsia="仿宋" w:cs="仿宋"/>
          <w:b/>
          <w:bCs/>
          <w:sz w:val="24"/>
          <w:szCs w:val="24"/>
          <w:lang w:eastAsia="zh-CN"/>
        </w:rPr>
        <w:t>合同包10-采购需求（廉洁风险防控系统售后服务）</w:t>
      </w:r>
    </w:p>
    <w:p w14:paraId="4BA7CC78">
      <w:pPr>
        <w:snapToGrid w:val="0"/>
        <w:spacing w:line="360" w:lineRule="auto"/>
        <w:jc w:val="left"/>
        <w:rPr>
          <w:rFonts w:ascii="仿宋" w:hAnsi="仿宋" w:eastAsia="仿宋" w:cs="仿宋"/>
          <w:sz w:val="24"/>
        </w:rPr>
      </w:pPr>
      <w:r>
        <w:rPr>
          <w:rFonts w:hint="eastAsia" w:ascii="仿宋" w:hAnsi="仿宋" w:eastAsia="仿宋" w:cs="仿宋"/>
          <w:b/>
          <w:sz w:val="24"/>
        </w:rPr>
        <w:t>一、项目概述</w:t>
      </w:r>
    </w:p>
    <w:p w14:paraId="61ABEC5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采购人自 2019 年开始启用《公立医院廉洁风险防控系统 V4.0》，系统覆盖职务权力、职业权力、患者满意度评价、供应商诚信度管理等核心廉政监管业务，承担医院廉洁风险实时监测、防控、审计、统计分析等关键职能。为保障采购人信息系统安全稳定运行，确保廉洁风险防控监测无遗漏、采购信息公开透明、数据全程留痕可追溯，现委托具备对应系统原厂维护授权、专业信息系统运维服务能力的供应商，为采购人提供上述系统全流程售后运维与技术支持服务，完善医院信息系统运维管理体系，提升安全保障与监管支撑能力。</w:t>
      </w:r>
    </w:p>
    <w:p w14:paraId="5CF335D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本项目服务商须为系统原软件厂商，或取得原厂商针对本项目出具的唯一专项授权文件，具备系统源代码级维护、原厂补丁更新、合规性升级的完整技术能力，确保服务的合法性、连续性与技术匹配性。</w:t>
      </w:r>
    </w:p>
    <w:p w14:paraId="3FBA3779">
      <w:pPr>
        <w:snapToGrid w:val="0"/>
        <w:spacing w:line="360" w:lineRule="auto"/>
        <w:jc w:val="left"/>
        <w:rPr>
          <w:rFonts w:ascii="仿宋" w:hAnsi="仿宋" w:eastAsia="仿宋" w:cs="仿宋"/>
          <w:sz w:val="24"/>
        </w:rPr>
      </w:pPr>
      <w:r>
        <w:rPr>
          <w:rFonts w:hint="eastAsia" w:ascii="仿宋" w:hAnsi="仿宋" w:eastAsia="仿宋" w:cs="仿宋"/>
          <w:b/>
          <w:sz w:val="24"/>
        </w:rPr>
        <w:t>二、技术要求</w:t>
      </w:r>
    </w:p>
    <w:p w14:paraId="281807A6">
      <w:pPr>
        <w:snapToGrid w:val="0"/>
        <w:spacing w:line="360" w:lineRule="auto"/>
        <w:jc w:val="left"/>
        <w:rPr>
          <w:rFonts w:ascii="仿宋" w:hAnsi="仿宋" w:eastAsia="仿宋" w:cs="仿宋"/>
          <w:sz w:val="24"/>
        </w:rPr>
      </w:pPr>
      <w:r>
        <w:rPr>
          <w:rFonts w:hint="eastAsia" w:ascii="仿宋" w:hAnsi="仿宋" w:eastAsia="仿宋" w:cs="仿宋"/>
          <w:b/>
          <w:sz w:val="24"/>
        </w:rPr>
        <w:t>1. 名词解释</w:t>
      </w:r>
    </w:p>
    <w:p w14:paraId="15C3D4B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本文件所涉及名词定义严格遵循国家信息技术服务标准（ITSS）、医疗信息化行业规范、卫健系统廉政建设与网络安全相关法律法规，具体如下：</w:t>
      </w:r>
    </w:p>
    <w:p w14:paraId="283AC08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 维护：指服务供应商为采购人提供许可软件的全生命周期技术支撑，包括但不限于故障排查与修复、技术指导、运行优化、合规适配、安全加固等服务工作的总称。</w:t>
      </w:r>
    </w:p>
    <w:p w14:paraId="5C38E33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1.2 现场：指采购人许可系统部署、使用的全部场所，含医院本部院区、各分院区、廉政管理部门、信息机房等所有系统终端部署点位。</w:t>
      </w:r>
    </w:p>
    <w:p w14:paraId="6F4EDB4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1.3 现场维护：指服务供应商针对采购人提出的技术服务请求，派遣具备对应资质的技术人员到采购人指定现场，完成问题处置、技术服务的全过程。</w:t>
      </w:r>
    </w:p>
    <w:p w14:paraId="7CC63B7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1.4 远程维护：指服务供应商针对采购人提出的技术服务请求，通过加密专线、安全远程接入方式，向采购人提供问题解答、技术指导、远程故障排查与修复的服务过程，远程操作须全程留痕、符合医院网络安全管理规定。</w:t>
      </w:r>
    </w:p>
    <w:p w14:paraId="0AD12D5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1.5 软件更新：指为保障系统合规性、安全性、功能性，对许可软件进行的安全补丁更新、故障优化、版本迭代、政策适配性升级、功能完善的全过程，不限于仅故障场景。</w:t>
      </w:r>
    </w:p>
    <w:p w14:paraId="09D70E3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1.6 技术支持：指服务供应商为保障许可软件和系统持续稳定运行，在服务期内通过电话、互联网、现场服务等方式，向采购人提供的 7×24 小时技术援助、操作指导与问题处置服务。</w:t>
      </w:r>
    </w:p>
    <w:p w14:paraId="4CAF668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1.7 热线支持：指服务供应商客户服务中心通过专属服务热线，7×24 小时向采购人提供技术问题解答、服务请求受理、故障派单的服务过程。</w:t>
      </w:r>
    </w:p>
    <w:p w14:paraId="7091530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1.8 在线技术支持：指服务供应商客户服务中心通过安全在线支持系统，接收、解答采购人问题，发布相关技术解决方案、操作指引的服务过程。</w:t>
      </w:r>
    </w:p>
    <w:p w14:paraId="38F1910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1.9 响应时间：指服务供应商接到采购人正式服务请求后，到与采购人完成沟通、明确故障情况、出具服务承诺与初步处置方案的时间。</w:t>
      </w:r>
    </w:p>
    <w:p w14:paraId="1019F85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1.10 解决时间：指服务供应商从接到服务请求起，到系统故障完全修复、业务恢复正常运行、问题闭环处置的时间。</w:t>
      </w:r>
    </w:p>
    <w:p w14:paraId="09F722A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1.11 数据安全事件：指系统运行过程中发生的，可能或已经导致廉政监管数据、人员信息、供应商信息、统方审计数据泄露、损毁、篡改、丢失，以及系统被非法入侵、攻击等影响数据安全的事件。</w:t>
      </w:r>
    </w:p>
    <w:p w14:paraId="2B474D0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1.12 等保合规：指系统运行与运维服务须符合国家网络安全等级保护 2.0 标准对应级别的全部要求。</w:t>
      </w:r>
    </w:p>
    <w:p w14:paraId="3CB4DFB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1.13 防统方系统：指医院针对药品、耗材、试剂等统方行为进行实时监测、审计、预警与追溯的专项监管系统。</w:t>
      </w:r>
    </w:p>
    <w:p w14:paraId="68EA4117">
      <w:pPr>
        <w:snapToGrid w:val="0"/>
        <w:spacing w:line="360" w:lineRule="auto"/>
        <w:jc w:val="left"/>
        <w:rPr>
          <w:rFonts w:ascii="仿宋" w:hAnsi="仿宋" w:eastAsia="仿宋" w:cs="仿宋"/>
          <w:sz w:val="24"/>
        </w:rPr>
      </w:pPr>
      <w:r>
        <w:rPr>
          <w:rFonts w:hint="eastAsia" w:ascii="仿宋" w:hAnsi="仿宋" w:eastAsia="仿宋" w:cs="仿宋"/>
          <w:b/>
          <w:sz w:val="24"/>
        </w:rPr>
        <w:t>2. 运维服务系统范围</w:t>
      </w:r>
    </w:p>
    <w:p w14:paraId="6B66084E">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采购人委托服务商提供售后运维服务的信息系统，包含但不限于下表所列全部模块、子系统及配套硬件设备，同时覆盖系统与院内 HIS、LIS、PACS、EMR、物资管理、供应商管理平台等现有及未来新增信息系统的接口运维服务，确保系统互联互通、监管数据实时同步。</w:t>
      </w: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4253"/>
        <w:gridCol w:w="4887"/>
      </w:tblGrid>
      <w:tr w14:paraId="5B479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26" w:type="pct"/>
            <w:tcMar>
              <w:top w:w="60" w:type="dxa"/>
              <w:left w:w="120" w:type="dxa"/>
              <w:bottom w:w="30" w:type="dxa"/>
              <w:right w:w="120" w:type="dxa"/>
            </w:tcMar>
            <w:vAlign w:val="center"/>
          </w:tcPr>
          <w:p w14:paraId="023BE8CC">
            <w:pPr>
              <w:snapToGrid w:val="0"/>
              <w:spacing w:line="360" w:lineRule="auto"/>
              <w:jc w:val="center"/>
              <w:rPr>
                <w:rFonts w:ascii="仿宋" w:hAnsi="仿宋" w:eastAsia="仿宋" w:cs="仿宋"/>
                <w:b/>
                <w:sz w:val="24"/>
              </w:rPr>
            </w:pPr>
            <w:r>
              <w:rPr>
                <w:rFonts w:hint="eastAsia" w:ascii="仿宋" w:hAnsi="仿宋" w:eastAsia="仿宋" w:cs="仿宋"/>
                <w:b/>
                <w:sz w:val="24"/>
              </w:rPr>
              <w:t>信息系统名称</w:t>
            </w:r>
          </w:p>
        </w:tc>
        <w:tc>
          <w:tcPr>
            <w:tcW w:w="2673" w:type="pct"/>
            <w:tcMar>
              <w:top w:w="60" w:type="dxa"/>
              <w:left w:w="120" w:type="dxa"/>
              <w:bottom w:w="30" w:type="dxa"/>
              <w:right w:w="120" w:type="dxa"/>
            </w:tcMar>
            <w:vAlign w:val="center"/>
          </w:tcPr>
          <w:p w14:paraId="7A0A2DF7">
            <w:pPr>
              <w:snapToGrid w:val="0"/>
              <w:spacing w:line="360" w:lineRule="auto"/>
              <w:jc w:val="center"/>
              <w:rPr>
                <w:rFonts w:ascii="仿宋" w:hAnsi="仿宋" w:eastAsia="仿宋" w:cs="仿宋"/>
                <w:b/>
                <w:sz w:val="24"/>
              </w:rPr>
            </w:pPr>
            <w:r>
              <w:rPr>
                <w:rFonts w:hint="eastAsia" w:ascii="仿宋" w:hAnsi="仿宋" w:eastAsia="仿宋" w:cs="仿宋"/>
                <w:b/>
                <w:sz w:val="24"/>
              </w:rPr>
              <w:t>子系统名称</w:t>
            </w:r>
          </w:p>
        </w:tc>
      </w:tr>
      <w:tr w14:paraId="492B4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26" w:type="pct"/>
            <w:vMerge w:val="restart"/>
            <w:tcMar>
              <w:top w:w="60" w:type="dxa"/>
              <w:left w:w="120" w:type="dxa"/>
              <w:bottom w:w="30" w:type="dxa"/>
              <w:right w:w="120" w:type="dxa"/>
            </w:tcMar>
            <w:vAlign w:val="center"/>
          </w:tcPr>
          <w:p w14:paraId="4F6CB1A4">
            <w:pPr>
              <w:snapToGrid w:val="0"/>
              <w:spacing w:line="360" w:lineRule="auto"/>
              <w:jc w:val="center"/>
              <w:rPr>
                <w:rFonts w:ascii="仿宋" w:hAnsi="仿宋" w:eastAsia="仿宋" w:cs="仿宋"/>
                <w:sz w:val="24"/>
              </w:rPr>
            </w:pPr>
            <w:r>
              <w:rPr>
                <w:rFonts w:hint="eastAsia" w:ascii="仿宋" w:hAnsi="仿宋" w:eastAsia="仿宋" w:cs="仿宋"/>
                <w:sz w:val="24"/>
              </w:rPr>
              <w:t>公立医院廉洁风险防控系统</w:t>
            </w:r>
          </w:p>
        </w:tc>
        <w:tc>
          <w:tcPr>
            <w:tcW w:w="2673" w:type="pct"/>
            <w:tcMar>
              <w:top w:w="60" w:type="dxa"/>
              <w:left w:w="120" w:type="dxa"/>
              <w:bottom w:w="30" w:type="dxa"/>
              <w:right w:w="120" w:type="dxa"/>
            </w:tcMar>
            <w:vAlign w:val="center"/>
          </w:tcPr>
          <w:p w14:paraId="0CDB1F06">
            <w:pPr>
              <w:snapToGrid w:val="0"/>
              <w:spacing w:line="360" w:lineRule="auto"/>
              <w:rPr>
                <w:rFonts w:ascii="仿宋" w:hAnsi="仿宋" w:eastAsia="仿宋" w:cs="仿宋"/>
                <w:sz w:val="24"/>
              </w:rPr>
            </w:pPr>
            <w:r>
              <w:rPr>
                <w:rFonts w:hint="eastAsia" w:ascii="仿宋" w:hAnsi="仿宋" w:eastAsia="仿宋" w:cs="仿宋"/>
                <w:sz w:val="24"/>
              </w:rPr>
              <w:t>职务权力管理</w:t>
            </w:r>
          </w:p>
        </w:tc>
      </w:tr>
      <w:tr w14:paraId="0DC66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26" w:type="pct"/>
            <w:vMerge w:val="continue"/>
            <w:tcMar>
              <w:top w:w="60" w:type="dxa"/>
              <w:left w:w="120" w:type="dxa"/>
              <w:bottom w:w="30" w:type="dxa"/>
              <w:right w:w="120" w:type="dxa"/>
            </w:tcMar>
            <w:vAlign w:val="center"/>
          </w:tcPr>
          <w:p w14:paraId="2EBE751A">
            <w:pPr>
              <w:snapToGrid w:val="0"/>
              <w:spacing w:line="360" w:lineRule="auto"/>
              <w:jc w:val="center"/>
              <w:rPr>
                <w:rFonts w:ascii="仿宋" w:hAnsi="仿宋" w:eastAsia="仿宋" w:cs="仿宋"/>
                <w:sz w:val="24"/>
              </w:rPr>
            </w:pPr>
          </w:p>
        </w:tc>
        <w:tc>
          <w:tcPr>
            <w:tcW w:w="2673" w:type="pct"/>
            <w:tcMar>
              <w:top w:w="60" w:type="dxa"/>
              <w:left w:w="120" w:type="dxa"/>
              <w:bottom w:w="30" w:type="dxa"/>
              <w:right w:w="120" w:type="dxa"/>
            </w:tcMar>
            <w:vAlign w:val="center"/>
          </w:tcPr>
          <w:p w14:paraId="3DF8193B">
            <w:pPr>
              <w:snapToGrid w:val="0"/>
              <w:spacing w:line="360" w:lineRule="auto"/>
              <w:rPr>
                <w:rFonts w:ascii="仿宋" w:hAnsi="仿宋" w:eastAsia="仿宋" w:cs="仿宋"/>
                <w:sz w:val="24"/>
              </w:rPr>
            </w:pPr>
            <w:r>
              <w:rPr>
                <w:rFonts w:hint="eastAsia" w:ascii="仿宋" w:hAnsi="仿宋" w:eastAsia="仿宋" w:cs="仿宋"/>
                <w:sz w:val="24"/>
              </w:rPr>
              <w:t>职业权力管理</w:t>
            </w:r>
          </w:p>
        </w:tc>
      </w:tr>
      <w:tr w14:paraId="0A021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26" w:type="pct"/>
            <w:vMerge w:val="continue"/>
            <w:tcMar>
              <w:top w:w="60" w:type="dxa"/>
              <w:left w:w="120" w:type="dxa"/>
              <w:bottom w:w="30" w:type="dxa"/>
              <w:right w:w="120" w:type="dxa"/>
            </w:tcMar>
            <w:vAlign w:val="center"/>
          </w:tcPr>
          <w:p w14:paraId="4B318E56">
            <w:pPr>
              <w:snapToGrid w:val="0"/>
              <w:spacing w:line="360" w:lineRule="auto"/>
              <w:jc w:val="center"/>
              <w:rPr>
                <w:rFonts w:ascii="仿宋" w:hAnsi="仿宋" w:eastAsia="仿宋" w:cs="仿宋"/>
                <w:sz w:val="24"/>
              </w:rPr>
            </w:pPr>
          </w:p>
        </w:tc>
        <w:tc>
          <w:tcPr>
            <w:tcW w:w="2673" w:type="pct"/>
            <w:tcMar>
              <w:top w:w="60" w:type="dxa"/>
              <w:left w:w="120" w:type="dxa"/>
              <w:bottom w:w="30" w:type="dxa"/>
              <w:right w:w="120" w:type="dxa"/>
            </w:tcMar>
            <w:vAlign w:val="center"/>
          </w:tcPr>
          <w:p w14:paraId="7B4E0A2A">
            <w:pPr>
              <w:snapToGrid w:val="0"/>
              <w:spacing w:line="360" w:lineRule="auto"/>
              <w:rPr>
                <w:rFonts w:ascii="仿宋" w:hAnsi="仿宋" w:eastAsia="仿宋" w:cs="仿宋"/>
                <w:sz w:val="24"/>
              </w:rPr>
            </w:pPr>
            <w:r>
              <w:rPr>
                <w:rFonts w:hint="eastAsia" w:ascii="仿宋" w:hAnsi="仿宋" w:eastAsia="仿宋" w:cs="仿宋"/>
                <w:sz w:val="24"/>
              </w:rPr>
              <w:t>患者满意度评价管理</w:t>
            </w:r>
          </w:p>
        </w:tc>
      </w:tr>
      <w:tr w14:paraId="2C982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26" w:type="pct"/>
            <w:vMerge w:val="continue"/>
            <w:tcMar>
              <w:top w:w="60" w:type="dxa"/>
              <w:left w:w="120" w:type="dxa"/>
              <w:bottom w:w="30" w:type="dxa"/>
              <w:right w:w="120" w:type="dxa"/>
            </w:tcMar>
            <w:vAlign w:val="center"/>
          </w:tcPr>
          <w:p w14:paraId="634832EC">
            <w:pPr>
              <w:snapToGrid w:val="0"/>
              <w:spacing w:line="360" w:lineRule="auto"/>
              <w:jc w:val="center"/>
              <w:rPr>
                <w:rFonts w:ascii="仿宋" w:hAnsi="仿宋" w:eastAsia="仿宋" w:cs="仿宋"/>
                <w:sz w:val="24"/>
              </w:rPr>
            </w:pPr>
          </w:p>
        </w:tc>
        <w:tc>
          <w:tcPr>
            <w:tcW w:w="2673" w:type="pct"/>
            <w:tcMar>
              <w:top w:w="60" w:type="dxa"/>
              <w:left w:w="120" w:type="dxa"/>
              <w:bottom w:w="30" w:type="dxa"/>
              <w:right w:w="120" w:type="dxa"/>
            </w:tcMar>
            <w:vAlign w:val="center"/>
          </w:tcPr>
          <w:p w14:paraId="66CC5FEC">
            <w:pPr>
              <w:snapToGrid w:val="0"/>
              <w:spacing w:line="360" w:lineRule="auto"/>
              <w:rPr>
                <w:rFonts w:ascii="仿宋" w:hAnsi="仿宋" w:eastAsia="仿宋" w:cs="仿宋"/>
                <w:sz w:val="24"/>
              </w:rPr>
            </w:pPr>
            <w:r>
              <w:rPr>
                <w:rFonts w:hint="eastAsia" w:ascii="仿宋" w:hAnsi="仿宋" w:eastAsia="仿宋" w:cs="仿宋"/>
                <w:sz w:val="24"/>
              </w:rPr>
              <w:t>供应商诚信度管理</w:t>
            </w:r>
          </w:p>
        </w:tc>
      </w:tr>
      <w:tr w14:paraId="2E1FB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26" w:type="pct"/>
            <w:vMerge w:val="continue"/>
            <w:tcMar>
              <w:top w:w="60" w:type="dxa"/>
              <w:left w:w="120" w:type="dxa"/>
              <w:bottom w:w="30" w:type="dxa"/>
              <w:right w:w="120" w:type="dxa"/>
            </w:tcMar>
            <w:vAlign w:val="center"/>
          </w:tcPr>
          <w:p w14:paraId="204FA33C">
            <w:pPr>
              <w:snapToGrid w:val="0"/>
              <w:spacing w:line="360" w:lineRule="auto"/>
              <w:jc w:val="center"/>
              <w:rPr>
                <w:rFonts w:ascii="仿宋" w:hAnsi="仿宋" w:eastAsia="仿宋" w:cs="仿宋"/>
                <w:sz w:val="24"/>
              </w:rPr>
            </w:pPr>
          </w:p>
        </w:tc>
        <w:tc>
          <w:tcPr>
            <w:tcW w:w="2673" w:type="pct"/>
            <w:tcMar>
              <w:top w:w="60" w:type="dxa"/>
              <w:left w:w="120" w:type="dxa"/>
              <w:bottom w:w="30" w:type="dxa"/>
              <w:right w:w="120" w:type="dxa"/>
            </w:tcMar>
            <w:vAlign w:val="center"/>
          </w:tcPr>
          <w:p w14:paraId="221E3DE4">
            <w:pPr>
              <w:snapToGrid w:val="0"/>
              <w:spacing w:line="360" w:lineRule="auto"/>
              <w:rPr>
                <w:rFonts w:ascii="仿宋" w:hAnsi="仿宋" w:eastAsia="仿宋" w:cs="仿宋"/>
                <w:sz w:val="24"/>
              </w:rPr>
            </w:pPr>
            <w:r>
              <w:rPr>
                <w:rFonts w:hint="eastAsia" w:ascii="仿宋" w:hAnsi="仿宋" w:eastAsia="仿宋" w:cs="仿宋"/>
                <w:sz w:val="24"/>
              </w:rPr>
              <w:t>系统维护功能</w:t>
            </w:r>
          </w:p>
        </w:tc>
      </w:tr>
      <w:tr w14:paraId="0663D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26" w:type="pct"/>
            <w:vMerge w:val="continue"/>
            <w:tcMar>
              <w:top w:w="60" w:type="dxa"/>
              <w:left w:w="120" w:type="dxa"/>
              <w:bottom w:w="30" w:type="dxa"/>
              <w:right w:w="120" w:type="dxa"/>
            </w:tcMar>
            <w:vAlign w:val="center"/>
          </w:tcPr>
          <w:p w14:paraId="421C02DB">
            <w:pPr>
              <w:snapToGrid w:val="0"/>
              <w:spacing w:line="360" w:lineRule="auto"/>
              <w:jc w:val="center"/>
              <w:rPr>
                <w:rFonts w:ascii="仿宋" w:hAnsi="仿宋" w:eastAsia="仿宋" w:cs="仿宋"/>
                <w:sz w:val="24"/>
              </w:rPr>
            </w:pPr>
          </w:p>
        </w:tc>
        <w:tc>
          <w:tcPr>
            <w:tcW w:w="2673" w:type="pct"/>
            <w:tcMar>
              <w:top w:w="60" w:type="dxa"/>
              <w:left w:w="120" w:type="dxa"/>
              <w:bottom w:w="30" w:type="dxa"/>
              <w:right w:w="120" w:type="dxa"/>
            </w:tcMar>
            <w:vAlign w:val="center"/>
          </w:tcPr>
          <w:p w14:paraId="137C9DB7">
            <w:pPr>
              <w:snapToGrid w:val="0"/>
              <w:spacing w:line="360" w:lineRule="auto"/>
              <w:rPr>
                <w:rFonts w:ascii="仿宋" w:hAnsi="仿宋" w:eastAsia="仿宋" w:cs="仿宋"/>
                <w:sz w:val="24"/>
              </w:rPr>
            </w:pPr>
            <w:r>
              <w:rPr>
                <w:rFonts w:hint="eastAsia" w:ascii="仿宋" w:hAnsi="仿宋" w:eastAsia="仿宋" w:cs="仿宋"/>
                <w:sz w:val="24"/>
              </w:rPr>
              <w:t>防控专网</w:t>
            </w:r>
          </w:p>
        </w:tc>
      </w:tr>
      <w:tr w14:paraId="5C036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26" w:type="pct"/>
            <w:vMerge w:val="restart"/>
            <w:tcMar>
              <w:top w:w="60" w:type="dxa"/>
              <w:left w:w="120" w:type="dxa"/>
              <w:bottom w:w="30" w:type="dxa"/>
              <w:right w:w="120" w:type="dxa"/>
            </w:tcMar>
            <w:vAlign w:val="center"/>
          </w:tcPr>
          <w:p w14:paraId="4888E50D">
            <w:pPr>
              <w:snapToGrid w:val="0"/>
              <w:spacing w:line="360" w:lineRule="auto"/>
              <w:jc w:val="center"/>
              <w:rPr>
                <w:rFonts w:ascii="仿宋" w:hAnsi="仿宋" w:eastAsia="仿宋" w:cs="仿宋"/>
                <w:sz w:val="24"/>
              </w:rPr>
            </w:pPr>
            <w:r>
              <w:rPr>
                <w:rFonts w:hint="eastAsia" w:ascii="仿宋" w:hAnsi="仿宋" w:eastAsia="仿宋" w:cs="仿宋"/>
                <w:sz w:val="24"/>
              </w:rPr>
              <w:t>防统方审计系统</w:t>
            </w:r>
          </w:p>
        </w:tc>
        <w:tc>
          <w:tcPr>
            <w:tcW w:w="2673" w:type="pct"/>
            <w:tcMar>
              <w:top w:w="60" w:type="dxa"/>
              <w:left w:w="120" w:type="dxa"/>
              <w:bottom w:w="30" w:type="dxa"/>
              <w:right w:w="120" w:type="dxa"/>
            </w:tcMar>
            <w:vAlign w:val="center"/>
          </w:tcPr>
          <w:p w14:paraId="22F214E5">
            <w:pPr>
              <w:snapToGrid w:val="0"/>
              <w:spacing w:line="360" w:lineRule="auto"/>
              <w:rPr>
                <w:rFonts w:ascii="仿宋" w:hAnsi="仿宋" w:eastAsia="仿宋" w:cs="仿宋"/>
                <w:sz w:val="24"/>
              </w:rPr>
            </w:pPr>
            <w:r>
              <w:rPr>
                <w:rFonts w:hint="eastAsia" w:ascii="仿宋" w:hAnsi="仿宋" w:eastAsia="仿宋" w:cs="仿宋"/>
                <w:sz w:val="24"/>
              </w:rPr>
              <w:t>统方行为实时监测</w:t>
            </w:r>
          </w:p>
        </w:tc>
      </w:tr>
      <w:tr w14:paraId="45451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26" w:type="pct"/>
            <w:vMerge w:val="continue"/>
            <w:tcMar>
              <w:top w:w="60" w:type="dxa"/>
              <w:left w:w="120" w:type="dxa"/>
              <w:bottom w:w="30" w:type="dxa"/>
              <w:right w:w="120" w:type="dxa"/>
            </w:tcMar>
            <w:vAlign w:val="center"/>
          </w:tcPr>
          <w:p w14:paraId="185D219A">
            <w:pPr>
              <w:snapToGrid w:val="0"/>
              <w:spacing w:line="360" w:lineRule="auto"/>
              <w:jc w:val="center"/>
              <w:rPr>
                <w:rFonts w:ascii="仿宋" w:hAnsi="仿宋" w:eastAsia="仿宋" w:cs="仿宋"/>
                <w:sz w:val="24"/>
              </w:rPr>
            </w:pPr>
          </w:p>
        </w:tc>
        <w:tc>
          <w:tcPr>
            <w:tcW w:w="2673" w:type="pct"/>
            <w:tcMar>
              <w:top w:w="60" w:type="dxa"/>
              <w:left w:w="120" w:type="dxa"/>
              <w:bottom w:w="30" w:type="dxa"/>
              <w:right w:w="120" w:type="dxa"/>
            </w:tcMar>
            <w:vAlign w:val="center"/>
          </w:tcPr>
          <w:p w14:paraId="478D7CC3">
            <w:pPr>
              <w:snapToGrid w:val="0"/>
              <w:spacing w:line="360" w:lineRule="auto"/>
              <w:rPr>
                <w:rFonts w:ascii="仿宋" w:hAnsi="仿宋" w:eastAsia="仿宋" w:cs="仿宋"/>
                <w:sz w:val="24"/>
              </w:rPr>
            </w:pPr>
            <w:r>
              <w:rPr>
                <w:rFonts w:hint="eastAsia" w:ascii="仿宋" w:hAnsi="仿宋" w:eastAsia="仿宋" w:cs="仿宋"/>
                <w:sz w:val="24"/>
              </w:rPr>
              <w:t>审计报告生成</w:t>
            </w:r>
          </w:p>
        </w:tc>
      </w:tr>
      <w:tr w14:paraId="6DF56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26" w:type="pct"/>
            <w:vMerge w:val="continue"/>
            <w:tcMar>
              <w:top w:w="60" w:type="dxa"/>
              <w:left w:w="120" w:type="dxa"/>
              <w:bottom w:w="30" w:type="dxa"/>
              <w:right w:w="120" w:type="dxa"/>
            </w:tcMar>
            <w:vAlign w:val="center"/>
          </w:tcPr>
          <w:p w14:paraId="4C324E69">
            <w:pPr>
              <w:snapToGrid w:val="0"/>
              <w:spacing w:line="360" w:lineRule="auto"/>
              <w:jc w:val="center"/>
              <w:rPr>
                <w:rFonts w:ascii="仿宋" w:hAnsi="仿宋" w:eastAsia="仿宋" w:cs="仿宋"/>
                <w:sz w:val="24"/>
              </w:rPr>
            </w:pPr>
          </w:p>
        </w:tc>
        <w:tc>
          <w:tcPr>
            <w:tcW w:w="2673" w:type="pct"/>
            <w:tcMar>
              <w:top w:w="60" w:type="dxa"/>
              <w:left w:w="120" w:type="dxa"/>
              <w:bottom w:w="30" w:type="dxa"/>
              <w:right w:w="120" w:type="dxa"/>
            </w:tcMar>
            <w:vAlign w:val="center"/>
          </w:tcPr>
          <w:p w14:paraId="5925653B">
            <w:pPr>
              <w:snapToGrid w:val="0"/>
              <w:spacing w:line="360" w:lineRule="auto"/>
              <w:rPr>
                <w:rFonts w:ascii="仿宋" w:hAnsi="仿宋" w:eastAsia="仿宋" w:cs="仿宋"/>
                <w:sz w:val="24"/>
              </w:rPr>
            </w:pPr>
            <w:r>
              <w:rPr>
                <w:rFonts w:hint="eastAsia" w:ascii="仿宋" w:hAnsi="仿宋" w:eastAsia="仿宋" w:cs="仿宋"/>
                <w:sz w:val="24"/>
              </w:rPr>
              <w:t>权限白名单管理</w:t>
            </w:r>
          </w:p>
        </w:tc>
      </w:tr>
      <w:tr w14:paraId="01F2E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326" w:type="pct"/>
            <w:vMerge w:val="continue"/>
            <w:tcMar>
              <w:top w:w="60" w:type="dxa"/>
              <w:left w:w="120" w:type="dxa"/>
              <w:bottom w:w="30" w:type="dxa"/>
              <w:right w:w="120" w:type="dxa"/>
            </w:tcMar>
            <w:vAlign w:val="center"/>
          </w:tcPr>
          <w:p w14:paraId="150AF5C0">
            <w:pPr>
              <w:snapToGrid w:val="0"/>
              <w:spacing w:line="360" w:lineRule="auto"/>
              <w:jc w:val="center"/>
              <w:rPr>
                <w:rFonts w:ascii="仿宋" w:hAnsi="仿宋" w:eastAsia="仿宋" w:cs="仿宋"/>
                <w:sz w:val="24"/>
              </w:rPr>
            </w:pPr>
          </w:p>
        </w:tc>
        <w:tc>
          <w:tcPr>
            <w:tcW w:w="2673" w:type="pct"/>
            <w:tcMar>
              <w:top w:w="60" w:type="dxa"/>
              <w:left w:w="120" w:type="dxa"/>
              <w:bottom w:w="30" w:type="dxa"/>
              <w:right w:w="120" w:type="dxa"/>
            </w:tcMar>
            <w:vAlign w:val="center"/>
          </w:tcPr>
          <w:p w14:paraId="37BB7205">
            <w:pPr>
              <w:snapToGrid w:val="0"/>
              <w:spacing w:line="360" w:lineRule="auto"/>
              <w:rPr>
                <w:rFonts w:ascii="仿宋" w:hAnsi="仿宋" w:eastAsia="仿宋" w:cs="仿宋"/>
                <w:sz w:val="24"/>
              </w:rPr>
            </w:pPr>
            <w:r>
              <w:rPr>
                <w:rFonts w:hint="eastAsia" w:ascii="仿宋" w:hAnsi="仿宋" w:eastAsia="仿宋" w:cs="仿宋"/>
                <w:sz w:val="24"/>
              </w:rPr>
              <w:t>风险预警与追溯</w:t>
            </w:r>
          </w:p>
        </w:tc>
      </w:tr>
    </w:tbl>
    <w:p w14:paraId="36E83B79">
      <w:pPr>
        <w:snapToGrid w:val="0"/>
        <w:spacing w:line="360" w:lineRule="auto"/>
        <w:jc w:val="left"/>
        <w:rPr>
          <w:rFonts w:ascii="仿宋" w:hAnsi="仿宋" w:eastAsia="仿宋" w:cs="仿宋"/>
          <w:sz w:val="24"/>
        </w:rPr>
      </w:pPr>
      <w:r>
        <w:rPr>
          <w:rFonts w:hint="eastAsia" w:ascii="仿宋" w:hAnsi="仿宋" w:eastAsia="仿宋" w:cs="仿宋"/>
          <w:b/>
          <w:sz w:val="24"/>
        </w:rPr>
        <w:t>3. 故障分级标准及服务级别协议（SLA）要求</w:t>
      </w:r>
    </w:p>
    <w:p w14:paraId="75A0045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结合医疗行业业务连续性要求、《医疗卫生机构网络安全管理办法》、公立医院廉洁风险防控管理要求，制定四级故障分级与刚性 SLA 要求，服务商须提供 7×24 小时全时段服务，工作日、节假日、夜间执行统一响应与处置标准，具体如下：</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68"/>
        <w:gridCol w:w="1704"/>
        <w:gridCol w:w="3410"/>
        <w:gridCol w:w="3256"/>
      </w:tblGrid>
      <w:tr w14:paraId="6B972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0" w:type="pct"/>
            <w:tcMar>
              <w:top w:w="60" w:type="dxa"/>
              <w:left w:w="120" w:type="dxa"/>
              <w:bottom w:w="30" w:type="dxa"/>
              <w:right w:w="120" w:type="dxa"/>
            </w:tcMar>
            <w:vAlign w:val="center"/>
          </w:tcPr>
          <w:p w14:paraId="0AFC76C2">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932" w:type="pct"/>
            <w:tcMar>
              <w:top w:w="60" w:type="dxa"/>
              <w:left w:w="120" w:type="dxa"/>
              <w:bottom w:w="30" w:type="dxa"/>
              <w:right w:w="120" w:type="dxa"/>
            </w:tcMar>
            <w:vAlign w:val="center"/>
          </w:tcPr>
          <w:p w14:paraId="3D26E138">
            <w:pPr>
              <w:snapToGrid w:val="0"/>
              <w:spacing w:line="360" w:lineRule="auto"/>
              <w:jc w:val="center"/>
              <w:rPr>
                <w:rFonts w:ascii="仿宋" w:hAnsi="仿宋" w:eastAsia="仿宋" w:cs="仿宋"/>
                <w:b/>
                <w:sz w:val="24"/>
              </w:rPr>
            </w:pPr>
            <w:r>
              <w:rPr>
                <w:rFonts w:hint="eastAsia" w:ascii="仿宋" w:hAnsi="仿宋" w:eastAsia="仿宋" w:cs="仿宋"/>
                <w:b/>
                <w:sz w:val="24"/>
              </w:rPr>
              <w:t>故障等级</w:t>
            </w:r>
          </w:p>
        </w:tc>
        <w:tc>
          <w:tcPr>
            <w:tcW w:w="1865" w:type="pct"/>
            <w:tcMar>
              <w:top w:w="60" w:type="dxa"/>
              <w:left w:w="120" w:type="dxa"/>
              <w:bottom w:w="30" w:type="dxa"/>
              <w:right w:w="120" w:type="dxa"/>
            </w:tcMar>
            <w:vAlign w:val="center"/>
          </w:tcPr>
          <w:p w14:paraId="0BB31ADD">
            <w:pPr>
              <w:snapToGrid w:val="0"/>
              <w:spacing w:line="360" w:lineRule="auto"/>
              <w:jc w:val="center"/>
              <w:rPr>
                <w:rFonts w:ascii="仿宋" w:hAnsi="仿宋" w:eastAsia="仿宋" w:cs="仿宋"/>
                <w:b/>
                <w:sz w:val="24"/>
              </w:rPr>
            </w:pPr>
            <w:r>
              <w:rPr>
                <w:rFonts w:hint="eastAsia" w:ascii="仿宋" w:hAnsi="仿宋" w:eastAsia="仿宋" w:cs="仿宋"/>
                <w:b/>
                <w:sz w:val="24"/>
              </w:rPr>
              <w:t>故障情况描述</w:t>
            </w:r>
          </w:p>
        </w:tc>
        <w:tc>
          <w:tcPr>
            <w:tcW w:w="1780" w:type="pct"/>
            <w:tcMar>
              <w:top w:w="60" w:type="dxa"/>
              <w:left w:w="120" w:type="dxa"/>
              <w:bottom w:w="30" w:type="dxa"/>
              <w:right w:w="120" w:type="dxa"/>
            </w:tcMar>
            <w:vAlign w:val="center"/>
          </w:tcPr>
          <w:p w14:paraId="35F8AC1D">
            <w:pPr>
              <w:snapToGrid w:val="0"/>
              <w:spacing w:line="360" w:lineRule="auto"/>
              <w:jc w:val="center"/>
              <w:rPr>
                <w:rFonts w:ascii="仿宋" w:hAnsi="仿宋" w:eastAsia="仿宋" w:cs="仿宋"/>
                <w:b/>
                <w:sz w:val="24"/>
              </w:rPr>
            </w:pPr>
            <w:r>
              <w:rPr>
                <w:rFonts w:hint="eastAsia" w:ascii="仿宋" w:hAnsi="仿宋" w:eastAsia="仿宋" w:cs="仿宋"/>
                <w:b/>
                <w:sz w:val="24"/>
              </w:rPr>
              <w:t>刚性SLA要求</w:t>
            </w:r>
          </w:p>
        </w:tc>
      </w:tr>
      <w:tr w14:paraId="53766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0" w:type="pct"/>
            <w:tcMar>
              <w:top w:w="60" w:type="dxa"/>
              <w:left w:w="120" w:type="dxa"/>
              <w:bottom w:w="30" w:type="dxa"/>
              <w:right w:w="120" w:type="dxa"/>
            </w:tcMar>
            <w:vAlign w:val="center"/>
          </w:tcPr>
          <w:p w14:paraId="26124A7E">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932" w:type="pct"/>
            <w:tcMar>
              <w:top w:w="60" w:type="dxa"/>
              <w:left w:w="120" w:type="dxa"/>
              <w:bottom w:w="30" w:type="dxa"/>
              <w:right w:w="120" w:type="dxa"/>
            </w:tcMar>
            <w:vAlign w:val="center"/>
          </w:tcPr>
          <w:p w14:paraId="2DF720D4">
            <w:pPr>
              <w:snapToGrid w:val="0"/>
              <w:spacing w:line="360" w:lineRule="auto"/>
              <w:jc w:val="center"/>
              <w:rPr>
                <w:rFonts w:ascii="仿宋" w:hAnsi="仿宋" w:eastAsia="仿宋" w:cs="仿宋"/>
                <w:sz w:val="24"/>
              </w:rPr>
            </w:pPr>
            <w:r>
              <w:rPr>
                <w:rFonts w:hint="eastAsia" w:ascii="仿宋" w:hAnsi="仿宋" w:eastAsia="仿宋" w:cs="仿宋"/>
                <w:sz w:val="24"/>
              </w:rPr>
              <w:t>一级故障（重大）</w:t>
            </w:r>
          </w:p>
        </w:tc>
        <w:tc>
          <w:tcPr>
            <w:tcW w:w="1865" w:type="pct"/>
            <w:tcMar>
              <w:top w:w="60" w:type="dxa"/>
              <w:left w:w="120" w:type="dxa"/>
              <w:bottom w:w="30" w:type="dxa"/>
              <w:right w:w="120" w:type="dxa"/>
            </w:tcMar>
          </w:tcPr>
          <w:p w14:paraId="067F3471">
            <w:pPr>
              <w:snapToGrid w:val="0"/>
              <w:spacing w:line="360" w:lineRule="auto"/>
              <w:jc w:val="left"/>
              <w:rPr>
                <w:rFonts w:ascii="仿宋" w:hAnsi="仿宋" w:eastAsia="仿宋" w:cs="仿宋"/>
                <w:sz w:val="24"/>
              </w:rPr>
            </w:pPr>
            <w:r>
              <w:rPr>
                <w:rFonts w:hint="eastAsia" w:ascii="仿宋" w:hAnsi="仿宋" w:eastAsia="仿宋" w:cs="仿宋"/>
                <w:sz w:val="24"/>
              </w:rPr>
              <w:t>1. 系统核心服务瘫痪，导致业务中断，多部门终端无法办理业务，严重影响医院正常医疗秩序；</w:t>
            </w:r>
          </w:p>
          <w:p w14:paraId="6CBFB59D">
            <w:pPr>
              <w:snapToGrid w:val="0"/>
              <w:spacing w:line="360" w:lineRule="auto"/>
              <w:jc w:val="left"/>
              <w:rPr>
                <w:rFonts w:ascii="仿宋" w:hAnsi="仿宋" w:eastAsia="仿宋" w:cs="仿宋"/>
                <w:sz w:val="24"/>
              </w:rPr>
            </w:pPr>
            <w:r>
              <w:rPr>
                <w:rFonts w:hint="eastAsia" w:ascii="仿宋" w:hAnsi="仿宋" w:eastAsia="仿宋" w:cs="仿宋"/>
                <w:sz w:val="24"/>
              </w:rPr>
              <w:t>2. 系统与HIS、EMR、PACS等核心系统接口完全中断，导致业务数据无法传输，严重影响医院正常医疗秩序</w:t>
            </w:r>
          </w:p>
          <w:p w14:paraId="3776D4EB">
            <w:pPr>
              <w:snapToGrid w:val="0"/>
              <w:spacing w:line="360" w:lineRule="auto"/>
              <w:jc w:val="left"/>
              <w:rPr>
                <w:rFonts w:ascii="仿宋" w:hAnsi="仿宋" w:eastAsia="仿宋" w:cs="仿宋"/>
                <w:sz w:val="24"/>
              </w:rPr>
            </w:pPr>
            <w:r>
              <w:rPr>
                <w:rFonts w:hint="eastAsia" w:ascii="仿宋" w:hAnsi="仿宋" w:eastAsia="仿宋" w:cs="仿宋"/>
                <w:sz w:val="24"/>
              </w:rPr>
              <w:t>3.  发生患者个人信息批量泄露、医疗数据被篡改/丢失等重大数据安全事件；</w:t>
            </w:r>
          </w:p>
          <w:p w14:paraId="23382865">
            <w:pPr>
              <w:snapToGrid w:val="0"/>
              <w:spacing w:line="360" w:lineRule="auto"/>
              <w:jc w:val="left"/>
              <w:rPr>
                <w:rFonts w:ascii="仿宋" w:hAnsi="仿宋" w:eastAsia="仿宋" w:cs="仿宋"/>
                <w:sz w:val="24"/>
              </w:rPr>
            </w:pPr>
            <w:r>
              <w:rPr>
                <w:rFonts w:hint="eastAsia" w:ascii="仿宋" w:hAnsi="仿宋" w:eastAsia="仿宋" w:cs="仿宋"/>
                <w:sz w:val="24"/>
              </w:rPr>
              <w:t>4. 系统被非法入侵、攻击，出现高危安全漏洞，威胁医院整体网络安全。</w:t>
            </w:r>
          </w:p>
        </w:tc>
        <w:tc>
          <w:tcPr>
            <w:tcW w:w="1780" w:type="pct"/>
            <w:tcMar>
              <w:top w:w="60" w:type="dxa"/>
              <w:left w:w="120" w:type="dxa"/>
              <w:bottom w:w="30" w:type="dxa"/>
              <w:right w:w="120" w:type="dxa"/>
            </w:tcMar>
          </w:tcPr>
          <w:p w14:paraId="57BC7C41">
            <w:pPr>
              <w:snapToGrid w:val="0"/>
              <w:spacing w:line="360" w:lineRule="auto"/>
              <w:jc w:val="left"/>
              <w:rPr>
                <w:rFonts w:ascii="仿宋" w:hAnsi="仿宋" w:eastAsia="仿宋" w:cs="仿宋"/>
                <w:sz w:val="24"/>
              </w:rPr>
            </w:pPr>
            <w:r>
              <w:rPr>
                <w:rFonts w:hint="eastAsia" w:ascii="仿宋" w:hAnsi="仿宋" w:eastAsia="仿宋" w:cs="仿宋"/>
                <w:sz w:val="24"/>
              </w:rPr>
              <w:t>1. 10分钟内必须响应，与采购人明确故障情况，出具应急处置方案；</w:t>
            </w:r>
          </w:p>
          <w:p w14:paraId="69A7A096">
            <w:pPr>
              <w:snapToGrid w:val="0"/>
              <w:spacing w:line="360" w:lineRule="auto"/>
              <w:jc w:val="left"/>
              <w:rPr>
                <w:rFonts w:ascii="仿宋" w:hAnsi="仿宋" w:eastAsia="仿宋" w:cs="仿宋"/>
                <w:sz w:val="24"/>
              </w:rPr>
            </w:pPr>
            <w:r>
              <w:rPr>
                <w:rFonts w:hint="eastAsia" w:ascii="仿宋" w:hAnsi="仿宋" w:eastAsia="仿宋" w:cs="仿宋"/>
                <w:sz w:val="24"/>
              </w:rPr>
              <w:t>2. 4小时内派驻具备资质的技术人员到达现场；</w:t>
            </w:r>
          </w:p>
          <w:p w14:paraId="666ECACD">
            <w:pPr>
              <w:snapToGrid w:val="0"/>
              <w:spacing w:line="360" w:lineRule="auto"/>
              <w:jc w:val="left"/>
              <w:rPr>
                <w:rFonts w:ascii="仿宋" w:hAnsi="仿宋" w:eastAsia="仿宋" w:cs="仿宋"/>
                <w:sz w:val="24"/>
              </w:rPr>
            </w:pPr>
            <w:r>
              <w:rPr>
                <w:rFonts w:hint="eastAsia" w:ascii="仿宋" w:hAnsi="仿宋" w:eastAsia="仿宋" w:cs="仿宋"/>
                <w:sz w:val="24"/>
              </w:rPr>
              <w:t>3. 6小时内完成故障修复，恢复系统核心业务正常运行；</w:t>
            </w:r>
          </w:p>
          <w:p w14:paraId="6DE7D75C">
            <w:pPr>
              <w:snapToGrid w:val="0"/>
              <w:spacing w:line="360" w:lineRule="auto"/>
              <w:jc w:val="left"/>
              <w:rPr>
                <w:rFonts w:ascii="仿宋" w:hAnsi="仿宋" w:eastAsia="仿宋" w:cs="仿宋"/>
                <w:sz w:val="24"/>
              </w:rPr>
            </w:pPr>
            <w:r>
              <w:rPr>
                <w:rFonts w:hint="eastAsia" w:ascii="仿宋" w:hAnsi="仿宋" w:eastAsia="仿宋" w:cs="仿宋"/>
                <w:sz w:val="24"/>
              </w:rPr>
              <w:t>4. 无法在时限内完全修复的，须提供临时应急方案保障业务连续性，直至系统完全恢复；</w:t>
            </w:r>
          </w:p>
          <w:p w14:paraId="607E0CBF">
            <w:pPr>
              <w:snapToGrid w:val="0"/>
              <w:spacing w:line="360" w:lineRule="auto"/>
              <w:jc w:val="left"/>
              <w:rPr>
                <w:rFonts w:ascii="仿宋" w:hAnsi="仿宋" w:eastAsia="仿宋" w:cs="仿宋"/>
                <w:sz w:val="24"/>
              </w:rPr>
            </w:pPr>
            <w:r>
              <w:rPr>
                <w:rFonts w:hint="eastAsia" w:ascii="仿宋" w:hAnsi="仿宋" w:eastAsia="仿宋" w:cs="仿宋"/>
                <w:sz w:val="24"/>
              </w:rPr>
              <w:t>5. 故障处置完成后24小时内提交正式故障分析与复盘报告。</w:t>
            </w:r>
          </w:p>
        </w:tc>
      </w:tr>
      <w:tr w14:paraId="340EF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0" w:type="pct"/>
            <w:tcMar>
              <w:top w:w="60" w:type="dxa"/>
              <w:left w:w="120" w:type="dxa"/>
              <w:bottom w:w="30" w:type="dxa"/>
              <w:right w:w="120" w:type="dxa"/>
            </w:tcMar>
            <w:vAlign w:val="center"/>
          </w:tcPr>
          <w:p w14:paraId="57EF38FD">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932" w:type="pct"/>
            <w:tcMar>
              <w:top w:w="60" w:type="dxa"/>
              <w:left w:w="120" w:type="dxa"/>
              <w:bottom w:w="30" w:type="dxa"/>
              <w:right w:w="120" w:type="dxa"/>
            </w:tcMar>
            <w:vAlign w:val="center"/>
          </w:tcPr>
          <w:p w14:paraId="40C37ED7">
            <w:pPr>
              <w:snapToGrid w:val="0"/>
              <w:spacing w:line="360" w:lineRule="auto"/>
              <w:jc w:val="center"/>
              <w:rPr>
                <w:rFonts w:ascii="仿宋" w:hAnsi="仿宋" w:eastAsia="仿宋" w:cs="仿宋"/>
                <w:sz w:val="24"/>
              </w:rPr>
            </w:pPr>
            <w:r>
              <w:rPr>
                <w:rFonts w:hint="eastAsia" w:ascii="仿宋" w:hAnsi="仿宋" w:eastAsia="仿宋" w:cs="仿宋"/>
                <w:sz w:val="24"/>
              </w:rPr>
              <w:t>二级故障（严重）</w:t>
            </w:r>
          </w:p>
        </w:tc>
        <w:tc>
          <w:tcPr>
            <w:tcW w:w="1865" w:type="pct"/>
            <w:tcMar>
              <w:top w:w="60" w:type="dxa"/>
              <w:left w:w="120" w:type="dxa"/>
              <w:bottom w:w="30" w:type="dxa"/>
              <w:right w:w="120" w:type="dxa"/>
            </w:tcMar>
          </w:tcPr>
          <w:p w14:paraId="5420C599">
            <w:pPr>
              <w:snapToGrid w:val="0"/>
              <w:spacing w:line="360" w:lineRule="auto"/>
              <w:jc w:val="left"/>
              <w:rPr>
                <w:rFonts w:ascii="仿宋" w:hAnsi="仿宋" w:eastAsia="仿宋" w:cs="仿宋"/>
                <w:sz w:val="24"/>
              </w:rPr>
            </w:pPr>
            <w:r>
              <w:rPr>
                <w:rFonts w:hint="eastAsia" w:ascii="仿宋" w:hAnsi="仿宋" w:eastAsia="仿宋" w:cs="仿宋"/>
                <w:sz w:val="24"/>
              </w:rPr>
              <w:t>1. 系统操作性能严重降级，核心功能响应延迟超500%，严重影响医生操作与患者业务办理；</w:t>
            </w:r>
          </w:p>
          <w:p w14:paraId="1EB3CA84">
            <w:pPr>
              <w:snapToGrid w:val="0"/>
              <w:spacing w:line="360" w:lineRule="auto"/>
              <w:jc w:val="left"/>
              <w:rPr>
                <w:rFonts w:ascii="仿宋" w:hAnsi="仿宋" w:eastAsia="仿宋" w:cs="仿宋"/>
                <w:sz w:val="24"/>
              </w:rPr>
            </w:pPr>
            <w:r>
              <w:rPr>
                <w:rFonts w:hint="eastAsia" w:ascii="仿宋" w:hAnsi="仿宋" w:eastAsia="仿宋" w:cs="仿宋"/>
                <w:sz w:val="24"/>
              </w:rPr>
              <w:t>2. 核心科室、门诊3个及以上科室系统无法正常使用，影响大面积患者就医；</w:t>
            </w:r>
          </w:p>
          <w:p w14:paraId="487E95FB">
            <w:pPr>
              <w:snapToGrid w:val="0"/>
              <w:spacing w:line="360" w:lineRule="auto"/>
              <w:jc w:val="left"/>
              <w:rPr>
                <w:rFonts w:ascii="仿宋" w:hAnsi="仿宋" w:eastAsia="仿宋" w:cs="仿宋"/>
                <w:sz w:val="24"/>
              </w:rPr>
            </w:pPr>
            <w:r>
              <w:rPr>
                <w:rFonts w:hint="eastAsia" w:ascii="仿宋" w:hAnsi="仿宋" w:eastAsia="仿宋" w:cs="仿宋"/>
                <w:sz w:val="24"/>
              </w:rPr>
              <w:t>3. 系统出现数据异常、统计错误，影响医疗业务正常开展，存在数据安全隐患。</w:t>
            </w:r>
          </w:p>
        </w:tc>
        <w:tc>
          <w:tcPr>
            <w:tcW w:w="1780" w:type="pct"/>
            <w:tcMar>
              <w:top w:w="60" w:type="dxa"/>
              <w:left w:w="120" w:type="dxa"/>
              <w:bottom w:w="30" w:type="dxa"/>
              <w:right w:w="120" w:type="dxa"/>
            </w:tcMar>
          </w:tcPr>
          <w:p w14:paraId="3DE8F40A">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30分钟内必须响应，出具初步处置方案；</w:t>
            </w:r>
          </w:p>
          <w:p w14:paraId="1C696DE2">
            <w:pPr>
              <w:snapToGrid w:val="0"/>
              <w:spacing w:line="360" w:lineRule="auto"/>
              <w:jc w:val="left"/>
              <w:rPr>
                <w:rFonts w:ascii="仿宋" w:hAnsi="仿宋" w:eastAsia="仿宋" w:cs="仿宋"/>
                <w:sz w:val="24"/>
              </w:rPr>
            </w:pPr>
            <w:r>
              <w:rPr>
                <w:rFonts w:hint="eastAsia" w:ascii="仿宋" w:hAnsi="仿宋" w:eastAsia="仿宋" w:cs="仿宋"/>
                <w:sz w:val="24"/>
              </w:rPr>
              <w:t>2. 6小时内到达现场或通过安全远程方式完成故障处置；</w:t>
            </w:r>
          </w:p>
          <w:p w14:paraId="59E7BDDF">
            <w:pPr>
              <w:snapToGrid w:val="0"/>
              <w:spacing w:line="360" w:lineRule="auto"/>
              <w:jc w:val="left"/>
              <w:rPr>
                <w:rFonts w:ascii="仿宋" w:hAnsi="仿宋" w:eastAsia="仿宋" w:cs="仿宋"/>
                <w:sz w:val="24"/>
              </w:rPr>
            </w:pPr>
            <w:r>
              <w:rPr>
                <w:rFonts w:hint="eastAsia" w:ascii="仿宋" w:hAnsi="仿宋" w:eastAsia="仿宋" w:cs="仿宋"/>
                <w:sz w:val="24"/>
              </w:rPr>
              <w:t>3. 12小时内完成故障修复，系统恢复正常运行；</w:t>
            </w:r>
          </w:p>
          <w:p w14:paraId="1AD08FAB">
            <w:pPr>
              <w:snapToGrid w:val="0"/>
              <w:spacing w:line="360" w:lineRule="auto"/>
              <w:jc w:val="left"/>
              <w:rPr>
                <w:rFonts w:ascii="仿宋" w:hAnsi="仿宋" w:eastAsia="仿宋" w:cs="仿宋"/>
                <w:sz w:val="24"/>
              </w:rPr>
            </w:pPr>
            <w:r>
              <w:rPr>
                <w:rFonts w:hint="eastAsia" w:ascii="仿宋" w:hAnsi="仿宋" w:eastAsia="仿宋" w:cs="仿宋"/>
                <w:sz w:val="24"/>
              </w:rPr>
              <w:t>4. 故障处置完成后3个工作日内提交故障分析报告。</w:t>
            </w:r>
          </w:p>
        </w:tc>
      </w:tr>
      <w:tr w14:paraId="52CF2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212" w:hRule="atLeast"/>
        </w:trPr>
        <w:tc>
          <w:tcPr>
            <w:tcW w:w="420" w:type="pct"/>
            <w:tcMar>
              <w:top w:w="60" w:type="dxa"/>
              <w:left w:w="120" w:type="dxa"/>
              <w:bottom w:w="30" w:type="dxa"/>
              <w:right w:w="120" w:type="dxa"/>
            </w:tcMar>
            <w:vAlign w:val="center"/>
          </w:tcPr>
          <w:p w14:paraId="17BDB6E8">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932" w:type="pct"/>
            <w:tcMar>
              <w:top w:w="60" w:type="dxa"/>
              <w:left w:w="120" w:type="dxa"/>
              <w:bottom w:w="30" w:type="dxa"/>
              <w:right w:w="120" w:type="dxa"/>
            </w:tcMar>
            <w:vAlign w:val="center"/>
          </w:tcPr>
          <w:p w14:paraId="0C8DBB80">
            <w:pPr>
              <w:snapToGrid w:val="0"/>
              <w:spacing w:line="360" w:lineRule="auto"/>
              <w:jc w:val="center"/>
              <w:rPr>
                <w:rFonts w:ascii="仿宋" w:hAnsi="仿宋" w:eastAsia="仿宋" w:cs="仿宋"/>
                <w:sz w:val="24"/>
              </w:rPr>
            </w:pPr>
            <w:r>
              <w:rPr>
                <w:rFonts w:hint="eastAsia" w:ascii="仿宋" w:hAnsi="仿宋" w:eastAsia="仿宋" w:cs="仿宋"/>
                <w:sz w:val="24"/>
              </w:rPr>
              <w:t>三级故障（一般）</w:t>
            </w:r>
          </w:p>
        </w:tc>
        <w:tc>
          <w:tcPr>
            <w:tcW w:w="1865" w:type="pct"/>
            <w:tcMar>
              <w:top w:w="60" w:type="dxa"/>
              <w:left w:w="120" w:type="dxa"/>
              <w:bottom w:w="30" w:type="dxa"/>
              <w:right w:w="120" w:type="dxa"/>
            </w:tcMar>
          </w:tcPr>
          <w:p w14:paraId="61FFB459">
            <w:pPr>
              <w:snapToGrid w:val="0"/>
              <w:spacing w:line="360" w:lineRule="auto"/>
              <w:jc w:val="left"/>
              <w:rPr>
                <w:rFonts w:ascii="仿宋" w:hAnsi="仿宋" w:eastAsia="仿宋" w:cs="仿宋"/>
                <w:sz w:val="24"/>
              </w:rPr>
            </w:pPr>
            <w:r>
              <w:rPr>
                <w:rFonts w:hint="eastAsia" w:ascii="仿宋" w:hAnsi="仿宋" w:eastAsia="仿宋" w:cs="仿宋"/>
                <w:sz w:val="24"/>
              </w:rPr>
              <w:t>1. 系统非核心功能受损，仅影响单个科室/少量终端使用，医院核心业务可正常开展；</w:t>
            </w:r>
          </w:p>
          <w:p w14:paraId="14DD49BB">
            <w:pPr>
              <w:snapToGrid w:val="0"/>
              <w:spacing w:line="360" w:lineRule="auto"/>
              <w:jc w:val="left"/>
              <w:rPr>
                <w:rFonts w:ascii="仿宋" w:hAnsi="仿宋" w:eastAsia="仿宋" w:cs="仿宋"/>
                <w:sz w:val="24"/>
              </w:rPr>
            </w:pPr>
            <w:r>
              <w:rPr>
                <w:rFonts w:hint="eastAsia" w:ascii="仿宋" w:hAnsi="仿宋" w:eastAsia="仿宋" w:cs="仿宋"/>
                <w:sz w:val="24"/>
              </w:rPr>
              <w:t>2. 系统出现局部数据异常、报表统计偏差，不影响核心业务办理；</w:t>
            </w:r>
          </w:p>
          <w:p w14:paraId="6D66D2A2">
            <w:pPr>
              <w:snapToGrid w:val="0"/>
              <w:spacing w:line="360" w:lineRule="auto"/>
              <w:jc w:val="left"/>
              <w:rPr>
                <w:rFonts w:ascii="仿宋" w:hAnsi="仿宋" w:eastAsia="仿宋" w:cs="仿宋"/>
                <w:sz w:val="24"/>
              </w:rPr>
            </w:pPr>
            <w:r>
              <w:rPr>
                <w:rFonts w:hint="eastAsia" w:ascii="仿宋" w:hAnsi="仿宋" w:eastAsia="仿宋" w:cs="仿宋"/>
                <w:sz w:val="24"/>
              </w:rPr>
              <w:t>3.配套设备故障，不影响整体业务流程。</w:t>
            </w:r>
          </w:p>
        </w:tc>
        <w:tc>
          <w:tcPr>
            <w:tcW w:w="1780" w:type="pct"/>
            <w:tcMar>
              <w:top w:w="60" w:type="dxa"/>
              <w:left w:w="120" w:type="dxa"/>
              <w:bottom w:w="30" w:type="dxa"/>
              <w:right w:w="120" w:type="dxa"/>
            </w:tcMar>
          </w:tcPr>
          <w:p w14:paraId="76EB3A53">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30分钟内必须响应，出具处置方案；</w:t>
            </w:r>
          </w:p>
          <w:p w14:paraId="554AE730">
            <w:pPr>
              <w:snapToGrid w:val="0"/>
              <w:spacing w:line="360" w:lineRule="auto"/>
              <w:jc w:val="left"/>
              <w:rPr>
                <w:rFonts w:ascii="仿宋" w:hAnsi="仿宋" w:eastAsia="仿宋" w:cs="仿宋"/>
                <w:sz w:val="24"/>
              </w:rPr>
            </w:pPr>
            <w:r>
              <w:rPr>
                <w:rFonts w:hint="eastAsia" w:ascii="仿宋" w:hAnsi="仿宋" w:eastAsia="仿宋" w:cs="仿宋"/>
                <w:sz w:val="24"/>
              </w:rPr>
              <w:t>2. 12小时内到达现场或通过远程方式完成故障处置；</w:t>
            </w:r>
          </w:p>
          <w:p w14:paraId="03E2C697">
            <w:pPr>
              <w:snapToGrid w:val="0"/>
              <w:spacing w:line="360" w:lineRule="auto"/>
              <w:jc w:val="left"/>
              <w:rPr>
                <w:rFonts w:ascii="仿宋" w:hAnsi="仿宋" w:eastAsia="仿宋" w:cs="仿宋"/>
                <w:sz w:val="24"/>
              </w:rPr>
            </w:pPr>
            <w:r>
              <w:rPr>
                <w:rFonts w:hint="eastAsia" w:ascii="仿宋" w:hAnsi="仿宋" w:eastAsia="仿宋" w:cs="仿宋"/>
                <w:sz w:val="24"/>
              </w:rPr>
              <w:t>3. 24小时内完成故障修复，闭环处置问题。</w:t>
            </w:r>
          </w:p>
        </w:tc>
      </w:tr>
      <w:tr w14:paraId="2AF3F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0" w:type="pct"/>
            <w:tcMar>
              <w:top w:w="60" w:type="dxa"/>
              <w:left w:w="120" w:type="dxa"/>
              <w:bottom w:w="30" w:type="dxa"/>
              <w:right w:w="120" w:type="dxa"/>
            </w:tcMar>
            <w:vAlign w:val="center"/>
          </w:tcPr>
          <w:p w14:paraId="55FEBC9F">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932" w:type="pct"/>
            <w:tcMar>
              <w:top w:w="60" w:type="dxa"/>
              <w:left w:w="120" w:type="dxa"/>
              <w:bottom w:w="30" w:type="dxa"/>
              <w:right w:w="120" w:type="dxa"/>
            </w:tcMar>
            <w:vAlign w:val="center"/>
          </w:tcPr>
          <w:p w14:paraId="5ED4B7E2">
            <w:pPr>
              <w:snapToGrid w:val="0"/>
              <w:spacing w:line="360" w:lineRule="auto"/>
              <w:jc w:val="center"/>
              <w:rPr>
                <w:rFonts w:ascii="仿宋" w:hAnsi="仿宋" w:eastAsia="仿宋" w:cs="仿宋"/>
                <w:sz w:val="24"/>
              </w:rPr>
            </w:pPr>
            <w:r>
              <w:rPr>
                <w:rFonts w:hint="eastAsia" w:ascii="仿宋" w:hAnsi="仿宋" w:eastAsia="仿宋" w:cs="仿宋"/>
                <w:sz w:val="24"/>
              </w:rPr>
              <w:t>四级故障（轻微）</w:t>
            </w:r>
          </w:p>
        </w:tc>
        <w:tc>
          <w:tcPr>
            <w:tcW w:w="1865" w:type="pct"/>
            <w:tcMar>
              <w:top w:w="60" w:type="dxa"/>
              <w:left w:w="120" w:type="dxa"/>
              <w:bottom w:w="30" w:type="dxa"/>
              <w:right w:w="120" w:type="dxa"/>
            </w:tcMar>
          </w:tcPr>
          <w:p w14:paraId="53723753">
            <w:pPr>
              <w:snapToGrid w:val="0"/>
              <w:spacing w:line="360" w:lineRule="auto"/>
              <w:jc w:val="left"/>
              <w:rPr>
                <w:rFonts w:ascii="仿宋" w:hAnsi="仿宋" w:eastAsia="仿宋" w:cs="仿宋"/>
                <w:sz w:val="24"/>
              </w:rPr>
            </w:pPr>
            <w:r>
              <w:rPr>
                <w:rFonts w:hint="eastAsia" w:ascii="仿宋" w:hAnsi="仿宋" w:eastAsia="仿宋" w:cs="仿宋"/>
                <w:sz w:val="24"/>
              </w:rPr>
              <w:t>1. 系统出现一般性操作问题、界面显示异常，对患者就医、系统运行几乎无影响；</w:t>
            </w:r>
          </w:p>
          <w:p w14:paraId="504CBE25">
            <w:pPr>
              <w:snapToGrid w:val="0"/>
              <w:spacing w:line="360" w:lineRule="auto"/>
              <w:jc w:val="left"/>
              <w:rPr>
                <w:rFonts w:ascii="仿宋" w:hAnsi="仿宋" w:eastAsia="仿宋" w:cs="仿宋"/>
                <w:sz w:val="24"/>
              </w:rPr>
            </w:pPr>
            <w:r>
              <w:rPr>
                <w:rFonts w:hint="eastAsia" w:ascii="仿宋" w:hAnsi="仿宋" w:eastAsia="仿宋" w:cs="仿宋"/>
                <w:sz w:val="24"/>
              </w:rPr>
              <w:t>2. 医护人员提出的系统操作咨询、功能配置调整等非故障类服务请求。</w:t>
            </w:r>
          </w:p>
        </w:tc>
        <w:tc>
          <w:tcPr>
            <w:tcW w:w="1780" w:type="pct"/>
            <w:tcMar>
              <w:top w:w="60" w:type="dxa"/>
              <w:left w:w="120" w:type="dxa"/>
              <w:bottom w:w="30" w:type="dxa"/>
              <w:right w:w="120" w:type="dxa"/>
            </w:tcMar>
          </w:tcPr>
          <w:p w14:paraId="65A5E84A">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30分钟内必须响应，提供技术指导与解决方案；</w:t>
            </w:r>
          </w:p>
          <w:p w14:paraId="6AF475FA">
            <w:pPr>
              <w:snapToGrid w:val="0"/>
              <w:spacing w:line="360" w:lineRule="auto"/>
              <w:jc w:val="left"/>
              <w:rPr>
                <w:rFonts w:ascii="仿宋" w:hAnsi="仿宋" w:eastAsia="仿宋" w:cs="仿宋"/>
                <w:sz w:val="24"/>
              </w:rPr>
            </w:pPr>
            <w:r>
              <w:rPr>
                <w:rFonts w:hint="eastAsia" w:ascii="仿宋" w:hAnsi="仿宋" w:eastAsia="仿宋" w:cs="仿宋"/>
                <w:sz w:val="24"/>
              </w:rPr>
              <w:t>2. 24小时内通过远程或现场方式完成处置；</w:t>
            </w:r>
          </w:p>
          <w:p w14:paraId="16BD5DAC">
            <w:pPr>
              <w:snapToGrid w:val="0"/>
              <w:spacing w:line="360" w:lineRule="auto"/>
              <w:jc w:val="left"/>
              <w:rPr>
                <w:rFonts w:ascii="仿宋" w:hAnsi="仿宋" w:eastAsia="仿宋" w:cs="仿宋"/>
                <w:sz w:val="24"/>
              </w:rPr>
            </w:pPr>
            <w:r>
              <w:rPr>
                <w:rFonts w:hint="eastAsia" w:ascii="仿宋" w:hAnsi="仿宋" w:eastAsia="仿宋" w:cs="仿宋"/>
                <w:sz w:val="24"/>
              </w:rPr>
              <w:t>3. 48小时内完成问题闭环。</w:t>
            </w:r>
          </w:p>
        </w:tc>
      </w:tr>
    </w:tbl>
    <w:p w14:paraId="2362A1AD">
      <w:pPr>
        <w:snapToGrid w:val="0"/>
        <w:spacing w:line="360" w:lineRule="auto"/>
        <w:ind w:firstLine="480" w:firstLineChars="200"/>
        <w:jc w:val="left"/>
        <w:rPr>
          <w:rFonts w:ascii="仿宋" w:hAnsi="仿宋" w:eastAsia="仿宋" w:cs="仿宋"/>
          <w:sz w:val="24"/>
        </w:rPr>
      </w:pPr>
    </w:p>
    <w:p w14:paraId="432180B9">
      <w:pPr>
        <w:snapToGrid w:val="0"/>
        <w:spacing w:line="360" w:lineRule="auto"/>
        <w:jc w:val="left"/>
        <w:rPr>
          <w:rFonts w:ascii="仿宋" w:hAnsi="仿宋" w:eastAsia="仿宋" w:cs="仿宋"/>
          <w:sz w:val="24"/>
        </w:rPr>
      </w:pPr>
      <w:r>
        <w:rPr>
          <w:rFonts w:hint="eastAsia" w:ascii="仿宋" w:hAnsi="仿宋" w:eastAsia="仿宋" w:cs="仿宋"/>
          <w:b/>
          <w:sz w:val="24"/>
        </w:rPr>
        <w:t>4. 售后运维服务核心要求</w:t>
      </w:r>
    </w:p>
    <w:p w14:paraId="36EC2B6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服务商须严格按照以下要求提供全流程售后运维服务，可依据自身技术能力提供增值服务，但不得低于以下标准要求，所有服务须留存完整、可追溯的工作记录，接受采购人全程监督。</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845"/>
        <w:gridCol w:w="1263"/>
        <w:gridCol w:w="4500"/>
        <w:gridCol w:w="1265"/>
        <w:gridCol w:w="1265"/>
      </w:tblGrid>
      <w:tr w14:paraId="0142F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2" w:type="pct"/>
            <w:tcMar>
              <w:top w:w="60" w:type="dxa"/>
              <w:left w:w="120" w:type="dxa"/>
              <w:bottom w:w="30" w:type="dxa"/>
              <w:right w:w="120" w:type="dxa"/>
            </w:tcMar>
            <w:vAlign w:val="center"/>
          </w:tcPr>
          <w:p w14:paraId="38976D5A">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691" w:type="pct"/>
            <w:tcMar>
              <w:top w:w="60" w:type="dxa"/>
              <w:left w:w="120" w:type="dxa"/>
              <w:bottom w:w="30" w:type="dxa"/>
              <w:right w:w="120" w:type="dxa"/>
            </w:tcMar>
            <w:vAlign w:val="center"/>
          </w:tcPr>
          <w:p w14:paraId="56DAEFE4">
            <w:pPr>
              <w:snapToGrid w:val="0"/>
              <w:spacing w:line="360" w:lineRule="auto"/>
              <w:jc w:val="center"/>
              <w:rPr>
                <w:rFonts w:ascii="仿宋" w:hAnsi="仿宋" w:eastAsia="仿宋" w:cs="仿宋"/>
                <w:b/>
                <w:sz w:val="24"/>
              </w:rPr>
            </w:pPr>
            <w:r>
              <w:rPr>
                <w:rFonts w:hint="eastAsia" w:ascii="仿宋" w:hAnsi="仿宋" w:eastAsia="仿宋" w:cs="仿宋"/>
                <w:b/>
                <w:sz w:val="24"/>
              </w:rPr>
              <w:t>服务项目</w:t>
            </w:r>
          </w:p>
        </w:tc>
        <w:tc>
          <w:tcPr>
            <w:tcW w:w="2461" w:type="pct"/>
            <w:tcMar>
              <w:top w:w="60" w:type="dxa"/>
              <w:left w:w="120" w:type="dxa"/>
              <w:bottom w:w="30" w:type="dxa"/>
              <w:right w:w="120" w:type="dxa"/>
            </w:tcMar>
            <w:vAlign w:val="center"/>
          </w:tcPr>
          <w:p w14:paraId="43BEA67A">
            <w:pPr>
              <w:snapToGrid w:val="0"/>
              <w:spacing w:line="360" w:lineRule="auto"/>
              <w:jc w:val="center"/>
              <w:rPr>
                <w:rFonts w:ascii="仿宋" w:hAnsi="仿宋" w:eastAsia="仿宋" w:cs="仿宋"/>
                <w:b/>
                <w:sz w:val="24"/>
              </w:rPr>
            </w:pPr>
            <w:r>
              <w:rPr>
                <w:rFonts w:hint="eastAsia" w:ascii="仿宋" w:hAnsi="仿宋" w:eastAsia="仿宋" w:cs="仿宋"/>
                <w:b/>
                <w:sz w:val="24"/>
              </w:rPr>
              <w:t>服务内涵</w:t>
            </w:r>
          </w:p>
        </w:tc>
        <w:tc>
          <w:tcPr>
            <w:tcW w:w="692" w:type="pct"/>
            <w:tcMar>
              <w:top w:w="60" w:type="dxa"/>
              <w:left w:w="120" w:type="dxa"/>
              <w:bottom w:w="30" w:type="dxa"/>
              <w:right w:w="120" w:type="dxa"/>
            </w:tcMar>
            <w:vAlign w:val="center"/>
          </w:tcPr>
          <w:p w14:paraId="2C9E74BE">
            <w:pPr>
              <w:snapToGrid w:val="0"/>
              <w:spacing w:line="360" w:lineRule="auto"/>
              <w:jc w:val="center"/>
              <w:rPr>
                <w:rFonts w:ascii="仿宋" w:hAnsi="仿宋" w:eastAsia="仿宋" w:cs="仿宋"/>
                <w:b/>
                <w:sz w:val="24"/>
              </w:rPr>
            </w:pPr>
            <w:r>
              <w:rPr>
                <w:rFonts w:hint="eastAsia" w:ascii="仿宋" w:hAnsi="仿宋" w:eastAsia="仿宋" w:cs="仿宋"/>
                <w:b/>
                <w:sz w:val="24"/>
              </w:rPr>
              <w:t>服务方式</w:t>
            </w:r>
          </w:p>
        </w:tc>
        <w:tc>
          <w:tcPr>
            <w:tcW w:w="692" w:type="pct"/>
            <w:tcMar>
              <w:top w:w="60" w:type="dxa"/>
              <w:left w:w="120" w:type="dxa"/>
              <w:bottom w:w="30" w:type="dxa"/>
              <w:right w:w="120" w:type="dxa"/>
            </w:tcMar>
            <w:vAlign w:val="center"/>
          </w:tcPr>
          <w:p w14:paraId="29A57925">
            <w:pPr>
              <w:snapToGrid w:val="0"/>
              <w:spacing w:line="360" w:lineRule="auto"/>
              <w:jc w:val="center"/>
              <w:rPr>
                <w:rFonts w:ascii="仿宋" w:hAnsi="仿宋" w:eastAsia="仿宋" w:cs="仿宋"/>
                <w:b/>
                <w:sz w:val="24"/>
              </w:rPr>
            </w:pPr>
            <w:r>
              <w:rPr>
                <w:rFonts w:hint="eastAsia" w:ascii="仿宋" w:hAnsi="仿宋" w:eastAsia="仿宋" w:cs="仿宋"/>
                <w:b/>
                <w:sz w:val="24"/>
              </w:rPr>
              <w:t>服务频次 / 次数要求</w:t>
            </w:r>
          </w:p>
        </w:tc>
      </w:tr>
      <w:tr w14:paraId="17FA4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2" w:type="pct"/>
            <w:tcMar>
              <w:top w:w="60" w:type="dxa"/>
              <w:left w:w="120" w:type="dxa"/>
              <w:bottom w:w="30" w:type="dxa"/>
              <w:right w:w="120" w:type="dxa"/>
            </w:tcMar>
            <w:vAlign w:val="center"/>
          </w:tcPr>
          <w:p w14:paraId="2A084BC5">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691" w:type="pct"/>
            <w:tcMar>
              <w:top w:w="60" w:type="dxa"/>
              <w:left w:w="120" w:type="dxa"/>
              <w:bottom w:w="30" w:type="dxa"/>
              <w:right w:w="120" w:type="dxa"/>
            </w:tcMar>
            <w:vAlign w:val="center"/>
          </w:tcPr>
          <w:p w14:paraId="1028C748">
            <w:pPr>
              <w:snapToGrid w:val="0"/>
              <w:spacing w:line="360" w:lineRule="auto"/>
              <w:jc w:val="center"/>
              <w:rPr>
                <w:rFonts w:ascii="仿宋" w:hAnsi="仿宋" w:eastAsia="仿宋" w:cs="仿宋"/>
                <w:sz w:val="24"/>
              </w:rPr>
            </w:pPr>
            <w:r>
              <w:rPr>
                <w:rFonts w:hint="eastAsia" w:ascii="仿宋" w:hAnsi="仿宋" w:eastAsia="仿宋" w:cs="仿宋"/>
                <w:sz w:val="24"/>
              </w:rPr>
              <w:t>信息系统基础运维服务</w:t>
            </w:r>
          </w:p>
        </w:tc>
        <w:tc>
          <w:tcPr>
            <w:tcW w:w="2461" w:type="pct"/>
            <w:tcMar>
              <w:top w:w="60" w:type="dxa"/>
              <w:left w:w="120" w:type="dxa"/>
              <w:bottom w:w="30" w:type="dxa"/>
              <w:right w:w="120" w:type="dxa"/>
            </w:tcMar>
            <w:vAlign w:val="center"/>
          </w:tcPr>
          <w:p w14:paraId="4A374100">
            <w:pPr>
              <w:snapToGrid w:val="0"/>
              <w:spacing w:line="360" w:lineRule="auto"/>
              <w:rPr>
                <w:rFonts w:ascii="仿宋" w:hAnsi="仿宋" w:eastAsia="仿宋" w:cs="仿宋"/>
                <w:sz w:val="24"/>
              </w:rPr>
            </w:pPr>
            <w:r>
              <w:rPr>
                <w:rFonts w:hint="eastAsia" w:ascii="仿宋" w:hAnsi="仿宋" w:eastAsia="仿宋" w:cs="仿宋"/>
                <w:sz w:val="24"/>
              </w:rPr>
              <w:t>1. 上表所列全部系统模块的软件操作指导、故障排查、bug 修复、配置管理服务；</w:t>
            </w:r>
          </w:p>
          <w:p w14:paraId="45C04DCE">
            <w:pPr>
              <w:snapToGrid w:val="0"/>
              <w:spacing w:line="360" w:lineRule="auto"/>
              <w:rPr>
                <w:rFonts w:ascii="仿宋" w:hAnsi="仿宋" w:eastAsia="仿宋" w:cs="仿宋"/>
                <w:sz w:val="24"/>
              </w:rPr>
            </w:pPr>
            <w:r>
              <w:rPr>
                <w:rFonts w:hint="eastAsia" w:ascii="仿宋" w:hAnsi="仿宋" w:eastAsia="仿宋" w:cs="仿宋"/>
                <w:sz w:val="24"/>
              </w:rPr>
              <w:t>2. 系统死机、数据错误、监管预警失效、防统方监测异常等全场景故障处置；</w:t>
            </w:r>
          </w:p>
          <w:p w14:paraId="692C3919">
            <w:pPr>
              <w:snapToGrid w:val="0"/>
              <w:spacing w:line="360" w:lineRule="auto"/>
              <w:rPr>
                <w:rFonts w:ascii="仿宋" w:hAnsi="仿宋" w:eastAsia="仿宋" w:cs="仿宋"/>
                <w:sz w:val="24"/>
              </w:rPr>
            </w:pPr>
            <w:r>
              <w:rPr>
                <w:rFonts w:hint="eastAsia" w:ascii="仿宋" w:hAnsi="仿宋" w:eastAsia="仿宋" w:cs="仿宋"/>
                <w:sz w:val="24"/>
              </w:rPr>
              <w:t>3. 系统运行环境适配、显示异常、运行效率降低等问题的优化处置；</w:t>
            </w:r>
          </w:p>
          <w:p w14:paraId="3A773CFD">
            <w:pPr>
              <w:snapToGrid w:val="0"/>
              <w:spacing w:line="360" w:lineRule="auto"/>
              <w:rPr>
                <w:rFonts w:ascii="仿宋" w:hAnsi="仿宋" w:eastAsia="仿宋" w:cs="仿宋"/>
                <w:sz w:val="24"/>
              </w:rPr>
            </w:pPr>
            <w:r>
              <w:rPr>
                <w:rFonts w:hint="eastAsia" w:ascii="仿宋" w:hAnsi="仿宋" w:eastAsia="仿宋" w:cs="仿宋"/>
                <w:sz w:val="24"/>
              </w:rPr>
              <w:t>4. 系统与院内其他信息系统的接口运维、适配调整、故障修复；</w:t>
            </w:r>
          </w:p>
          <w:p w14:paraId="2EBA8297">
            <w:pPr>
              <w:snapToGrid w:val="0"/>
              <w:spacing w:line="360" w:lineRule="auto"/>
              <w:rPr>
                <w:rFonts w:ascii="仿宋" w:hAnsi="仿宋" w:eastAsia="仿宋" w:cs="仿宋"/>
                <w:sz w:val="24"/>
              </w:rPr>
            </w:pPr>
            <w:r>
              <w:rPr>
                <w:rFonts w:hint="eastAsia" w:ascii="仿宋" w:hAnsi="仿宋" w:eastAsia="仿宋" w:cs="仿宋"/>
                <w:sz w:val="24"/>
              </w:rPr>
              <w:t>5. 系统终端设备、服务器运行状态的定期巡检与隐患排查。</w:t>
            </w:r>
          </w:p>
        </w:tc>
        <w:tc>
          <w:tcPr>
            <w:tcW w:w="692" w:type="pct"/>
            <w:tcMar>
              <w:top w:w="60" w:type="dxa"/>
              <w:left w:w="120" w:type="dxa"/>
              <w:bottom w:w="30" w:type="dxa"/>
              <w:right w:w="120" w:type="dxa"/>
            </w:tcMar>
            <w:vAlign w:val="center"/>
          </w:tcPr>
          <w:p w14:paraId="18FB6F14">
            <w:pPr>
              <w:snapToGrid w:val="0"/>
              <w:spacing w:line="360" w:lineRule="auto"/>
              <w:jc w:val="center"/>
              <w:rPr>
                <w:rFonts w:ascii="仿宋" w:hAnsi="仿宋" w:eastAsia="仿宋" w:cs="仿宋"/>
                <w:sz w:val="24"/>
              </w:rPr>
            </w:pPr>
            <w:r>
              <w:rPr>
                <w:rFonts w:hint="eastAsia" w:ascii="仿宋" w:hAnsi="仿宋" w:eastAsia="仿宋" w:cs="仿宋"/>
                <w:sz w:val="24"/>
              </w:rPr>
              <w:t>7×24 小时热线服务、安全远程运维服务、现场驻场 / 上门服务</w:t>
            </w:r>
          </w:p>
        </w:tc>
        <w:tc>
          <w:tcPr>
            <w:tcW w:w="692" w:type="pct"/>
            <w:tcMar>
              <w:top w:w="60" w:type="dxa"/>
              <w:left w:w="120" w:type="dxa"/>
              <w:bottom w:w="30" w:type="dxa"/>
              <w:right w:w="120" w:type="dxa"/>
            </w:tcMar>
            <w:vAlign w:val="center"/>
          </w:tcPr>
          <w:p w14:paraId="2D7B780B">
            <w:pPr>
              <w:snapToGrid w:val="0"/>
              <w:spacing w:line="360" w:lineRule="auto"/>
              <w:jc w:val="center"/>
              <w:rPr>
                <w:rFonts w:ascii="仿宋" w:hAnsi="仿宋" w:eastAsia="仿宋" w:cs="仿宋"/>
                <w:sz w:val="24"/>
              </w:rPr>
            </w:pPr>
            <w:r>
              <w:rPr>
                <w:rFonts w:hint="eastAsia" w:ascii="仿宋" w:hAnsi="仿宋" w:eastAsia="仿宋" w:cs="仿宋"/>
                <w:sz w:val="24"/>
              </w:rPr>
              <w:t>不限次数，全时段响应</w:t>
            </w:r>
          </w:p>
        </w:tc>
      </w:tr>
      <w:tr w14:paraId="3F80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2" w:type="pct"/>
            <w:tcMar>
              <w:top w:w="60" w:type="dxa"/>
              <w:left w:w="120" w:type="dxa"/>
              <w:bottom w:w="30" w:type="dxa"/>
              <w:right w:w="120" w:type="dxa"/>
            </w:tcMar>
            <w:vAlign w:val="center"/>
          </w:tcPr>
          <w:p w14:paraId="40262786">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691" w:type="pct"/>
            <w:tcMar>
              <w:top w:w="60" w:type="dxa"/>
              <w:left w:w="120" w:type="dxa"/>
              <w:bottom w:w="30" w:type="dxa"/>
              <w:right w:w="120" w:type="dxa"/>
            </w:tcMar>
            <w:vAlign w:val="center"/>
          </w:tcPr>
          <w:p w14:paraId="57CF9304">
            <w:pPr>
              <w:snapToGrid w:val="0"/>
              <w:spacing w:line="360" w:lineRule="auto"/>
              <w:jc w:val="center"/>
              <w:rPr>
                <w:rFonts w:ascii="仿宋" w:hAnsi="仿宋" w:eastAsia="仿宋" w:cs="仿宋"/>
                <w:sz w:val="24"/>
              </w:rPr>
            </w:pPr>
            <w:r>
              <w:rPr>
                <w:rFonts w:hint="eastAsia" w:ascii="仿宋" w:hAnsi="仿宋" w:eastAsia="仿宋" w:cs="仿宋"/>
                <w:sz w:val="24"/>
              </w:rPr>
              <w:t>数据库专项运维服务</w:t>
            </w:r>
          </w:p>
        </w:tc>
        <w:tc>
          <w:tcPr>
            <w:tcW w:w="2461" w:type="pct"/>
            <w:tcMar>
              <w:top w:w="60" w:type="dxa"/>
              <w:left w:w="120" w:type="dxa"/>
              <w:bottom w:w="30" w:type="dxa"/>
              <w:right w:w="120" w:type="dxa"/>
            </w:tcMar>
            <w:vAlign w:val="center"/>
          </w:tcPr>
          <w:p w14:paraId="0A8F8CC5">
            <w:pPr>
              <w:snapToGrid w:val="0"/>
              <w:spacing w:line="360" w:lineRule="auto"/>
              <w:rPr>
                <w:rFonts w:ascii="仿宋" w:hAnsi="仿宋" w:eastAsia="仿宋" w:cs="仿宋"/>
                <w:sz w:val="24"/>
              </w:rPr>
            </w:pPr>
            <w:r>
              <w:rPr>
                <w:rFonts w:hint="eastAsia" w:ascii="仿宋" w:hAnsi="仿宋" w:eastAsia="仿宋" w:cs="仿宋"/>
                <w:sz w:val="24"/>
              </w:rPr>
              <w:t>1. 每月开展数据库全量巡检，检查内容包括服务器系统日志、磁盘空间、CPU / 内存使用率、数据库表空间、数据文件大小、数据库运行日志、异常操作审计日志等；</w:t>
            </w:r>
          </w:p>
          <w:p w14:paraId="584A354D">
            <w:pPr>
              <w:snapToGrid w:val="0"/>
              <w:spacing w:line="360" w:lineRule="auto"/>
              <w:rPr>
                <w:rFonts w:ascii="仿宋" w:hAnsi="仿宋" w:eastAsia="仿宋" w:cs="仿宋"/>
                <w:sz w:val="24"/>
              </w:rPr>
            </w:pPr>
            <w:r>
              <w:rPr>
                <w:rFonts w:hint="eastAsia" w:ascii="仿宋" w:hAnsi="仿宋" w:eastAsia="仿宋" w:cs="仿宋"/>
                <w:sz w:val="24"/>
              </w:rPr>
              <w:t>2. 每季度完成数据库安全加固、高危漏洞修复，确保数据库符合等保合规要求；</w:t>
            </w:r>
          </w:p>
          <w:p w14:paraId="49FCBFC5">
            <w:pPr>
              <w:snapToGrid w:val="0"/>
              <w:spacing w:line="360" w:lineRule="auto"/>
              <w:rPr>
                <w:rFonts w:ascii="仿宋" w:hAnsi="仿宋" w:eastAsia="仿宋" w:cs="仿宋"/>
                <w:sz w:val="24"/>
              </w:rPr>
            </w:pPr>
            <w:r>
              <w:rPr>
                <w:rFonts w:hint="eastAsia" w:ascii="仿宋" w:hAnsi="仿宋" w:eastAsia="仿宋" w:cs="仿宋"/>
                <w:sz w:val="24"/>
              </w:rPr>
              <w:t>3. 提供同版本数据库迁移、数据备份与恢复服务；</w:t>
            </w:r>
          </w:p>
          <w:p w14:paraId="627E470A">
            <w:pPr>
              <w:snapToGrid w:val="0"/>
              <w:spacing w:line="360" w:lineRule="auto"/>
              <w:rPr>
                <w:rFonts w:ascii="仿宋" w:hAnsi="仿宋" w:eastAsia="仿宋" w:cs="仿宋"/>
                <w:sz w:val="24"/>
              </w:rPr>
            </w:pPr>
            <w:r>
              <w:rPr>
                <w:rFonts w:hint="eastAsia" w:ascii="仿宋" w:hAnsi="仿宋" w:eastAsia="仿宋" w:cs="仿宋"/>
                <w:sz w:val="24"/>
              </w:rPr>
              <w:t>4. 针对巡检发现的问题，完成数据库性能优化、参数调整；</w:t>
            </w:r>
          </w:p>
          <w:p w14:paraId="5A1EB56D">
            <w:pPr>
              <w:snapToGrid w:val="0"/>
              <w:spacing w:line="360" w:lineRule="auto"/>
              <w:rPr>
                <w:rFonts w:ascii="仿宋" w:hAnsi="仿宋" w:eastAsia="仿宋" w:cs="仿宋"/>
                <w:sz w:val="24"/>
              </w:rPr>
            </w:pPr>
            <w:r>
              <w:rPr>
                <w:rFonts w:hint="eastAsia" w:ascii="仿宋" w:hAnsi="仿宋" w:eastAsia="仿宋" w:cs="仿宋"/>
                <w:sz w:val="24"/>
              </w:rPr>
              <w:t>5. 数据库故障的应急处置，保障廉政监管数据、审计数据不丢失、不泄露、不篡改。</w:t>
            </w:r>
          </w:p>
        </w:tc>
        <w:tc>
          <w:tcPr>
            <w:tcW w:w="692" w:type="pct"/>
            <w:tcMar>
              <w:top w:w="60" w:type="dxa"/>
              <w:left w:w="120" w:type="dxa"/>
              <w:bottom w:w="30" w:type="dxa"/>
              <w:right w:w="120" w:type="dxa"/>
            </w:tcMar>
            <w:vAlign w:val="center"/>
          </w:tcPr>
          <w:p w14:paraId="54E31168">
            <w:pPr>
              <w:snapToGrid w:val="0"/>
              <w:spacing w:line="360" w:lineRule="auto"/>
              <w:jc w:val="center"/>
              <w:rPr>
                <w:rFonts w:ascii="仿宋" w:hAnsi="仿宋" w:eastAsia="仿宋" w:cs="仿宋"/>
                <w:sz w:val="24"/>
              </w:rPr>
            </w:pPr>
            <w:r>
              <w:rPr>
                <w:rFonts w:hint="eastAsia" w:ascii="仿宋" w:hAnsi="仿宋" w:eastAsia="仿宋" w:cs="仿宋"/>
                <w:sz w:val="24"/>
              </w:rPr>
              <w:t>热线服务、安全远程服务、现场服务</w:t>
            </w:r>
          </w:p>
        </w:tc>
        <w:tc>
          <w:tcPr>
            <w:tcW w:w="692" w:type="pct"/>
            <w:tcMar>
              <w:top w:w="60" w:type="dxa"/>
              <w:left w:w="120" w:type="dxa"/>
              <w:bottom w:w="30" w:type="dxa"/>
              <w:right w:w="120" w:type="dxa"/>
            </w:tcMar>
            <w:vAlign w:val="center"/>
          </w:tcPr>
          <w:p w14:paraId="22F911F3">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 1 次全量巡检，每季度至少 1 次性能优化，每年至少 2 次备份恢复演练</w:t>
            </w:r>
          </w:p>
        </w:tc>
      </w:tr>
      <w:tr w14:paraId="5708E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2" w:type="pct"/>
            <w:tcMar>
              <w:top w:w="60" w:type="dxa"/>
              <w:left w:w="120" w:type="dxa"/>
              <w:bottom w:w="30" w:type="dxa"/>
              <w:right w:w="120" w:type="dxa"/>
            </w:tcMar>
            <w:vAlign w:val="center"/>
          </w:tcPr>
          <w:p w14:paraId="43886E82">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691" w:type="pct"/>
            <w:tcMar>
              <w:top w:w="60" w:type="dxa"/>
              <w:left w:w="120" w:type="dxa"/>
              <w:bottom w:w="30" w:type="dxa"/>
              <w:right w:w="120" w:type="dxa"/>
            </w:tcMar>
            <w:vAlign w:val="center"/>
          </w:tcPr>
          <w:p w14:paraId="1568EC5E">
            <w:pPr>
              <w:snapToGrid w:val="0"/>
              <w:spacing w:line="360" w:lineRule="auto"/>
              <w:jc w:val="center"/>
              <w:rPr>
                <w:rFonts w:ascii="仿宋" w:hAnsi="仿宋" w:eastAsia="仿宋" w:cs="仿宋"/>
                <w:sz w:val="24"/>
              </w:rPr>
            </w:pPr>
            <w:r>
              <w:rPr>
                <w:rFonts w:hint="eastAsia" w:ascii="仿宋" w:hAnsi="仿宋" w:eastAsia="仿宋" w:cs="仿宋"/>
                <w:sz w:val="24"/>
              </w:rPr>
              <w:t>信息系统升级更新服务</w:t>
            </w:r>
          </w:p>
        </w:tc>
        <w:tc>
          <w:tcPr>
            <w:tcW w:w="2461" w:type="pct"/>
            <w:tcMar>
              <w:top w:w="60" w:type="dxa"/>
              <w:left w:w="120" w:type="dxa"/>
              <w:bottom w:w="30" w:type="dxa"/>
              <w:right w:w="120" w:type="dxa"/>
            </w:tcMar>
            <w:vAlign w:val="center"/>
          </w:tcPr>
          <w:p w14:paraId="76F6E66F">
            <w:pPr>
              <w:snapToGrid w:val="0"/>
              <w:spacing w:line="360" w:lineRule="auto"/>
              <w:rPr>
                <w:rFonts w:ascii="仿宋" w:hAnsi="仿宋" w:eastAsia="仿宋" w:cs="仿宋"/>
                <w:sz w:val="24"/>
              </w:rPr>
            </w:pPr>
            <w:r>
              <w:rPr>
                <w:rFonts w:hint="eastAsia" w:ascii="仿宋" w:hAnsi="仿宋" w:eastAsia="仿宋" w:cs="仿宋"/>
                <w:sz w:val="24"/>
              </w:rPr>
              <w:t>1. 依据国家、省、市卫健、纪检、网信等部门政策变更，免费、及时完成系统合规性适配与更新；</w:t>
            </w:r>
          </w:p>
          <w:p w14:paraId="534B9254">
            <w:pPr>
              <w:snapToGrid w:val="0"/>
              <w:spacing w:line="360" w:lineRule="auto"/>
              <w:rPr>
                <w:rFonts w:ascii="仿宋" w:hAnsi="仿宋" w:eastAsia="仿宋" w:cs="仿宋"/>
                <w:sz w:val="24"/>
              </w:rPr>
            </w:pPr>
            <w:r>
              <w:rPr>
                <w:rFonts w:hint="eastAsia" w:ascii="仿宋" w:hAnsi="仿宋" w:eastAsia="仿宋" w:cs="仿宋"/>
                <w:sz w:val="24"/>
              </w:rPr>
              <w:t>2. 提供系统同版本内免费升级、功能优化服务；</w:t>
            </w:r>
          </w:p>
          <w:p w14:paraId="73B76A6C">
            <w:pPr>
              <w:snapToGrid w:val="0"/>
              <w:spacing w:line="360" w:lineRule="auto"/>
              <w:rPr>
                <w:rFonts w:ascii="仿宋" w:hAnsi="仿宋" w:eastAsia="仿宋" w:cs="仿宋"/>
                <w:sz w:val="24"/>
              </w:rPr>
            </w:pPr>
            <w:r>
              <w:rPr>
                <w:rFonts w:hint="eastAsia" w:ascii="仿宋" w:hAnsi="仿宋" w:eastAsia="仿宋" w:cs="仿宋"/>
                <w:sz w:val="24"/>
              </w:rPr>
              <w:t>3. 定期完成系统安全补丁、漏洞修复包安装调试，每月完成高危漏洞排查修复。</w:t>
            </w:r>
          </w:p>
        </w:tc>
        <w:tc>
          <w:tcPr>
            <w:tcW w:w="692" w:type="pct"/>
            <w:tcMar>
              <w:top w:w="60" w:type="dxa"/>
              <w:left w:w="120" w:type="dxa"/>
              <w:bottom w:w="30" w:type="dxa"/>
              <w:right w:w="120" w:type="dxa"/>
            </w:tcMar>
            <w:vAlign w:val="center"/>
          </w:tcPr>
          <w:p w14:paraId="2B8901B7">
            <w:pPr>
              <w:snapToGrid w:val="0"/>
              <w:spacing w:line="360" w:lineRule="auto"/>
              <w:jc w:val="center"/>
              <w:rPr>
                <w:rFonts w:ascii="仿宋" w:hAnsi="仿宋" w:eastAsia="仿宋" w:cs="仿宋"/>
                <w:sz w:val="24"/>
              </w:rPr>
            </w:pPr>
            <w:r>
              <w:rPr>
                <w:rFonts w:hint="eastAsia" w:ascii="仿宋" w:hAnsi="仿宋" w:eastAsia="仿宋" w:cs="仿宋"/>
                <w:sz w:val="24"/>
              </w:rPr>
              <w:t>现场服务为主、远程辅助</w:t>
            </w:r>
          </w:p>
        </w:tc>
        <w:tc>
          <w:tcPr>
            <w:tcW w:w="692" w:type="pct"/>
            <w:tcMar>
              <w:top w:w="60" w:type="dxa"/>
              <w:left w:w="120" w:type="dxa"/>
              <w:bottom w:w="30" w:type="dxa"/>
              <w:right w:w="120" w:type="dxa"/>
            </w:tcMar>
            <w:vAlign w:val="center"/>
          </w:tcPr>
          <w:p w14:paraId="12063DB0">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 1 次安全补丁更新，政策变更后 10 个工作日内完成合规适配</w:t>
            </w:r>
          </w:p>
        </w:tc>
      </w:tr>
      <w:tr w14:paraId="05F6E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2" w:type="pct"/>
            <w:tcMar>
              <w:top w:w="60" w:type="dxa"/>
              <w:left w:w="120" w:type="dxa"/>
              <w:bottom w:w="30" w:type="dxa"/>
              <w:right w:w="120" w:type="dxa"/>
            </w:tcMar>
            <w:vAlign w:val="center"/>
          </w:tcPr>
          <w:p w14:paraId="6548370B">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691" w:type="pct"/>
            <w:tcMar>
              <w:top w:w="60" w:type="dxa"/>
              <w:left w:w="120" w:type="dxa"/>
              <w:bottom w:w="30" w:type="dxa"/>
              <w:right w:w="120" w:type="dxa"/>
            </w:tcMar>
            <w:vAlign w:val="center"/>
          </w:tcPr>
          <w:p w14:paraId="702DB866">
            <w:pPr>
              <w:snapToGrid w:val="0"/>
              <w:spacing w:line="360" w:lineRule="auto"/>
              <w:jc w:val="center"/>
              <w:rPr>
                <w:rFonts w:ascii="仿宋" w:hAnsi="仿宋" w:eastAsia="仿宋" w:cs="仿宋"/>
                <w:sz w:val="24"/>
              </w:rPr>
            </w:pPr>
            <w:r>
              <w:rPr>
                <w:rFonts w:hint="eastAsia" w:ascii="仿宋" w:hAnsi="仿宋" w:eastAsia="仿宋" w:cs="仿宋"/>
                <w:sz w:val="24"/>
              </w:rPr>
              <w:t>防统方系统专项更新服务</w:t>
            </w:r>
          </w:p>
        </w:tc>
        <w:tc>
          <w:tcPr>
            <w:tcW w:w="2461" w:type="pct"/>
            <w:tcMar>
              <w:top w:w="60" w:type="dxa"/>
              <w:left w:w="120" w:type="dxa"/>
              <w:bottom w:w="30" w:type="dxa"/>
              <w:right w:w="120" w:type="dxa"/>
            </w:tcMar>
            <w:vAlign w:val="center"/>
          </w:tcPr>
          <w:p w14:paraId="7C0B58F9">
            <w:pPr>
              <w:snapToGrid w:val="0"/>
              <w:spacing w:line="360" w:lineRule="auto"/>
              <w:rPr>
                <w:rFonts w:ascii="仿宋" w:hAnsi="仿宋" w:eastAsia="仿宋" w:cs="仿宋"/>
                <w:sz w:val="24"/>
              </w:rPr>
            </w:pPr>
            <w:r>
              <w:rPr>
                <w:rFonts w:hint="eastAsia" w:ascii="仿宋" w:hAnsi="仿宋" w:eastAsia="仿宋" w:cs="仿宋"/>
                <w:sz w:val="24"/>
              </w:rPr>
              <w:t>1. 严格依据陕西省卫健委相关文件要求完成系统升级；</w:t>
            </w:r>
          </w:p>
          <w:p w14:paraId="139889BE">
            <w:pPr>
              <w:snapToGrid w:val="0"/>
              <w:spacing w:line="360" w:lineRule="auto"/>
              <w:rPr>
                <w:rFonts w:ascii="仿宋" w:hAnsi="仿宋" w:eastAsia="仿宋" w:cs="仿宋"/>
                <w:sz w:val="24"/>
              </w:rPr>
            </w:pPr>
            <w:r>
              <w:rPr>
                <w:rFonts w:hint="eastAsia" w:ascii="仿宋" w:hAnsi="仿宋" w:eastAsia="仿宋" w:cs="仿宋"/>
                <w:sz w:val="24"/>
              </w:rPr>
              <w:t>2. 实现审计报告自动生成、自然语言翻译、权限分离、自我学习、加密传输、双密码、操作审计、故障排查、配置导入导出、应用层追踪、旁路部署、对象定位、白名单、自定义规则、核心数据监控、多层审计、B/S 架构、数据包解析、远程操作记录、可疑数据回放、接口预留等全部要求功能。</w:t>
            </w:r>
          </w:p>
        </w:tc>
        <w:tc>
          <w:tcPr>
            <w:tcW w:w="692" w:type="pct"/>
            <w:tcMar>
              <w:top w:w="60" w:type="dxa"/>
              <w:left w:w="120" w:type="dxa"/>
              <w:bottom w:w="30" w:type="dxa"/>
              <w:right w:w="120" w:type="dxa"/>
            </w:tcMar>
            <w:vAlign w:val="center"/>
          </w:tcPr>
          <w:p w14:paraId="371B0673">
            <w:pPr>
              <w:snapToGrid w:val="0"/>
              <w:spacing w:line="360" w:lineRule="auto"/>
              <w:jc w:val="center"/>
              <w:rPr>
                <w:rFonts w:ascii="仿宋" w:hAnsi="仿宋" w:eastAsia="仿宋" w:cs="仿宋"/>
                <w:sz w:val="24"/>
              </w:rPr>
            </w:pPr>
            <w:r>
              <w:rPr>
                <w:rFonts w:hint="eastAsia" w:ascii="仿宋" w:hAnsi="仿宋" w:eastAsia="仿宋" w:cs="仿宋"/>
                <w:sz w:val="24"/>
              </w:rPr>
              <w:t>现场服务</w:t>
            </w:r>
          </w:p>
        </w:tc>
        <w:tc>
          <w:tcPr>
            <w:tcW w:w="692" w:type="pct"/>
            <w:tcMar>
              <w:top w:w="60" w:type="dxa"/>
              <w:left w:w="120" w:type="dxa"/>
              <w:bottom w:w="30" w:type="dxa"/>
              <w:right w:w="120" w:type="dxa"/>
            </w:tcMar>
            <w:vAlign w:val="center"/>
          </w:tcPr>
          <w:p w14:paraId="44D0A4F6">
            <w:pPr>
              <w:snapToGrid w:val="0"/>
              <w:spacing w:line="360" w:lineRule="auto"/>
              <w:jc w:val="center"/>
              <w:rPr>
                <w:rFonts w:ascii="仿宋" w:hAnsi="仿宋" w:eastAsia="仿宋" w:cs="仿宋"/>
                <w:sz w:val="24"/>
              </w:rPr>
            </w:pPr>
            <w:r>
              <w:rPr>
                <w:rFonts w:hint="eastAsia" w:ascii="仿宋" w:hAnsi="仿宋" w:eastAsia="仿宋" w:cs="仿宋"/>
                <w:sz w:val="24"/>
              </w:rPr>
              <w:t>不限次数</w:t>
            </w:r>
          </w:p>
        </w:tc>
      </w:tr>
      <w:tr w14:paraId="70ACF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2" w:type="pct"/>
            <w:tcMar>
              <w:top w:w="60" w:type="dxa"/>
              <w:left w:w="120" w:type="dxa"/>
              <w:bottom w:w="30" w:type="dxa"/>
              <w:right w:w="120" w:type="dxa"/>
            </w:tcMar>
            <w:vAlign w:val="center"/>
          </w:tcPr>
          <w:p w14:paraId="097D9B55">
            <w:pPr>
              <w:snapToGrid w:val="0"/>
              <w:spacing w:line="360" w:lineRule="auto"/>
              <w:jc w:val="center"/>
              <w:rPr>
                <w:rFonts w:ascii="仿宋" w:hAnsi="仿宋" w:eastAsia="仿宋" w:cs="仿宋"/>
                <w:sz w:val="24"/>
              </w:rPr>
            </w:pPr>
            <w:r>
              <w:rPr>
                <w:rFonts w:hint="eastAsia" w:ascii="仿宋" w:hAnsi="仿宋" w:eastAsia="仿宋" w:cs="仿宋"/>
                <w:sz w:val="24"/>
              </w:rPr>
              <w:t>5</w:t>
            </w:r>
          </w:p>
        </w:tc>
        <w:tc>
          <w:tcPr>
            <w:tcW w:w="691" w:type="pct"/>
            <w:tcMar>
              <w:top w:w="60" w:type="dxa"/>
              <w:left w:w="120" w:type="dxa"/>
              <w:bottom w:w="30" w:type="dxa"/>
              <w:right w:w="120" w:type="dxa"/>
            </w:tcMar>
            <w:vAlign w:val="center"/>
          </w:tcPr>
          <w:p w14:paraId="3424C131">
            <w:pPr>
              <w:snapToGrid w:val="0"/>
              <w:spacing w:line="360" w:lineRule="auto"/>
              <w:jc w:val="center"/>
              <w:rPr>
                <w:rFonts w:ascii="仿宋" w:hAnsi="仿宋" w:eastAsia="仿宋" w:cs="仿宋"/>
                <w:sz w:val="24"/>
              </w:rPr>
            </w:pPr>
            <w:r>
              <w:rPr>
                <w:rFonts w:hint="eastAsia" w:ascii="仿宋" w:hAnsi="仿宋" w:eastAsia="仿宋" w:cs="仿宋"/>
                <w:sz w:val="24"/>
              </w:rPr>
              <w:t>网络安全与数据安全服务</w:t>
            </w:r>
          </w:p>
        </w:tc>
        <w:tc>
          <w:tcPr>
            <w:tcW w:w="2461" w:type="pct"/>
            <w:tcMar>
              <w:top w:w="60" w:type="dxa"/>
              <w:left w:w="120" w:type="dxa"/>
              <w:bottom w:w="30" w:type="dxa"/>
              <w:right w:w="120" w:type="dxa"/>
            </w:tcMar>
            <w:vAlign w:val="center"/>
          </w:tcPr>
          <w:p w14:paraId="0D2779FE">
            <w:pPr>
              <w:snapToGrid w:val="0"/>
              <w:spacing w:line="360" w:lineRule="auto"/>
              <w:rPr>
                <w:rFonts w:ascii="仿宋" w:hAnsi="仿宋" w:eastAsia="仿宋" w:cs="仿宋"/>
                <w:sz w:val="24"/>
              </w:rPr>
            </w:pPr>
            <w:r>
              <w:rPr>
                <w:rFonts w:hint="eastAsia" w:ascii="仿宋" w:hAnsi="仿宋" w:eastAsia="仿宋" w:cs="仿宋"/>
                <w:sz w:val="24"/>
              </w:rPr>
              <w:t>1. 严格按照《网络安全法》、《数据安全法》、《个人信息保护法》提供网络与数据安全服务；</w:t>
            </w:r>
          </w:p>
          <w:p w14:paraId="1D279650">
            <w:pPr>
              <w:snapToGrid w:val="0"/>
              <w:spacing w:line="360" w:lineRule="auto"/>
              <w:rPr>
                <w:rFonts w:ascii="仿宋" w:hAnsi="仿宋" w:eastAsia="仿宋" w:cs="仿宋"/>
                <w:sz w:val="24"/>
              </w:rPr>
            </w:pPr>
            <w:r>
              <w:rPr>
                <w:rFonts w:hint="eastAsia" w:ascii="仿宋" w:hAnsi="仿宋" w:eastAsia="仿宋" w:cs="仿宋"/>
                <w:sz w:val="24"/>
              </w:rPr>
              <w:t>2. 网络安全：漏洞修复、安全整改、风险排查、入侵防御；</w:t>
            </w:r>
          </w:p>
          <w:p w14:paraId="2372ED17">
            <w:pPr>
              <w:snapToGrid w:val="0"/>
              <w:spacing w:line="360" w:lineRule="auto"/>
              <w:rPr>
                <w:rFonts w:ascii="仿宋" w:hAnsi="仿宋" w:eastAsia="仿宋" w:cs="仿宋"/>
                <w:sz w:val="24"/>
              </w:rPr>
            </w:pPr>
            <w:r>
              <w:rPr>
                <w:rFonts w:hint="eastAsia" w:ascii="仿宋" w:hAnsi="仿宋" w:eastAsia="仿宋" w:cs="仿宋"/>
                <w:sz w:val="24"/>
              </w:rPr>
              <w:t>3. 数据安全：数据加密、备份恢复、数据库审计、廉政数据全生命周期保护；</w:t>
            </w:r>
          </w:p>
          <w:p w14:paraId="55FC5E0E">
            <w:pPr>
              <w:snapToGrid w:val="0"/>
              <w:spacing w:line="360" w:lineRule="auto"/>
              <w:rPr>
                <w:rFonts w:ascii="仿宋" w:hAnsi="仿宋" w:eastAsia="仿宋" w:cs="仿宋"/>
                <w:sz w:val="24"/>
              </w:rPr>
            </w:pPr>
            <w:r>
              <w:rPr>
                <w:rFonts w:hint="eastAsia" w:ascii="仿宋" w:hAnsi="仿宋" w:eastAsia="仿宋" w:cs="仿宋"/>
                <w:sz w:val="24"/>
              </w:rPr>
              <w:t>4. 配合完成等保测评、数据安全检查、廉政监管专项检查。</w:t>
            </w:r>
          </w:p>
        </w:tc>
        <w:tc>
          <w:tcPr>
            <w:tcW w:w="692" w:type="pct"/>
            <w:tcMar>
              <w:top w:w="60" w:type="dxa"/>
              <w:left w:w="120" w:type="dxa"/>
              <w:bottom w:w="30" w:type="dxa"/>
              <w:right w:w="120" w:type="dxa"/>
            </w:tcMar>
            <w:vAlign w:val="center"/>
          </w:tcPr>
          <w:p w14:paraId="6E770EB5">
            <w:pPr>
              <w:snapToGrid w:val="0"/>
              <w:spacing w:line="360" w:lineRule="auto"/>
              <w:jc w:val="center"/>
              <w:rPr>
                <w:rFonts w:ascii="仿宋" w:hAnsi="仿宋" w:eastAsia="仿宋" w:cs="仿宋"/>
                <w:sz w:val="24"/>
              </w:rPr>
            </w:pPr>
            <w:r>
              <w:rPr>
                <w:rFonts w:hint="eastAsia" w:ascii="仿宋" w:hAnsi="仿宋" w:eastAsia="仿宋" w:cs="仿宋"/>
                <w:sz w:val="24"/>
              </w:rPr>
              <w:t>远程服务、现场服务</w:t>
            </w:r>
          </w:p>
        </w:tc>
        <w:tc>
          <w:tcPr>
            <w:tcW w:w="692" w:type="pct"/>
            <w:tcMar>
              <w:top w:w="60" w:type="dxa"/>
              <w:left w:w="120" w:type="dxa"/>
              <w:bottom w:w="30" w:type="dxa"/>
              <w:right w:w="120" w:type="dxa"/>
            </w:tcMar>
            <w:vAlign w:val="center"/>
          </w:tcPr>
          <w:p w14:paraId="4A112215">
            <w:pPr>
              <w:snapToGrid w:val="0"/>
              <w:spacing w:line="360" w:lineRule="auto"/>
              <w:jc w:val="center"/>
              <w:rPr>
                <w:rFonts w:ascii="仿宋" w:hAnsi="仿宋" w:eastAsia="仿宋" w:cs="仿宋"/>
                <w:sz w:val="24"/>
              </w:rPr>
            </w:pPr>
            <w:r>
              <w:rPr>
                <w:rFonts w:hint="eastAsia" w:ascii="仿宋" w:hAnsi="仿宋" w:eastAsia="仿宋" w:cs="仿宋"/>
                <w:sz w:val="24"/>
              </w:rPr>
              <w:t>不限次数，每月至少 1 次安全风险排查</w:t>
            </w:r>
          </w:p>
        </w:tc>
      </w:tr>
      <w:tr w14:paraId="5307A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2" w:type="pct"/>
            <w:tcMar>
              <w:top w:w="60" w:type="dxa"/>
              <w:left w:w="120" w:type="dxa"/>
              <w:bottom w:w="30" w:type="dxa"/>
              <w:right w:w="120" w:type="dxa"/>
            </w:tcMar>
            <w:vAlign w:val="center"/>
          </w:tcPr>
          <w:p w14:paraId="229FBBD9">
            <w:pPr>
              <w:snapToGrid w:val="0"/>
              <w:spacing w:line="360" w:lineRule="auto"/>
              <w:jc w:val="center"/>
              <w:rPr>
                <w:rFonts w:ascii="仿宋" w:hAnsi="仿宋" w:eastAsia="仿宋" w:cs="仿宋"/>
                <w:sz w:val="24"/>
              </w:rPr>
            </w:pPr>
            <w:r>
              <w:rPr>
                <w:rFonts w:hint="eastAsia" w:ascii="仿宋" w:hAnsi="仿宋" w:eastAsia="仿宋" w:cs="仿宋"/>
                <w:sz w:val="24"/>
              </w:rPr>
              <w:t>6</w:t>
            </w:r>
          </w:p>
        </w:tc>
        <w:tc>
          <w:tcPr>
            <w:tcW w:w="691" w:type="pct"/>
            <w:tcMar>
              <w:top w:w="60" w:type="dxa"/>
              <w:left w:w="120" w:type="dxa"/>
              <w:bottom w:w="30" w:type="dxa"/>
              <w:right w:w="120" w:type="dxa"/>
            </w:tcMar>
            <w:vAlign w:val="center"/>
          </w:tcPr>
          <w:p w14:paraId="3C4D11BE">
            <w:pPr>
              <w:snapToGrid w:val="0"/>
              <w:spacing w:line="360" w:lineRule="auto"/>
              <w:jc w:val="center"/>
              <w:rPr>
                <w:rFonts w:ascii="仿宋" w:hAnsi="仿宋" w:eastAsia="仿宋" w:cs="仿宋"/>
                <w:sz w:val="24"/>
              </w:rPr>
            </w:pPr>
            <w:r>
              <w:rPr>
                <w:rFonts w:hint="eastAsia" w:ascii="仿宋" w:hAnsi="仿宋" w:eastAsia="仿宋" w:cs="仿宋"/>
                <w:sz w:val="24"/>
              </w:rPr>
              <w:t>人员培训服务</w:t>
            </w:r>
          </w:p>
        </w:tc>
        <w:tc>
          <w:tcPr>
            <w:tcW w:w="2461" w:type="pct"/>
            <w:tcMar>
              <w:top w:w="60" w:type="dxa"/>
              <w:left w:w="120" w:type="dxa"/>
              <w:bottom w:w="30" w:type="dxa"/>
              <w:right w:w="120" w:type="dxa"/>
            </w:tcMar>
            <w:vAlign w:val="center"/>
          </w:tcPr>
          <w:p w14:paraId="680060CB">
            <w:pPr>
              <w:snapToGrid w:val="0"/>
              <w:spacing w:line="360" w:lineRule="auto"/>
              <w:rPr>
                <w:rFonts w:ascii="仿宋" w:hAnsi="仿宋" w:eastAsia="仿宋" w:cs="仿宋"/>
                <w:sz w:val="24"/>
              </w:rPr>
            </w:pPr>
            <w:r>
              <w:rPr>
                <w:rFonts w:hint="eastAsia" w:ascii="仿宋" w:hAnsi="仿宋" w:eastAsia="仿宋" w:cs="仿宋"/>
                <w:sz w:val="24"/>
              </w:rPr>
              <w:t>1. 针对管理岗、操作岗、信息科制定差异化培训计划与教材；</w:t>
            </w:r>
          </w:p>
          <w:p w14:paraId="17E6B835">
            <w:pPr>
              <w:snapToGrid w:val="0"/>
              <w:spacing w:line="360" w:lineRule="auto"/>
              <w:rPr>
                <w:rFonts w:ascii="仿宋" w:hAnsi="仿宋" w:eastAsia="仿宋" w:cs="仿宋"/>
                <w:sz w:val="24"/>
              </w:rPr>
            </w:pPr>
            <w:r>
              <w:rPr>
                <w:rFonts w:hint="eastAsia" w:ascii="仿宋" w:hAnsi="仿宋" w:eastAsia="仿宋" w:cs="仿宋"/>
                <w:sz w:val="24"/>
              </w:rPr>
              <w:t>2. 培训内容：系统操作、故障处置、廉政监管要求、数据安全、应急流程；</w:t>
            </w:r>
          </w:p>
          <w:p w14:paraId="5167AC67">
            <w:pPr>
              <w:snapToGrid w:val="0"/>
              <w:spacing w:line="360" w:lineRule="auto"/>
              <w:rPr>
                <w:rFonts w:ascii="仿宋" w:hAnsi="仿宋" w:eastAsia="仿宋" w:cs="仿宋"/>
                <w:sz w:val="24"/>
              </w:rPr>
            </w:pPr>
            <w:r>
              <w:rPr>
                <w:rFonts w:hint="eastAsia" w:ascii="仿宋" w:hAnsi="仿宋" w:eastAsia="仿宋" w:cs="仿宋"/>
                <w:sz w:val="24"/>
              </w:rPr>
              <w:t>3. 培训后组织考核；</w:t>
            </w:r>
          </w:p>
          <w:p w14:paraId="1B2CF300">
            <w:pPr>
              <w:snapToGrid w:val="0"/>
              <w:spacing w:line="360" w:lineRule="auto"/>
              <w:rPr>
                <w:rFonts w:ascii="仿宋" w:hAnsi="仿宋" w:eastAsia="仿宋" w:cs="仿宋"/>
                <w:sz w:val="24"/>
              </w:rPr>
            </w:pPr>
            <w:r>
              <w:rPr>
                <w:rFonts w:hint="eastAsia" w:ascii="仿宋" w:hAnsi="仿宋" w:eastAsia="仿宋" w:cs="仿宋"/>
                <w:sz w:val="24"/>
              </w:rPr>
              <w:t>4. 系统升级、政策调整后提供专项培训。</w:t>
            </w:r>
          </w:p>
        </w:tc>
        <w:tc>
          <w:tcPr>
            <w:tcW w:w="692" w:type="pct"/>
            <w:tcMar>
              <w:top w:w="60" w:type="dxa"/>
              <w:left w:w="120" w:type="dxa"/>
              <w:bottom w:w="30" w:type="dxa"/>
              <w:right w:w="120" w:type="dxa"/>
            </w:tcMar>
            <w:vAlign w:val="center"/>
          </w:tcPr>
          <w:p w14:paraId="489A1F5D">
            <w:pPr>
              <w:snapToGrid w:val="0"/>
              <w:spacing w:line="360" w:lineRule="auto"/>
              <w:jc w:val="center"/>
              <w:rPr>
                <w:rFonts w:ascii="仿宋" w:hAnsi="仿宋" w:eastAsia="仿宋" w:cs="仿宋"/>
                <w:sz w:val="24"/>
              </w:rPr>
            </w:pPr>
            <w:r>
              <w:rPr>
                <w:rFonts w:hint="eastAsia" w:ascii="仿宋" w:hAnsi="仿宋" w:eastAsia="仿宋" w:cs="仿宋"/>
                <w:sz w:val="24"/>
              </w:rPr>
              <w:t>现场培训、远程线上培训</w:t>
            </w:r>
          </w:p>
        </w:tc>
        <w:tc>
          <w:tcPr>
            <w:tcW w:w="692" w:type="pct"/>
            <w:tcMar>
              <w:top w:w="60" w:type="dxa"/>
              <w:left w:w="120" w:type="dxa"/>
              <w:bottom w:w="30" w:type="dxa"/>
              <w:right w:w="120" w:type="dxa"/>
            </w:tcMar>
            <w:vAlign w:val="center"/>
          </w:tcPr>
          <w:p w14:paraId="044AF4DA">
            <w:pPr>
              <w:snapToGrid w:val="0"/>
              <w:spacing w:line="360" w:lineRule="auto"/>
              <w:jc w:val="center"/>
              <w:rPr>
                <w:rFonts w:ascii="仿宋" w:hAnsi="仿宋" w:eastAsia="仿宋" w:cs="仿宋"/>
                <w:sz w:val="24"/>
              </w:rPr>
            </w:pPr>
            <w:r>
              <w:rPr>
                <w:rFonts w:hint="eastAsia" w:ascii="仿宋" w:hAnsi="仿宋" w:eastAsia="仿宋" w:cs="仿宋"/>
                <w:sz w:val="24"/>
              </w:rPr>
              <w:t>全年累计不少于 20 学时，集中培训不少于 2 次，专项培训不限</w:t>
            </w:r>
          </w:p>
        </w:tc>
      </w:tr>
      <w:tr w14:paraId="78B8D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2" w:type="pct"/>
            <w:tcMar>
              <w:top w:w="60" w:type="dxa"/>
              <w:left w:w="120" w:type="dxa"/>
              <w:bottom w:w="30" w:type="dxa"/>
              <w:right w:w="120" w:type="dxa"/>
            </w:tcMar>
            <w:vAlign w:val="center"/>
          </w:tcPr>
          <w:p w14:paraId="59391E5A">
            <w:pPr>
              <w:snapToGrid w:val="0"/>
              <w:spacing w:line="360" w:lineRule="auto"/>
              <w:jc w:val="center"/>
              <w:rPr>
                <w:rFonts w:ascii="仿宋" w:hAnsi="仿宋" w:eastAsia="仿宋" w:cs="仿宋"/>
                <w:sz w:val="24"/>
              </w:rPr>
            </w:pPr>
            <w:r>
              <w:rPr>
                <w:rFonts w:hint="eastAsia" w:ascii="仿宋" w:hAnsi="仿宋" w:eastAsia="仿宋" w:cs="仿宋"/>
                <w:sz w:val="24"/>
              </w:rPr>
              <w:t>7</w:t>
            </w:r>
          </w:p>
        </w:tc>
        <w:tc>
          <w:tcPr>
            <w:tcW w:w="691" w:type="pct"/>
            <w:tcMar>
              <w:top w:w="60" w:type="dxa"/>
              <w:left w:w="120" w:type="dxa"/>
              <w:bottom w:w="30" w:type="dxa"/>
              <w:right w:w="120" w:type="dxa"/>
            </w:tcMar>
            <w:vAlign w:val="center"/>
          </w:tcPr>
          <w:p w14:paraId="20614107">
            <w:pPr>
              <w:snapToGrid w:val="0"/>
              <w:spacing w:line="360" w:lineRule="auto"/>
              <w:jc w:val="center"/>
              <w:rPr>
                <w:rFonts w:ascii="仿宋" w:hAnsi="仿宋" w:eastAsia="仿宋" w:cs="仿宋"/>
                <w:sz w:val="24"/>
              </w:rPr>
            </w:pPr>
            <w:r>
              <w:rPr>
                <w:rFonts w:hint="eastAsia" w:ascii="仿宋" w:hAnsi="仿宋" w:eastAsia="仿宋" w:cs="仿宋"/>
                <w:sz w:val="24"/>
              </w:rPr>
              <w:t>应急保障服务</w:t>
            </w:r>
          </w:p>
        </w:tc>
        <w:tc>
          <w:tcPr>
            <w:tcW w:w="2461" w:type="pct"/>
            <w:tcMar>
              <w:top w:w="60" w:type="dxa"/>
              <w:left w:w="120" w:type="dxa"/>
              <w:bottom w:w="30" w:type="dxa"/>
              <w:right w:w="120" w:type="dxa"/>
            </w:tcMar>
            <w:vAlign w:val="center"/>
          </w:tcPr>
          <w:p w14:paraId="374C8A80">
            <w:pPr>
              <w:snapToGrid w:val="0"/>
              <w:spacing w:line="360" w:lineRule="auto"/>
              <w:rPr>
                <w:rFonts w:ascii="仿宋" w:hAnsi="仿宋" w:eastAsia="仿宋" w:cs="仿宋"/>
                <w:sz w:val="24"/>
              </w:rPr>
            </w:pPr>
            <w:r>
              <w:rPr>
                <w:rFonts w:hint="eastAsia" w:ascii="仿宋" w:hAnsi="仿宋" w:eastAsia="仿宋" w:cs="仿宋"/>
                <w:sz w:val="24"/>
              </w:rPr>
              <w:t>1. 针对系统瘫痪、数据泄露、网络攻击、防统方失效等制定专项应急预案；</w:t>
            </w:r>
          </w:p>
          <w:p w14:paraId="79804232">
            <w:pPr>
              <w:snapToGrid w:val="0"/>
              <w:spacing w:line="360" w:lineRule="auto"/>
              <w:rPr>
                <w:rFonts w:ascii="仿宋" w:hAnsi="仿宋" w:eastAsia="仿宋" w:cs="仿宋"/>
                <w:sz w:val="24"/>
              </w:rPr>
            </w:pPr>
            <w:r>
              <w:rPr>
                <w:rFonts w:hint="eastAsia" w:ascii="仿宋" w:hAnsi="仿宋" w:eastAsia="仿宋" w:cs="仿宋"/>
                <w:sz w:val="24"/>
              </w:rPr>
              <w:t>2. 每年联合开展不少于 2 次应急演练；</w:t>
            </w:r>
          </w:p>
          <w:p w14:paraId="1A04D25D">
            <w:pPr>
              <w:snapToGrid w:val="0"/>
              <w:spacing w:line="360" w:lineRule="auto"/>
              <w:rPr>
                <w:rFonts w:ascii="仿宋" w:hAnsi="仿宋" w:eastAsia="仿宋" w:cs="仿宋"/>
                <w:sz w:val="24"/>
              </w:rPr>
            </w:pPr>
            <w:r>
              <w:rPr>
                <w:rFonts w:hint="eastAsia" w:ascii="仿宋" w:hAnsi="仿宋" w:eastAsia="仿宋" w:cs="仿宋"/>
                <w:sz w:val="24"/>
              </w:rPr>
              <w:t>3. 重要检查、节假日等特殊时段提供驻场保障。</w:t>
            </w:r>
          </w:p>
        </w:tc>
        <w:tc>
          <w:tcPr>
            <w:tcW w:w="692" w:type="pct"/>
            <w:tcMar>
              <w:top w:w="60" w:type="dxa"/>
              <w:left w:w="120" w:type="dxa"/>
              <w:bottom w:w="30" w:type="dxa"/>
              <w:right w:w="120" w:type="dxa"/>
            </w:tcMar>
            <w:vAlign w:val="center"/>
          </w:tcPr>
          <w:p w14:paraId="2FC64AF0">
            <w:pPr>
              <w:snapToGrid w:val="0"/>
              <w:spacing w:line="360" w:lineRule="auto"/>
              <w:jc w:val="center"/>
              <w:rPr>
                <w:rFonts w:ascii="仿宋" w:hAnsi="仿宋" w:eastAsia="仿宋" w:cs="仿宋"/>
                <w:sz w:val="24"/>
              </w:rPr>
            </w:pPr>
            <w:r>
              <w:rPr>
                <w:rFonts w:hint="eastAsia" w:ascii="仿宋" w:hAnsi="仿宋" w:eastAsia="仿宋" w:cs="仿宋"/>
                <w:sz w:val="24"/>
              </w:rPr>
              <w:t>现场驻场服务、7×24 小时应急响应</w:t>
            </w:r>
          </w:p>
        </w:tc>
        <w:tc>
          <w:tcPr>
            <w:tcW w:w="692" w:type="pct"/>
            <w:tcMar>
              <w:top w:w="60" w:type="dxa"/>
              <w:left w:w="120" w:type="dxa"/>
              <w:bottom w:w="30" w:type="dxa"/>
              <w:right w:w="120" w:type="dxa"/>
            </w:tcMar>
            <w:vAlign w:val="center"/>
          </w:tcPr>
          <w:p w14:paraId="0124CFC4">
            <w:pPr>
              <w:snapToGrid w:val="0"/>
              <w:spacing w:line="360" w:lineRule="auto"/>
              <w:jc w:val="center"/>
              <w:rPr>
                <w:rFonts w:ascii="仿宋" w:hAnsi="仿宋" w:eastAsia="仿宋" w:cs="仿宋"/>
                <w:sz w:val="24"/>
              </w:rPr>
            </w:pPr>
            <w:r>
              <w:rPr>
                <w:rFonts w:hint="eastAsia" w:ascii="仿宋" w:hAnsi="仿宋" w:eastAsia="仿宋" w:cs="仿宋"/>
                <w:sz w:val="24"/>
              </w:rPr>
              <w:t>每年不少于 2 次应急演练，特殊时段按需驻场</w:t>
            </w:r>
          </w:p>
        </w:tc>
      </w:tr>
      <w:tr w14:paraId="79AEE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2" w:type="pct"/>
            <w:tcMar>
              <w:top w:w="60" w:type="dxa"/>
              <w:left w:w="120" w:type="dxa"/>
              <w:bottom w:w="30" w:type="dxa"/>
              <w:right w:w="120" w:type="dxa"/>
            </w:tcMar>
            <w:vAlign w:val="center"/>
          </w:tcPr>
          <w:p w14:paraId="67E67725">
            <w:pPr>
              <w:snapToGrid w:val="0"/>
              <w:spacing w:line="360" w:lineRule="auto"/>
              <w:jc w:val="center"/>
              <w:rPr>
                <w:rFonts w:ascii="仿宋" w:hAnsi="仿宋" w:eastAsia="仿宋" w:cs="仿宋"/>
                <w:sz w:val="24"/>
              </w:rPr>
            </w:pPr>
            <w:r>
              <w:rPr>
                <w:rFonts w:hint="eastAsia" w:ascii="仿宋" w:hAnsi="仿宋" w:eastAsia="仿宋" w:cs="仿宋"/>
                <w:sz w:val="24"/>
              </w:rPr>
              <w:t>8</w:t>
            </w:r>
          </w:p>
        </w:tc>
        <w:tc>
          <w:tcPr>
            <w:tcW w:w="691" w:type="pct"/>
            <w:tcMar>
              <w:top w:w="60" w:type="dxa"/>
              <w:left w:w="120" w:type="dxa"/>
              <w:bottom w:w="30" w:type="dxa"/>
              <w:right w:w="120" w:type="dxa"/>
            </w:tcMar>
            <w:vAlign w:val="center"/>
          </w:tcPr>
          <w:p w14:paraId="548C0268">
            <w:pPr>
              <w:snapToGrid w:val="0"/>
              <w:spacing w:line="360" w:lineRule="auto"/>
              <w:jc w:val="center"/>
              <w:rPr>
                <w:rFonts w:ascii="仿宋" w:hAnsi="仿宋" w:eastAsia="仿宋" w:cs="仿宋"/>
                <w:sz w:val="24"/>
              </w:rPr>
            </w:pPr>
            <w:r>
              <w:rPr>
                <w:rFonts w:hint="eastAsia" w:ascii="仿宋" w:hAnsi="仿宋" w:eastAsia="仿宋" w:cs="仿宋"/>
                <w:sz w:val="24"/>
              </w:rPr>
              <w:t>服务器端国产化替代专项技术服务</w:t>
            </w:r>
          </w:p>
        </w:tc>
        <w:tc>
          <w:tcPr>
            <w:tcW w:w="2461" w:type="pct"/>
            <w:tcMar>
              <w:top w:w="60" w:type="dxa"/>
              <w:left w:w="120" w:type="dxa"/>
              <w:bottom w:w="30" w:type="dxa"/>
              <w:right w:w="120" w:type="dxa"/>
            </w:tcMar>
            <w:vAlign w:val="center"/>
          </w:tcPr>
          <w:p w14:paraId="736AC033">
            <w:pPr>
              <w:snapToGrid w:val="0"/>
              <w:spacing w:line="360" w:lineRule="auto"/>
              <w:rPr>
                <w:rFonts w:ascii="仿宋" w:hAnsi="仿宋" w:eastAsia="仿宋" w:cs="仿宋"/>
                <w:sz w:val="24"/>
              </w:rPr>
            </w:pPr>
            <w:r>
              <w:rPr>
                <w:rFonts w:hint="eastAsia" w:ascii="仿宋" w:hAnsi="仿宋" w:eastAsia="仿宋" w:cs="仿宋"/>
                <w:sz w:val="24"/>
              </w:rPr>
              <w:t>1. 国产化适配前置评估：针对采购人服务器端国产化替代建设需求，完成现有《公立医院廉洁风险防控系统》、《防统方审计系统》全模块、全功能的国产化环境兼容性评估，覆盖国产服务器硬件、操作系统、数据库、中间件的全栈适配性分析，出具完整评估与实施方案；</w:t>
            </w:r>
          </w:p>
          <w:p w14:paraId="086E4795">
            <w:pPr>
              <w:snapToGrid w:val="0"/>
              <w:spacing w:line="360" w:lineRule="auto"/>
              <w:rPr>
                <w:rFonts w:ascii="仿宋" w:hAnsi="仿宋" w:eastAsia="仿宋" w:cs="仿宋"/>
                <w:sz w:val="24"/>
              </w:rPr>
            </w:pPr>
            <w:r>
              <w:rPr>
                <w:rFonts w:hint="eastAsia" w:ascii="仿宋" w:hAnsi="仿宋" w:eastAsia="仿宋" w:cs="仿宋"/>
                <w:sz w:val="24"/>
              </w:rPr>
              <w:t>2. 原厂级适配改造开发：针对评估发现的兼容性问题，提供系统源代码级的适配改造、功能优化、接口重构服务，确保系统在国产化服务器环境下全功能正常运行、业务流程无断点、数据交互无异常，同时保障系统与院内HIS、LIS、PACS、EMR等现有及新增信创/非信创系统的互联互通，适配改造后系统性能不低于原有非国产化环境水平；</w:t>
            </w:r>
          </w:p>
          <w:p w14:paraId="5F20A5E2">
            <w:pPr>
              <w:snapToGrid w:val="0"/>
              <w:spacing w:line="360" w:lineRule="auto"/>
              <w:rPr>
                <w:rFonts w:ascii="仿宋" w:hAnsi="仿宋" w:eastAsia="仿宋" w:cs="仿宋"/>
                <w:sz w:val="24"/>
              </w:rPr>
            </w:pPr>
            <w:r>
              <w:rPr>
                <w:rFonts w:hint="eastAsia" w:ascii="仿宋" w:hAnsi="仿宋" w:eastAsia="仿宋" w:cs="仿宋"/>
                <w:sz w:val="24"/>
              </w:rPr>
              <w:t>3. 国产化迁移与割接实施：配合采购人完成国产化测试环境搭建、全量功能测试、压力测试、兼容性测试、安全测试，制定分阶段、零风险的业务割接方案，割接操作安排在非业务高峰时段（夜间、节假日），全程派驻技术人员现场值守，保障迁移过程医疗数据零丢失、零泄露、零篡改，业务中断时长符合医院医疗安全管理要求，如出现异常立即启动回滚预案，保障业务连续性；</w:t>
            </w:r>
          </w:p>
          <w:p w14:paraId="551131F0">
            <w:pPr>
              <w:snapToGrid w:val="0"/>
              <w:spacing w:line="360" w:lineRule="auto"/>
              <w:rPr>
                <w:rFonts w:ascii="仿宋" w:hAnsi="仿宋" w:eastAsia="仿宋" w:cs="仿宋"/>
                <w:sz w:val="24"/>
              </w:rPr>
            </w:pPr>
            <w:r>
              <w:rPr>
                <w:rFonts w:hint="eastAsia" w:ascii="仿宋" w:hAnsi="仿宋" w:eastAsia="仿宋" w:cs="仿宋"/>
                <w:sz w:val="24"/>
              </w:rPr>
              <w:t>4. 国产化环境专项运维保障：系统迁移至国产化服务器环境后，提供专属专项运维服务，包括国产化环境下系统日常巡检、性能优化、故障排查处置、安全补丁适配、漏洞修复、合规性升级，建立国产化环境专属运维台账，针对国产化平台特性优化运维流程，保障系统在国产化服务器环境下持续稳定运行；</w:t>
            </w:r>
          </w:p>
          <w:p w14:paraId="552F0E6F">
            <w:pPr>
              <w:snapToGrid w:val="0"/>
              <w:spacing w:line="360" w:lineRule="auto"/>
              <w:rPr>
                <w:rFonts w:ascii="仿宋" w:hAnsi="仿宋" w:eastAsia="仿宋" w:cs="仿宋"/>
                <w:sz w:val="24"/>
              </w:rPr>
            </w:pPr>
            <w:r>
              <w:rPr>
                <w:rFonts w:hint="eastAsia" w:ascii="仿宋" w:hAnsi="仿宋" w:eastAsia="仿宋" w:cs="仿宋"/>
                <w:sz w:val="24"/>
              </w:rPr>
              <w:t>5. 合规适配与测评支撑：配合采购人完成信创建设合规验收、网络安全等级保护测评、医院信息互联互通标准化成熟度测评等相关工作，提供系统国产化适配证明、测试报告、技术支撑及整改服务，确保系统符合国家及地方交通、卫健、网信部门关于医疗信息化信创建设的最新政策要求；</w:t>
            </w:r>
          </w:p>
          <w:p w14:paraId="73D699D0">
            <w:pPr>
              <w:snapToGrid w:val="0"/>
              <w:spacing w:line="360" w:lineRule="auto"/>
              <w:rPr>
                <w:rFonts w:ascii="仿宋" w:hAnsi="仿宋" w:eastAsia="仿宋" w:cs="仿宋"/>
                <w:sz w:val="24"/>
              </w:rPr>
            </w:pPr>
            <w:r>
              <w:rPr>
                <w:rFonts w:hint="eastAsia" w:ascii="仿宋" w:hAnsi="仿宋" w:eastAsia="仿宋" w:cs="仿宋"/>
                <w:sz w:val="24"/>
              </w:rPr>
              <w:t>6. 国产化专项培训：针对国产化服务器环境下的系统运维、操作使用、故障应急处置，为采购人信息科技术人员、医护操作岗、管理岗人员提供专项定制化培训，编制专属培训教材，确保参训人员掌握对应技能。</w:t>
            </w:r>
          </w:p>
        </w:tc>
        <w:tc>
          <w:tcPr>
            <w:tcW w:w="692" w:type="pct"/>
            <w:tcMar>
              <w:top w:w="60" w:type="dxa"/>
              <w:left w:w="120" w:type="dxa"/>
              <w:bottom w:w="30" w:type="dxa"/>
              <w:right w:w="120" w:type="dxa"/>
            </w:tcMar>
            <w:vAlign w:val="center"/>
          </w:tcPr>
          <w:p w14:paraId="444E5871">
            <w:pPr>
              <w:snapToGrid w:val="0"/>
              <w:spacing w:line="360" w:lineRule="auto"/>
              <w:jc w:val="center"/>
              <w:rPr>
                <w:rFonts w:ascii="仿宋" w:hAnsi="仿宋" w:eastAsia="仿宋" w:cs="仿宋"/>
                <w:sz w:val="24"/>
              </w:rPr>
            </w:pPr>
            <w:r>
              <w:rPr>
                <w:rFonts w:hint="eastAsia" w:ascii="仿宋" w:hAnsi="仿宋" w:eastAsia="仿宋" w:cs="仿宋"/>
                <w:sz w:val="24"/>
              </w:rPr>
              <w:t>现场服务为主，远程辅助服务，专项驻场服务</w:t>
            </w:r>
          </w:p>
        </w:tc>
        <w:tc>
          <w:tcPr>
            <w:tcW w:w="692" w:type="pct"/>
            <w:tcMar>
              <w:top w:w="60" w:type="dxa"/>
              <w:left w:w="120" w:type="dxa"/>
              <w:bottom w:w="30" w:type="dxa"/>
              <w:right w:w="120" w:type="dxa"/>
            </w:tcMar>
            <w:vAlign w:val="center"/>
          </w:tcPr>
          <w:p w14:paraId="5194AD8D">
            <w:pPr>
              <w:snapToGrid w:val="0"/>
              <w:spacing w:line="360" w:lineRule="auto"/>
              <w:jc w:val="center"/>
              <w:rPr>
                <w:rFonts w:ascii="仿宋" w:hAnsi="仿宋" w:eastAsia="仿宋" w:cs="仿宋"/>
                <w:sz w:val="24"/>
              </w:rPr>
            </w:pPr>
            <w:r>
              <w:rPr>
                <w:rFonts w:hint="eastAsia" w:ascii="仿宋" w:hAnsi="仿宋" w:eastAsia="仿宋" w:cs="仿宋"/>
                <w:sz w:val="24"/>
              </w:rPr>
              <w:t>按需提供全流程服务，服务期内不限响应次数；迁移完成后每月至少1次国产化环境专项巡检，每季度至少1次性能优化</w:t>
            </w:r>
          </w:p>
        </w:tc>
      </w:tr>
      <w:tr w14:paraId="56CB7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62" w:type="pct"/>
            <w:tcMar>
              <w:top w:w="60" w:type="dxa"/>
              <w:left w:w="120" w:type="dxa"/>
              <w:bottom w:w="30" w:type="dxa"/>
              <w:right w:w="120" w:type="dxa"/>
            </w:tcMar>
            <w:vAlign w:val="center"/>
          </w:tcPr>
          <w:p w14:paraId="23A1DCB7">
            <w:pPr>
              <w:snapToGrid w:val="0"/>
              <w:spacing w:line="360" w:lineRule="auto"/>
              <w:jc w:val="center"/>
              <w:rPr>
                <w:rFonts w:ascii="仿宋" w:hAnsi="仿宋" w:eastAsia="仿宋" w:cs="仿宋"/>
                <w:sz w:val="24"/>
              </w:rPr>
            </w:pPr>
            <w:r>
              <w:rPr>
                <w:rFonts w:hint="eastAsia" w:ascii="仿宋" w:hAnsi="仿宋" w:eastAsia="仿宋" w:cs="仿宋"/>
                <w:sz w:val="24"/>
              </w:rPr>
              <w:t>9</w:t>
            </w:r>
          </w:p>
        </w:tc>
        <w:tc>
          <w:tcPr>
            <w:tcW w:w="691" w:type="pct"/>
            <w:tcMar>
              <w:top w:w="60" w:type="dxa"/>
              <w:left w:w="120" w:type="dxa"/>
              <w:bottom w:w="30" w:type="dxa"/>
              <w:right w:w="120" w:type="dxa"/>
            </w:tcMar>
            <w:vAlign w:val="center"/>
          </w:tcPr>
          <w:p w14:paraId="1F98C28B">
            <w:pPr>
              <w:snapToGrid w:val="0"/>
              <w:spacing w:line="360" w:lineRule="auto"/>
              <w:jc w:val="center"/>
              <w:rPr>
                <w:rFonts w:ascii="仿宋" w:hAnsi="仿宋" w:eastAsia="仿宋" w:cs="仿宋"/>
                <w:sz w:val="24"/>
              </w:rPr>
            </w:pPr>
            <w:r>
              <w:rPr>
                <w:rFonts w:hint="eastAsia" w:ascii="仿宋" w:hAnsi="仿宋" w:eastAsia="仿宋" w:cs="仿宋"/>
                <w:sz w:val="24"/>
              </w:rPr>
              <w:t>运维报告服务</w:t>
            </w:r>
          </w:p>
        </w:tc>
        <w:tc>
          <w:tcPr>
            <w:tcW w:w="2461" w:type="pct"/>
            <w:tcMar>
              <w:top w:w="60" w:type="dxa"/>
              <w:left w:w="120" w:type="dxa"/>
              <w:bottom w:w="30" w:type="dxa"/>
              <w:right w:w="120" w:type="dxa"/>
            </w:tcMar>
            <w:vAlign w:val="center"/>
          </w:tcPr>
          <w:p w14:paraId="7738316D">
            <w:pPr>
              <w:snapToGrid w:val="0"/>
              <w:spacing w:line="360" w:lineRule="auto"/>
              <w:rPr>
                <w:rFonts w:ascii="仿宋" w:hAnsi="仿宋" w:eastAsia="仿宋" w:cs="仿宋"/>
                <w:sz w:val="24"/>
              </w:rPr>
            </w:pPr>
            <w:r>
              <w:rPr>
                <w:rFonts w:hint="eastAsia" w:ascii="仿宋" w:hAnsi="仿宋" w:eastAsia="仿宋" w:cs="仿宋"/>
                <w:sz w:val="24"/>
              </w:rPr>
              <w:t>1. 每季度、每年提交阶段性运维报告，年度报告须包含全年服务总结、系统运行评估、安全合规情况、下一年度运维优化方案等；</w:t>
            </w:r>
          </w:p>
          <w:p w14:paraId="74CF4AF4">
            <w:pPr>
              <w:snapToGrid w:val="0"/>
              <w:spacing w:line="360" w:lineRule="auto"/>
              <w:rPr>
                <w:rFonts w:ascii="仿宋" w:hAnsi="仿宋" w:eastAsia="仿宋" w:cs="仿宋"/>
                <w:sz w:val="24"/>
              </w:rPr>
            </w:pPr>
            <w:r>
              <w:rPr>
                <w:rFonts w:hint="eastAsia" w:ascii="仿宋" w:hAnsi="仿宋" w:eastAsia="仿宋" w:cs="仿宋"/>
                <w:sz w:val="24"/>
              </w:rPr>
              <w:t>2. 重大故障、专项工作单独提交专项报告。</w:t>
            </w:r>
          </w:p>
        </w:tc>
        <w:tc>
          <w:tcPr>
            <w:tcW w:w="692" w:type="pct"/>
            <w:tcMar>
              <w:top w:w="60" w:type="dxa"/>
              <w:left w:w="120" w:type="dxa"/>
              <w:bottom w:w="30" w:type="dxa"/>
              <w:right w:w="120" w:type="dxa"/>
            </w:tcMar>
            <w:vAlign w:val="center"/>
          </w:tcPr>
          <w:p w14:paraId="0324034D">
            <w:pPr>
              <w:snapToGrid w:val="0"/>
              <w:spacing w:line="360" w:lineRule="auto"/>
              <w:jc w:val="center"/>
              <w:rPr>
                <w:rFonts w:ascii="仿宋" w:hAnsi="仿宋" w:eastAsia="仿宋" w:cs="仿宋"/>
                <w:sz w:val="24"/>
              </w:rPr>
            </w:pPr>
            <w:r>
              <w:rPr>
                <w:rFonts w:hint="eastAsia" w:ascii="仿宋" w:hAnsi="仿宋" w:eastAsia="仿宋" w:cs="仿宋"/>
                <w:sz w:val="24"/>
              </w:rPr>
              <w:t>书面盖章报告电子文档</w:t>
            </w:r>
          </w:p>
        </w:tc>
        <w:tc>
          <w:tcPr>
            <w:tcW w:w="692" w:type="pct"/>
            <w:tcMar>
              <w:top w:w="60" w:type="dxa"/>
              <w:left w:w="120" w:type="dxa"/>
              <w:bottom w:w="30" w:type="dxa"/>
              <w:right w:w="120" w:type="dxa"/>
            </w:tcMar>
            <w:vAlign w:val="center"/>
          </w:tcPr>
          <w:p w14:paraId="3C54E5DC">
            <w:pPr>
              <w:snapToGrid w:val="0"/>
              <w:spacing w:line="360" w:lineRule="auto"/>
              <w:jc w:val="center"/>
              <w:rPr>
                <w:rFonts w:ascii="仿宋" w:hAnsi="仿宋" w:eastAsia="仿宋" w:cs="仿宋"/>
                <w:sz w:val="24"/>
              </w:rPr>
            </w:pPr>
            <w:r>
              <w:rPr>
                <w:rFonts w:hint="eastAsia" w:ascii="仿宋" w:hAnsi="仿宋" w:eastAsia="仿宋" w:cs="仿宋"/>
                <w:sz w:val="24"/>
              </w:rPr>
              <w:t>每季度1次季报，每年1次年报，专项报告按需提交</w:t>
            </w:r>
          </w:p>
        </w:tc>
      </w:tr>
    </w:tbl>
    <w:p w14:paraId="358DA774">
      <w:pPr>
        <w:snapToGrid w:val="0"/>
        <w:spacing w:line="360" w:lineRule="auto"/>
        <w:jc w:val="left"/>
        <w:rPr>
          <w:rFonts w:ascii="仿宋" w:hAnsi="仿宋" w:eastAsia="仿宋" w:cs="仿宋"/>
          <w:sz w:val="24"/>
        </w:rPr>
      </w:pPr>
      <w:r>
        <w:rPr>
          <w:rFonts w:hint="eastAsia" w:ascii="仿宋" w:hAnsi="仿宋" w:eastAsia="仿宋" w:cs="仿宋"/>
          <w:b/>
          <w:sz w:val="24"/>
        </w:rPr>
        <w:t>5. 售后服务方案与技术能力要求</w:t>
      </w:r>
    </w:p>
    <w:p w14:paraId="1DFF741C">
      <w:pPr>
        <w:snapToGrid w:val="0"/>
        <w:spacing w:line="360" w:lineRule="auto"/>
        <w:jc w:val="left"/>
        <w:rPr>
          <w:rFonts w:ascii="仿宋" w:hAnsi="仿宋" w:eastAsia="仿宋" w:cs="仿宋"/>
          <w:sz w:val="24"/>
        </w:rPr>
      </w:pPr>
      <w:r>
        <w:rPr>
          <w:rFonts w:hint="eastAsia" w:ascii="仿宋" w:hAnsi="仿宋" w:eastAsia="仿宋" w:cs="仿宋"/>
          <w:b/>
          <w:sz w:val="24"/>
        </w:rPr>
        <w:t>5.1 售后服务方案要求</w:t>
      </w:r>
    </w:p>
    <w:p w14:paraId="3CF61A6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服务商须根据采购人信息化建设现状、系统使用情况、业务运行特点，制定详尽、可落地的售后服务方案，方案须至少包含以下内容：</w:t>
      </w:r>
    </w:p>
    <w:p w14:paraId="33CFC369">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1.</w:t>
      </w:r>
    </w:p>
    <w:p w14:paraId="4D0E2106">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2.</w:t>
      </w:r>
    </w:p>
    <w:p w14:paraId="12B04069">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3.</w:t>
      </w:r>
    </w:p>
    <w:p w14:paraId="37C70EAD">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4.</w:t>
      </w:r>
    </w:p>
    <w:p w14:paraId="0C30277F">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5.</w:t>
      </w:r>
    </w:p>
    <w:p w14:paraId="774B9303">
      <w:pPr>
        <w:pStyle w:val="34"/>
        <w:numPr>
          <w:ilvl w:val="1"/>
          <w:numId w:val="0"/>
        </w:numPr>
        <w:snapToGrid w:val="0"/>
        <w:spacing w:line="360" w:lineRule="auto"/>
        <w:ind w:left="567" w:hanging="567"/>
        <w:jc w:val="left"/>
        <w:rPr>
          <w:rFonts w:ascii="仿宋" w:hAnsi="仿宋" w:eastAsia="仿宋" w:cs="仿宋"/>
          <w:vanish/>
          <w:sz w:val="24"/>
        </w:rPr>
      </w:pPr>
      <w:r>
        <w:rPr>
          <w:rFonts w:hint="eastAsia" w:ascii="仿宋" w:hAnsi="仿宋" w:eastAsia="仿宋" w:cs="仿宋"/>
          <w:vanish/>
          <w:sz w:val="24"/>
        </w:rPr>
        <w:t>5.1.</w:t>
      </w:r>
    </w:p>
    <w:p w14:paraId="30FB04FF">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5.1.1.售后运维服务的整体承诺、服务级别保障承诺；</w:t>
      </w:r>
    </w:p>
    <w:p w14:paraId="6CD1B2CF">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5.1.2.售后运维服务的详细内容、实施流程、操作规范；</w:t>
      </w:r>
    </w:p>
    <w:p w14:paraId="79226477">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5.1.3.各故障等级的应急处置措施、业务连续性保障方案；</w:t>
      </w:r>
    </w:p>
    <w:p w14:paraId="03E8EAA7">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5.1.4.售后运维服务全流程管理制度、质量管控体系；</w:t>
      </w:r>
    </w:p>
    <w:p w14:paraId="3F633AE0">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5.1.5.数据安全事件、系统瘫痪等突发场景的专项应急预案；</w:t>
      </w:r>
    </w:p>
    <w:p w14:paraId="2C089B97">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5.1.6.运维服务人员的岗位职责、考核方案、奖惩机制；</w:t>
      </w:r>
    </w:p>
    <w:p w14:paraId="34A12AC3">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5.1.7.合规性保障方案、等保合规配合方案、个人信息保护专项方案。</w:t>
      </w:r>
    </w:p>
    <w:p w14:paraId="327DD657">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5.1.8.服务器端国产化替代专项服务方案与专项应急预案。</w:t>
      </w:r>
    </w:p>
    <w:p w14:paraId="2DE7BA41">
      <w:pPr>
        <w:snapToGrid w:val="0"/>
        <w:spacing w:line="360" w:lineRule="auto"/>
        <w:jc w:val="left"/>
        <w:rPr>
          <w:rFonts w:ascii="仿宋" w:hAnsi="仿宋" w:eastAsia="仿宋" w:cs="仿宋"/>
          <w:sz w:val="24"/>
        </w:rPr>
      </w:pPr>
      <w:r>
        <w:rPr>
          <w:rFonts w:hint="eastAsia" w:ascii="仿宋" w:hAnsi="仿宋" w:eastAsia="仿宋" w:cs="仿宋"/>
          <w:b/>
          <w:sz w:val="24"/>
        </w:rPr>
        <w:t>5.2 技术能力与人员要求</w:t>
      </w:r>
    </w:p>
    <w:p w14:paraId="7BB30398">
      <w:pPr>
        <w:pStyle w:val="34"/>
        <w:widowControl/>
        <w:snapToGrid w:val="0"/>
        <w:spacing w:line="360" w:lineRule="auto"/>
        <w:ind w:left="425" w:hanging="425" w:firstLineChars="0"/>
        <w:jc w:val="left"/>
        <w:rPr>
          <w:rFonts w:ascii="仿宋" w:hAnsi="仿宋" w:eastAsia="仿宋" w:cs="仿宋"/>
          <w:bCs/>
          <w:vanish/>
          <w:sz w:val="24"/>
        </w:rPr>
      </w:pPr>
      <w:r>
        <w:rPr>
          <w:rFonts w:hint="eastAsia" w:ascii="仿宋" w:hAnsi="仿宋" w:eastAsia="仿宋" w:cs="仿宋"/>
          <w:bCs/>
          <w:vanish/>
          <w:sz w:val="24"/>
        </w:rPr>
        <w:t>5.</w:t>
      </w:r>
    </w:p>
    <w:p w14:paraId="7E758466">
      <w:pPr>
        <w:pStyle w:val="34"/>
        <w:widowControl/>
        <w:numPr>
          <w:ilvl w:val="1"/>
          <w:numId w:val="0"/>
        </w:numPr>
        <w:snapToGrid w:val="0"/>
        <w:spacing w:line="360" w:lineRule="auto"/>
        <w:ind w:left="567" w:hanging="567"/>
        <w:jc w:val="left"/>
        <w:rPr>
          <w:rFonts w:ascii="仿宋" w:hAnsi="仿宋" w:eastAsia="仿宋" w:cs="仿宋"/>
          <w:bCs/>
          <w:vanish/>
          <w:sz w:val="24"/>
        </w:rPr>
      </w:pPr>
      <w:r>
        <w:rPr>
          <w:rFonts w:hint="eastAsia" w:ascii="仿宋" w:hAnsi="仿宋" w:eastAsia="仿宋" w:cs="仿宋"/>
          <w:bCs/>
          <w:vanish/>
          <w:sz w:val="24"/>
        </w:rPr>
        <w:t>5.1.</w:t>
      </w:r>
    </w:p>
    <w:p w14:paraId="0B85E7D0">
      <w:pPr>
        <w:pStyle w:val="34"/>
        <w:widowControl/>
        <w:numPr>
          <w:ilvl w:val="1"/>
          <w:numId w:val="0"/>
        </w:numPr>
        <w:snapToGrid w:val="0"/>
        <w:spacing w:line="360" w:lineRule="auto"/>
        <w:ind w:left="567" w:hanging="567"/>
        <w:jc w:val="left"/>
        <w:rPr>
          <w:rFonts w:ascii="仿宋" w:hAnsi="仿宋" w:eastAsia="仿宋" w:cs="仿宋"/>
          <w:bCs/>
          <w:vanish/>
          <w:sz w:val="24"/>
        </w:rPr>
      </w:pPr>
      <w:r>
        <w:rPr>
          <w:rFonts w:hint="eastAsia" w:ascii="仿宋" w:hAnsi="仿宋" w:eastAsia="仿宋" w:cs="仿宋"/>
          <w:bCs/>
          <w:vanish/>
          <w:sz w:val="24"/>
        </w:rPr>
        <w:t>5.2.</w:t>
      </w:r>
    </w:p>
    <w:p w14:paraId="24F069BF">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5.2.1.服务商须提供本项目售后服务专属团队组织架构，明确项目负责人、技术负责人、现场运维人员、安全专项人员、应急保障人员的岗位职责与联系方式，确保7×24小时可联系。</w:t>
      </w:r>
    </w:p>
    <w:p w14:paraId="6D60F862">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5.2.2.本项目专属技术团队人员不少于5人，其中专职人员不少于1人（可根据采购人需求调整），团队人员须满足以下资质要求：</w:t>
      </w:r>
    </w:p>
    <w:p w14:paraId="3D85CAB5">
      <w:pPr>
        <w:pStyle w:val="34"/>
        <w:numPr>
          <w:ilvl w:val="0"/>
          <w:numId w:val="4"/>
        </w:numPr>
        <w:snapToGrid w:val="0"/>
        <w:spacing w:line="360" w:lineRule="auto"/>
        <w:ind w:left="0" w:firstLine="480"/>
        <w:jc w:val="left"/>
        <w:rPr>
          <w:rFonts w:ascii="仿宋" w:hAnsi="仿宋" w:eastAsia="仿宋" w:cs="仿宋"/>
          <w:sz w:val="24"/>
        </w:rPr>
      </w:pPr>
      <w:r>
        <w:rPr>
          <w:rFonts w:hint="eastAsia" w:ascii="仿宋" w:hAnsi="仿宋" w:eastAsia="仿宋" w:cs="仿宋"/>
          <w:sz w:val="24"/>
        </w:rPr>
        <w:t>项目负责人须具备3年以上医疗信息化系统运维项目管理经验；</w:t>
      </w:r>
    </w:p>
    <w:p w14:paraId="4DC94634">
      <w:pPr>
        <w:pStyle w:val="34"/>
        <w:numPr>
          <w:ilvl w:val="0"/>
          <w:numId w:val="4"/>
        </w:numPr>
        <w:snapToGrid w:val="0"/>
        <w:spacing w:line="360" w:lineRule="auto"/>
        <w:ind w:left="0" w:firstLine="480"/>
        <w:jc w:val="left"/>
        <w:rPr>
          <w:rFonts w:ascii="仿宋" w:hAnsi="仿宋" w:eastAsia="仿宋" w:cs="仿宋"/>
          <w:sz w:val="24"/>
        </w:rPr>
      </w:pPr>
      <w:r>
        <w:rPr>
          <w:rFonts w:hint="eastAsia" w:ascii="仿宋" w:hAnsi="仿宋" w:eastAsia="仿宋" w:cs="仿宋"/>
          <w:sz w:val="24"/>
        </w:rPr>
        <w:t>技术团队须包含至少1名数据库工程师、1名网络安全工程师，所有运维人员须具备对应系统的原厂运维认证资质；</w:t>
      </w:r>
    </w:p>
    <w:p w14:paraId="3E67C1CE">
      <w:pPr>
        <w:pStyle w:val="34"/>
        <w:numPr>
          <w:ilvl w:val="0"/>
          <w:numId w:val="4"/>
        </w:numPr>
        <w:snapToGrid w:val="0"/>
        <w:spacing w:line="360" w:lineRule="auto"/>
        <w:ind w:left="0" w:firstLine="480"/>
        <w:jc w:val="left"/>
        <w:rPr>
          <w:rFonts w:ascii="仿宋" w:hAnsi="仿宋" w:eastAsia="仿宋" w:cs="仿宋"/>
          <w:sz w:val="24"/>
        </w:rPr>
      </w:pPr>
      <w:r>
        <w:rPr>
          <w:rFonts w:hint="eastAsia" w:ascii="仿宋" w:hAnsi="仿宋" w:eastAsia="仿宋" w:cs="仿宋"/>
          <w:sz w:val="24"/>
        </w:rPr>
        <w:t>提供团队所有人员近3个月的社保缴纳证明材料，确保人员稳定，未经采购人书面同意，不得擅自更换项目核心人员。</w:t>
      </w:r>
    </w:p>
    <w:p w14:paraId="3F87FCDB">
      <w:pPr>
        <w:pStyle w:val="10"/>
        <w:numPr>
          <w:ilvl w:val="2"/>
          <w:numId w:val="0"/>
        </w:numPr>
        <w:snapToGrid w:val="0"/>
        <w:spacing w:line="360" w:lineRule="auto"/>
        <w:ind w:firstLine="480" w:firstLineChars="200"/>
        <w:rPr>
          <w:rFonts w:ascii="仿宋" w:hAnsi="仿宋" w:eastAsia="仿宋" w:cs="仿宋"/>
          <w:bCs/>
          <w:szCs w:val="24"/>
          <w:lang w:eastAsia="zh-CN"/>
        </w:rPr>
      </w:pPr>
      <w:r>
        <w:rPr>
          <w:rFonts w:hint="eastAsia" w:ascii="仿宋" w:hAnsi="仿宋" w:eastAsia="仿宋" w:cs="仿宋"/>
          <w:bCs/>
          <w:szCs w:val="24"/>
          <w:lang w:eastAsia="zh-CN"/>
        </w:rPr>
        <w:t>5.2.3.服务商须具备完善的技术支撑体系，具备原厂级研发与维护能力，可提供系统源代码级的故障修复、功能适配服务，具备本地化服务能力，确保应急处置时效。</w:t>
      </w:r>
    </w:p>
    <w:p w14:paraId="7BE2C6B1">
      <w:pPr>
        <w:snapToGrid w:val="0"/>
        <w:spacing w:line="360" w:lineRule="auto"/>
        <w:jc w:val="left"/>
        <w:rPr>
          <w:rFonts w:ascii="仿宋" w:hAnsi="仿宋" w:eastAsia="仿宋" w:cs="仿宋"/>
          <w:sz w:val="24"/>
        </w:rPr>
      </w:pPr>
      <w:r>
        <w:rPr>
          <w:rFonts w:hint="eastAsia" w:ascii="仿宋" w:hAnsi="仿宋" w:eastAsia="仿宋" w:cs="仿宋"/>
          <w:b/>
          <w:sz w:val="24"/>
        </w:rPr>
        <w:t>6. 数据安全与信息保密要求</w:t>
      </w:r>
    </w:p>
    <w:p w14:paraId="4C76C82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本条款严格遵循《数据安全法》、《个人信息保护法》、《医疗卫生机构网络安全管理办法》、《医疗卫生数据安全指南》制定，为项目刚性要求，具体如下：</w:t>
      </w:r>
    </w:p>
    <w:p w14:paraId="1D91B6BE">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5.</w:t>
      </w:r>
    </w:p>
    <w:p w14:paraId="139D7751">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6.</w:t>
      </w:r>
    </w:p>
    <w:p w14:paraId="46BCCF53">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6.1.服务商须建立完善的数据安全管理制度、全生命周期数据保护体系、个人信息保护管理制度，符合国家医疗数据分类分级保护要求，明确数据安全责任部门与专职技术人员，提供专职人员近6个月的社保缴纳证明材料。</w:t>
      </w:r>
    </w:p>
    <w:p w14:paraId="0CE170A4">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6.2.服务商须与采购人签订专项数据安全与保密协议，同时与所有参与本项目的服务人员签订保密协议，明确保密义务、保密范围、保密期限（含在职期间及离职后终身保密）与违约责任，相关协议文本须提交采购人备案。</w:t>
      </w:r>
    </w:p>
    <w:p w14:paraId="6DE16EFE">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6.3.服务商须严格遵守国家法律法规，对服务过程中接触、获取的所有医疗数据、患者个人信息、医院业务数据、涉密信息等，仅可用于本项目运维服务工作，不得擅自复制、存储、泄露、转让、篡改、销毁，不得用于任何商业用途或其他未经授权的用途。</w:t>
      </w:r>
    </w:p>
    <w:p w14:paraId="56DA8D52">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6.4.服务商的远程运维操作须经过采购人书面审批，采用加密安全接入方式，全程留痕，审计日志留存不少于6个月；严禁未经授权的远程操作，严禁将系统接入公共互联网进行运维操作。</w:t>
      </w:r>
    </w:p>
    <w:p w14:paraId="7AD0A2C5">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6.5.服务商须建立数据安全事件应急处置机制，发生数据泄露、篡改、丢失等安全事件时，须10分钟内响应，第一时间通知采购人，同步启动应急预案，采取处置措施防止事件扩大，配合采购人完成监管上报、事件调查等工作，并承担全部法律责任与经济损失。</w:t>
      </w:r>
    </w:p>
    <w:p w14:paraId="250D00FB">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6.6.国产化迁移实施过程中，须严格遵循采购人数据安全管理规定，制定专项数据迁移安全方案，全程加密传输数据，做好全量数据备份与一致性校验，确保迁移过程数据全生命周期安全。</w:t>
      </w:r>
    </w:p>
    <w:p w14:paraId="3328929F">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6.7.服务期结束后，服务商须将所有运维相关数据、文档、材料完整移交采购人，彻底删除所持有的采购人全部数据，不得留存任何副本，并向采购人出具数据删除承诺书。</w:t>
      </w:r>
    </w:p>
    <w:p w14:paraId="3A15FDB7">
      <w:pPr>
        <w:numPr>
          <w:ilvl w:val="1"/>
          <w:numId w:val="0"/>
        </w:numPr>
        <w:tabs>
          <w:tab w:val="left" w:pos="993"/>
        </w:tabs>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6.8.服务商须配合采购人完成数据安全检查、网络安全审计、等保测评等相关工作，提供对应的技术支撑与整改服务。</w:t>
      </w:r>
    </w:p>
    <w:p w14:paraId="160E566F">
      <w:pPr>
        <w:snapToGrid w:val="0"/>
        <w:spacing w:line="360" w:lineRule="auto"/>
        <w:jc w:val="left"/>
        <w:rPr>
          <w:rFonts w:ascii="仿宋" w:hAnsi="仿宋" w:eastAsia="仿宋" w:cs="仿宋"/>
          <w:sz w:val="24"/>
        </w:rPr>
      </w:pPr>
      <w:r>
        <w:rPr>
          <w:rFonts w:hint="eastAsia" w:ascii="仿宋" w:hAnsi="仿宋" w:eastAsia="仿宋" w:cs="仿宋"/>
          <w:b/>
          <w:sz w:val="24"/>
        </w:rPr>
        <w:t>三、商务要求</w:t>
      </w:r>
    </w:p>
    <w:p w14:paraId="714A66C4">
      <w:pPr>
        <w:snapToGrid w:val="0"/>
        <w:spacing w:line="360" w:lineRule="auto"/>
        <w:jc w:val="left"/>
        <w:rPr>
          <w:rFonts w:ascii="仿宋" w:hAnsi="仿宋" w:eastAsia="仿宋" w:cs="仿宋"/>
          <w:sz w:val="24"/>
        </w:rPr>
      </w:pPr>
      <w:r>
        <w:rPr>
          <w:rFonts w:hint="eastAsia" w:ascii="仿宋" w:hAnsi="仿宋" w:eastAsia="仿宋" w:cs="仿宋"/>
          <w:b/>
          <w:sz w:val="24"/>
        </w:rPr>
        <w:t>1. 合同核心内容</w:t>
      </w:r>
    </w:p>
    <w:p w14:paraId="71D45DA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合同标的为成交供应商提供的本文件约定的全部运维服务、服务器端国产化替代专项技术服务，合同内容包含采购文件、成交供应商的响应文件、单一来源采购协商记录、服务承诺、成交通知书、合同文本等全部文件，成交总金额为合同固定总价，包含服务期内完成全部服务所需的人工、材料、设备、开发、测试、税费、培训、应急保障等所有费用，采购人无需额外支付任何费用。</w:t>
      </w:r>
    </w:p>
    <w:p w14:paraId="34559B15">
      <w:pPr>
        <w:snapToGrid w:val="0"/>
        <w:spacing w:line="360" w:lineRule="auto"/>
        <w:jc w:val="left"/>
        <w:rPr>
          <w:rFonts w:ascii="仿宋" w:hAnsi="仿宋" w:eastAsia="仿宋" w:cs="仿宋"/>
          <w:sz w:val="24"/>
        </w:rPr>
      </w:pPr>
      <w:r>
        <w:rPr>
          <w:rFonts w:hint="eastAsia" w:ascii="仿宋" w:hAnsi="仿宋" w:eastAsia="仿宋" w:cs="仿宋"/>
          <w:b/>
          <w:sz w:val="24"/>
        </w:rPr>
        <w:t>2. 服务地点</w:t>
      </w:r>
    </w:p>
    <w:p w14:paraId="7644A0B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陕西省交通医院本部及所有分院区、采购人指定的其他服务场所。</w:t>
      </w:r>
    </w:p>
    <w:p w14:paraId="602F92E9">
      <w:pPr>
        <w:snapToGrid w:val="0"/>
        <w:spacing w:line="360" w:lineRule="auto"/>
        <w:jc w:val="left"/>
        <w:rPr>
          <w:rFonts w:ascii="仿宋" w:hAnsi="仿宋" w:eastAsia="仿宋" w:cs="仿宋"/>
          <w:sz w:val="24"/>
        </w:rPr>
      </w:pPr>
      <w:r>
        <w:rPr>
          <w:rFonts w:hint="eastAsia" w:ascii="仿宋" w:hAnsi="仿宋" w:eastAsia="仿宋" w:cs="仿宋"/>
          <w:b/>
          <w:sz w:val="24"/>
        </w:rPr>
        <w:t>3. 服务期限</w:t>
      </w:r>
    </w:p>
    <w:p w14:paraId="55A165D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本项目服务期限为1年，自合同签订之日起计算。服务期内，服务商服务质量持续不达标，采购人有权提前终止合同。</w:t>
      </w:r>
    </w:p>
    <w:p w14:paraId="6C74621B">
      <w:pPr>
        <w:snapToGrid w:val="0"/>
        <w:spacing w:line="360" w:lineRule="auto"/>
        <w:jc w:val="left"/>
        <w:rPr>
          <w:rFonts w:ascii="仿宋" w:hAnsi="仿宋" w:eastAsia="仿宋" w:cs="仿宋"/>
          <w:sz w:val="24"/>
        </w:rPr>
      </w:pPr>
      <w:r>
        <w:rPr>
          <w:rFonts w:hint="eastAsia" w:ascii="仿宋" w:hAnsi="仿宋" w:eastAsia="仿宋" w:cs="仿宋"/>
          <w:b/>
          <w:sz w:val="24"/>
        </w:rPr>
        <w:t>4. 项目考核与验收</w:t>
      </w:r>
    </w:p>
    <w:p w14:paraId="715D8994">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1</w:t>
      </w:r>
    </w:p>
    <w:p w14:paraId="75E06848">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2</w:t>
      </w:r>
    </w:p>
    <w:p w14:paraId="35F0634E">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3</w:t>
      </w:r>
    </w:p>
    <w:p w14:paraId="3BA3E1F7">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4</w:t>
      </w:r>
    </w:p>
    <w:p w14:paraId="3C906436">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4.1本项目采用月度动态考核+年度总验收的方式，由采购人信息科牵头，联合纪检室、财务科等相关部门，或邀请外部专家开展考核评价与验收工作，成交供应商须无条件配合，并提供全部所需的运维记录、报告等资料。</w:t>
      </w:r>
    </w:p>
    <w:p w14:paraId="3F2099C7">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4.2考核标准：严格按照本文件附件《信息系统售后运维服务质量评价标准》执行，评分满分100分。90分（含）-100分为优秀，70分（含）-89分为合格，70分以下为不合格。</w:t>
      </w:r>
    </w:p>
    <w:p w14:paraId="0F8E8D61">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4.3验收依据：本采购文件、成交供应商响应文件、合同文本、国家及行业现行相关标准规范、月度考核记录、运维服务报告、服务满意度调查结果、项目考核汇总表等。</w:t>
      </w:r>
    </w:p>
    <w:p w14:paraId="6095666B">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4.4年度验收合格的前提：服务期内无重大数据安全事件、无重大服务质量投诉、无因服务商责任导致的医疗业务重大中断事故，年度考核评分≥70分。</w:t>
      </w:r>
    </w:p>
    <w:p w14:paraId="4EB5ED56">
      <w:pPr>
        <w:snapToGrid w:val="0"/>
        <w:spacing w:line="360" w:lineRule="auto"/>
        <w:jc w:val="left"/>
        <w:rPr>
          <w:rFonts w:ascii="仿宋" w:hAnsi="仿宋" w:eastAsia="仿宋" w:cs="仿宋"/>
          <w:sz w:val="24"/>
        </w:rPr>
      </w:pPr>
      <w:r>
        <w:rPr>
          <w:rFonts w:hint="eastAsia" w:ascii="仿宋" w:hAnsi="仿宋" w:eastAsia="仿宋" w:cs="仿宋"/>
          <w:b/>
          <w:sz w:val="24"/>
        </w:rPr>
        <w:t>5. 结算与付款方式</w:t>
      </w:r>
    </w:p>
    <w:p w14:paraId="53BCF2AB">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5</w:t>
      </w:r>
    </w:p>
    <w:p w14:paraId="7D691751">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5.1结算主体为采购人，结算前，成交供应商须向采购人开具合法、等额、有效的发票，采购人收到发票后按以下约定付款，因供应商发票开具不合规导致的付款延误，由供应商自行承担全部责任。</w:t>
      </w:r>
    </w:p>
    <w:p w14:paraId="62C7A143">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5.2付款方式：</w:t>
      </w:r>
    </w:p>
    <w:p w14:paraId="35C109D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45CB800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51E1612E">
      <w:pPr>
        <w:tabs>
          <w:tab w:val="left" w:pos="567"/>
        </w:tabs>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01E1BEE0">
      <w:pPr>
        <w:tabs>
          <w:tab w:val="left" w:pos="567"/>
        </w:tabs>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29AE0C05">
      <w:pPr>
        <w:tabs>
          <w:tab w:val="left" w:pos="567"/>
        </w:tabs>
        <w:snapToGrid w:val="0"/>
        <w:spacing w:line="360" w:lineRule="auto"/>
        <w:ind w:firstLine="480" w:firstLineChars="20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3F26695F">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5.3月度考核连续2个月低于70分，或年度内累计3个月低于70分的，直接认定为年度考核不合格。</w:t>
      </w:r>
    </w:p>
    <w:p w14:paraId="3226F265">
      <w:pPr>
        <w:snapToGrid w:val="0"/>
        <w:spacing w:line="360" w:lineRule="auto"/>
        <w:jc w:val="left"/>
        <w:rPr>
          <w:rFonts w:ascii="仿宋" w:hAnsi="仿宋" w:eastAsia="仿宋" w:cs="仿宋"/>
          <w:sz w:val="24"/>
        </w:rPr>
      </w:pPr>
      <w:r>
        <w:rPr>
          <w:rFonts w:hint="eastAsia" w:ascii="仿宋" w:hAnsi="仿宋" w:eastAsia="仿宋" w:cs="仿宋"/>
          <w:b/>
          <w:sz w:val="24"/>
        </w:rPr>
        <w:t>6. 知识产权条款</w:t>
      </w:r>
    </w:p>
    <w:p w14:paraId="7EE206F3">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6</w:t>
      </w:r>
    </w:p>
    <w:p w14:paraId="6191C85E">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6.1供应商须保证，其提供的运维服务、软件更新、升级服务及相关技术成果，不会出现任何第三方提出侵犯其专利权、商标权、著作权或其他知识产权的主张或诉讼，如发生前述情形，由供应商承担全部法律责任，并赔偿采购人因此遭受的全部经济损失。</w:t>
      </w:r>
    </w:p>
    <w:p w14:paraId="1FEA48DE">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6.2本项目涉及系统的软件著作权、知识产权归原权利人所有，供应商仅可基于本项目运维服务目的，在采购人授权范围内使用相关软件及技术资料，不得擅自复制、分发、转让、反编译、反向工程，不得用于任何其他用途。</w:t>
      </w:r>
    </w:p>
    <w:p w14:paraId="6F3F5CF9">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6.3服务期内，采购人基于系统使用产生的全部医疗数据、业务数据、患者个人信息等所有数据的所有权、使用权均归采购人所有，供应商不得主张任何权利，不得擅自使用。</w:t>
      </w:r>
    </w:p>
    <w:p w14:paraId="16A1B7EC">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6.4供应商为采购人提供的定制化功能开发、政策适配升级、技术方案等成果，知识产权归采购人所有，供应商仅可保留非商业用途的技术使用权。</w:t>
      </w:r>
    </w:p>
    <w:p w14:paraId="42E185B6">
      <w:pPr>
        <w:snapToGrid w:val="0"/>
        <w:spacing w:line="360" w:lineRule="auto"/>
        <w:jc w:val="left"/>
        <w:rPr>
          <w:rFonts w:ascii="仿宋" w:hAnsi="仿宋" w:eastAsia="仿宋" w:cs="仿宋"/>
          <w:sz w:val="24"/>
        </w:rPr>
      </w:pPr>
      <w:r>
        <w:rPr>
          <w:rFonts w:hint="eastAsia" w:ascii="仿宋" w:hAnsi="仿宋" w:eastAsia="仿宋" w:cs="仿宋"/>
          <w:b/>
          <w:sz w:val="24"/>
        </w:rPr>
        <w:t>7. 违约责任</w:t>
      </w:r>
    </w:p>
    <w:p w14:paraId="5C14C70E">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7</w:t>
      </w:r>
    </w:p>
    <w:p w14:paraId="4A75335F">
      <w:pPr>
        <w:numPr>
          <w:ilvl w:val="1"/>
          <w:numId w:val="0"/>
        </w:numPr>
        <w:snapToGrid w:val="0"/>
        <w:spacing w:line="360" w:lineRule="auto"/>
        <w:ind w:left="987" w:hanging="567"/>
        <w:jc w:val="left"/>
        <w:rPr>
          <w:rFonts w:ascii="仿宋" w:hAnsi="仿宋" w:eastAsia="仿宋" w:cs="仿宋"/>
          <w:sz w:val="24"/>
        </w:rPr>
      </w:pPr>
      <w:r>
        <w:rPr>
          <w:rFonts w:hint="eastAsia" w:ascii="仿宋" w:hAnsi="仿宋" w:eastAsia="仿宋" w:cs="仿宋"/>
          <w:sz w:val="24"/>
        </w:rPr>
        <w:t>7.1本合同违约责任严格按照《中华人民共和国民法典》相关条款执行。</w:t>
      </w:r>
    </w:p>
    <w:p w14:paraId="0FA0F8A0">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7.2供应商未按合同约定提供服务，或服务质量、响应时效、技术能力不满足合同要求，采购人有权按《服务质量评价标准》扣除对应款项，并要求供应商限期整改；整改后仍无法满足合同要求的，采购人有权扣除对应合同款项，直至单方面解除合同，供应商须承担采购人因此遭受的全部损失。</w:t>
      </w:r>
    </w:p>
    <w:p w14:paraId="24CA4328">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7.3供应商未按故障SLA要求完成响应与故障处置的，每出现一次一级故障超时，扣除合同总价款的5%；每出现一次二级故障超时，扣除合同总价款的2%；三级、四级故障超时，按评价标准扣除对应分值，并累计扣除合同款项。因供应商故障处置不及时导致医院业务中断、产生医疗纠纷或监管处罚的，全部责任与经济损失由供应商承担。</w:t>
      </w:r>
    </w:p>
    <w:p w14:paraId="05F675A8">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7.4供应商违反数据安全与保密约定，发生数据泄露、篡改、丢失等事件，或擅自使用、转让采购人数据的，采购人有权立即解除合同，不予支付剩余全部合同款项，供应商须支付合同总价款30%的违约金，同时承担全部法律责任，赔偿采购人因此遭受的全部经济损失（含监管处罚、民事赔偿、商誉损失等）。</w:t>
      </w:r>
    </w:p>
    <w:p w14:paraId="21A2DF6C">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7.5供应商未经采购人同意，擅自更换项目核心人员、转包/分包本项目服务的，采购人有权扣除合同总价款的10%作为违约金，情节严重的，有权解除合同。</w:t>
      </w:r>
    </w:p>
    <w:p w14:paraId="30E78D57">
      <w:pPr>
        <w:snapToGrid w:val="0"/>
        <w:spacing w:line="360" w:lineRule="auto"/>
        <w:jc w:val="left"/>
        <w:rPr>
          <w:rFonts w:ascii="仿宋" w:hAnsi="仿宋" w:eastAsia="仿宋" w:cs="仿宋"/>
          <w:sz w:val="24"/>
        </w:rPr>
      </w:pPr>
      <w:r>
        <w:rPr>
          <w:rFonts w:hint="eastAsia" w:ascii="仿宋" w:hAnsi="仿宋" w:eastAsia="仿宋" w:cs="仿宋"/>
          <w:b/>
          <w:sz w:val="24"/>
        </w:rPr>
        <w:t>8. 其他约定</w:t>
      </w:r>
    </w:p>
    <w:p w14:paraId="57AA32CC">
      <w:pPr>
        <w:pStyle w:val="34"/>
        <w:snapToGrid w:val="0"/>
        <w:spacing w:line="360" w:lineRule="auto"/>
        <w:ind w:left="425" w:hanging="425" w:firstLineChars="0"/>
        <w:jc w:val="left"/>
        <w:rPr>
          <w:rFonts w:ascii="仿宋" w:hAnsi="仿宋" w:eastAsia="仿宋" w:cs="仿宋"/>
          <w:vanish/>
          <w:sz w:val="24"/>
        </w:rPr>
      </w:pPr>
      <w:r>
        <w:rPr>
          <w:rFonts w:hint="eastAsia" w:ascii="仿宋" w:hAnsi="仿宋" w:eastAsia="仿宋" w:cs="仿宋"/>
          <w:vanish/>
          <w:sz w:val="24"/>
        </w:rPr>
        <w:t>8</w:t>
      </w:r>
    </w:p>
    <w:p w14:paraId="37ED8A6F">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8.1本项目技术要求与商务要求为合同核心条款，不允许任何负偏离，供应商响应文件须对所有条款作出完全响应承诺，负偏离响应将按无效响应处理。</w:t>
      </w:r>
    </w:p>
    <w:p w14:paraId="123C8048">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8.2服务期内，如遇国家政策法规、行业标准发生重大调整，采购人有权对服务内容与要求进行合规性调整，供应商须无条件配合，不得额外收取费用。</w:t>
      </w:r>
    </w:p>
    <w:p w14:paraId="3563E824">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8.3本文件未尽事宜，由双方在合同中另行约定，约定内容不得违反本文件的核心要求与国家相关法律法规。</w:t>
      </w:r>
    </w:p>
    <w:p w14:paraId="33A98BB6">
      <w:pPr>
        <w:rPr>
          <w:rFonts w:ascii="仿宋" w:hAnsi="仿宋" w:eastAsia="仿宋" w:cs="仿宋"/>
          <w:b/>
          <w:bCs/>
          <w:sz w:val="24"/>
        </w:rPr>
      </w:pPr>
    </w:p>
    <w:p w14:paraId="23814EF1">
      <w:pPr>
        <w:rPr>
          <w:rFonts w:ascii="仿宋" w:hAnsi="仿宋" w:eastAsia="仿宋" w:cs="仿宋"/>
          <w:b/>
          <w:bCs/>
          <w:sz w:val="24"/>
        </w:rPr>
      </w:pPr>
    </w:p>
    <w:p w14:paraId="75C79BCE">
      <w:pPr>
        <w:rPr>
          <w:rFonts w:ascii="仿宋" w:hAnsi="仿宋" w:eastAsia="仿宋" w:cs="仿宋"/>
          <w:b/>
          <w:bCs/>
          <w:sz w:val="24"/>
        </w:rPr>
        <w:sectPr>
          <w:headerReference r:id="rId24" w:type="default"/>
          <w:footerReference r:id="rId25" w:type="default"/>
          <w:pgSz w:w="11906" w:h="16838"/>
          <w:pgMar w:top="1440" w:right="1417" w:bottom="1440" w:left="1587" w:header="850" w:footer="992" w:gutter="0"/>
          <w:cols w:space="720" w:num="1"/>
          <w:docGrid w:type="lines" w:linePitch="317" w:charSpace="0"/>
        </w:sectPr>
      </w:pPr>
    </w:p>
    <w:p w14:paraId="1A1FFAA3">
      <w:pPr>
        <w:pStyle w:val="3"/>
        <w:spacing w:line="360" w:lineRule="auto"/>
        <w:jc w:val="both"/>
        <w:rPr>
          <w:rFonts w:ascii="仿宋" w:hAnsi="仿宋" w:eastAsia="仿宋" w:cs="仿宋"/>
          <w:b/>
          <w:bCs/>
          <w:sz w:val="24"/>
          <w:szCs w:val="24"/>
          <w:lang w:eastAsia="zh-CN"/>
        </w:rPr>
      </w:pPr>
      <w:r>
        <w:rPr>
          <w:rFonts w:hint="eastAsia" w:ascii="仿宋" w:hAnsi="仿宋" w:eastAsia="仿宋" w:cs="仿宋"/>
          <w:b/>
          <w:bCs/>
          <w:sz w:val="24"/>
          <w:szCs w:val="24"/>
          <w:lang w:eastAsia="zh-CN"/>
        </w:rPr>
        <w:t>合同包11-采购需求（数字化认证信息系统售后服务）</w:t>
      </w:r>
    </w:p>
    <w:p w14:paraId="30FDE17E">
      <w:pPr>
        <w:snapToGrid w:val="0"/>
        <w:spacing w:line="360" w:lineRule="auto"/>
        <w:jc w:val="left"/>
        <w:rPr>
          <w:rFonts w:ascii="仿宋" w:hAnsi="仿宋" w:eastAsia="仿宋" w:cs="仿宋"/>
          <w:sz w:val="24"/>
        </w:rPr>
      </w:pPr>
      <w:r>
        <w:rPr>
          <w:rFonts w:hint="eastAsia" w:ascii="仿宋" w:hAnsi="仿宋" w:eastAsia="仿宋" w:cs="仿宋"/>
          <w:b/>
          <w:sz w:val="24"/>
        </w:rPr>
        <w:t>一、</w:t>
      </w:r>
      <w:bookmarkStart w:id="57" w:name="_Toc79484010"/>
      <w:bookmarkStart w:id="58" w:name="_Toc53392319"/>
      <w:bookmarkStart w:id="59" w:name="_Toc523129554"/>
      <w:r>
        <w:rPr>
          <w:rFonts w:hint="eastAsia" w:ascii="仿宋" w:hAnsi="仿宋" w:eastAsia="仿宋" w:cs="仿宋"/>
          <w:b/>
          <w:sz w:val="24"/>
        </w:rPr>
        <w:t>项目概述</w:t>
      </w:r>
    </w:p>
    <w:p w14:paraId="3B8AA7E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陕西省交通医院自2020年11月验收合格并开始正式使用数字化认证签名系统，为保障采购人信息系统正常运行，维护正常的医疗秩序，确保采购人各信息系统数据共享，充分保障患者的医疗权益与电子病历、电子文书|、电子票据的合法合规性，现委托具备对应系统原厂维护授权、专业信息系统运维服务能力的供应商，为采购人提供上述系统的全流程售后运维与技术支持服务，进一步加强医院信息系统维护管理与技术支持，完善医院信息系统运维管理体系，提升系统安全保障与服务支撑能力。</w:t>
      </w:r>
    </w:p>
    <w:p w14:paraId="0A16EBE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本项目服务商须为系统原软件厂商，或取得原厂商针对本项目出具的唯一专项授权文件，具备系统源代码级维护、原厂补丁更新、合规性升级的完整技术能力，确保服务的合法性、连续性与技术匹配性。</w:t>
      </w:r>
    </w:p>
    <w:p w14:paraId="69D4131D">
      <w:pPr>
        <w:snapToGrid w:val="0"/>
        <w:spacing w:line="360" w:lineRule="auto"/>
        <w:jc w:val="left"/>
        <w:rPr>
          <w:rFonts w:ascii="仿宋" w:hAnsi="仿宋" w:eastAsia="仿宋" w:cs="仿宋"/>
          <w:sz w:val="24"/>
        </w:rPr>
      </w:pPr>
      <w:r>
        <w:rPr>
          <w:rFonts w:hint="eastAsia" w:ascii="仿宋" w:hAnsi="仿宋" w:eastAsia="仿宋" w:cs="仿宋"/>
          <w:b/>
          <w:sz w:val="24"/>
        </w:rPr>
        <w:t>二、技术要求</w:t>
      </w:r>
      <w:bookmarkEnd w:id="57"/>
    </w:p>
    <w:p w14:paraId="07B20E7E">
      <w:pPr>
        <w:snapToGrid w:val="0"/>
        <w:spacing w:line="360" w:lineRule="auto"/>
        <w:jc w:val="left"/>
        <w:rPr>
          <w:rFonts w:ascii="仿宋" w:hAnsi="仿宋" w:eastAsia="仿宋" w:cs="仿宋"/>
          <w:sz w:val="24"/>
        </w:rPr>
      </w:pPr>
      <w:r>
        <w:rPr>
          <w:rFonts w:hint="eastAsia" w:ascii="仿宋" w:hAnsi="仿宋" w:eastAsia="仿宋" w:cs="仿宋"/>
          <w:b/>
          <w:sz w:val="24"/>
        </w:rPr>
        <w:t>1. 名词解释</w:t>
      </w:r>
    </w:p>
    <w:p w14:paraId="2B3952D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本文件所涉及名词定义严格遵循国家信息技术服务标准（ITSS）、医疗信息化行业规范及相关法律法规，具体如下：</w:t>
      </w:r>
    </w:p>
    <w:p w14:paraId="3B0BBD8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 维护：指服务供应商为采购人提供许可软件的全生命周期技术支撑，包括但不限于故障排查与修复、技术指导、运行优化、合规适配、安全加固等服务工作的总称。</w:t>
      </w:r>
    </w:p>
    <w:p w14:paraId="2AF7FC4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1.2 现场：指采购人许可系统部署、使用的全部场所，含医院本部院区、各分院区、社区服务点等所有系统终端部署点位。</w:t>
      </w:r>
    </w:p>
    <w:p w14:paraId="4389D4B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1.3 现场维护：指服务供应商针对采购人提出的技术服务请求，派遣具备对应资质的技术人员到采购人指定现场，完成问题处置、技术服务的全过程。</w:t>
      </w:r>
    </w:p>
    <w:p w14:paraId="3F141A8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1.4 远程维护：指服务供应商针对采购人提出的技术服务请求，通过加密专线、安全远程接入方式，向采购人提供问题解答、技术指导、远程故障排查与修复的服务过程，远程操作须全程留痕、符合医院网络安全管理规定。</w:t>
      </w:r>
    </w:p>
    <w:p w14:paraId="1E380C8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1.5 软件更新：指为保障系统合规性、安全性、功能性，对许可软件进行的安全补丁更新、故障优化、版本迭代、政策适配性升级、功能完善的全过程，不限于仅故障场景。</w:t>
      </w:r>
    </w:p>
    <w:p w14:paraId="0FA7A74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1.6 技术支持：指服务供应商为保障许可软件和系统持续稳定运行，在服务期内通过电话、互联网、现场服务等方式，向采购人提供的7×24小时技术援助、操作指导与问题处置服务。</w:t>
      </w:r>
    </w:p>
    <w:p w14:paraId="29ADC9B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1.7 热线支持：指服务供应商客户服务中心通过专属服务热线，7×24小时向采购人提供技术问题解答、服务请求受理、故障派单的服务过程。</w:t>
      </w:r>
    </w:p>
    <w:p w14:paraId="1E0F0F1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1.8 在线技术支持：指服务供应商客户服务中心通过安全在线支持系统，接收、解答采购人问题，发布相关技术解决方案、操作指引的服务过程。</w:t>
      </w:r>
    </w:p>
    <w:p w14:paraId="653B413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1.9 响应时间：指服务供应商接到采购人正式服务请求后，到与采购人完成沟通、明确故障情况、出具服务承诺与初步处置方案的时间。</w:t>
      </w:r>
    </w:p>
    <w:p w14:paraId="3CFE29C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1.10 解决时间：指服务供应商从接到服务请求起，到系统故障完全修复、业务恢复正常运行、问题闭环处置的时间。</w:t>
      </w:r>
    </w:p>
    <w:p w14:paraId="0EFF72E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1.11 数据安全事件：指系统运行过程中发生的，可能或已经导致医疗数据、患者个人信息、电子认证数据泄露、损毁、篡改、丢失，以及系统被非法入侵、攻击等影响数据安全的事件。</w:t>
      </w:r>
    </w:p>
    <w:p w14:paraId="00B05611">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1.12 等保合规：指系统运行与运维服务须符合国家网络安全等级保护2.0标准对应级别的全部要求。</w:t>
      </w:r>
    </w:p>
    <w:p w14:paraId="665B3495">
      <w:pPr>
        <w:snapToGrid w:val="0"/>
        <w:spacing w:line="360" w:lineRule="auto"/>
        <w:jc w:val="left"/>
        <w:rPr>
          <w:rFonts w:ascii="仿宋" w:hAnsi="仿宋" w:eastAsia="仿宋" w:cs="仿宋"/>
          <w:sz w:val="24"/>
        </w:rPr>
      </w:pPr>
      <w:r>
        <w:rPr>
          <w:rFonts w:hint="eastAsia" w:ascii="仿宋" w:hAnsi="仿宋" w:eastAsia="仿宋" w:cs="仿宋"/>
          <w:b/>
          <w:sz w:val="24"/>
        </w:rPr>
        <w:t>2. 运维服务系统范围</w:t>
      </w:r>
    </w:p>
    <w:p w14:paraId="5E17D21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采购人委托供应商提供售后运维服务的信息系统，包含但不限于下表所列全部模块、子系统及配套硬件设备，同时覆盖系统与院内HIS、LIS、PACS、EMR、电子病历系统、电子票据系统、医保结算系统等现有及未来新增信息系统的接口运维服务，确保系统互联互通与电子签名认证全流程合规。</w:t>
      </w: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344"/>
        <w:gridCol w:w="5796"/>
      </w:tblGrid>
      <w:tr w14:paraId="12C7D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29" w:type="pct"/>
            <w:tcMar>
              <w:top w:w="60" w:type="dxa"/>
              <w:left w:w="120" w:type="dxa"/>
              <w:bottom w:w="30" w:type="dxa"/>
              <w:right w:w="120" w:type="dxa"/>
            </w:tcMar>
            <w:vAlign w:val="center"/>
          </w:tcPr>
          <w:p w14:paraId="059E31A3">
            <w:pPr>
              <w:snapToGrid w:val="0"/>
              <w:spacing w:line="360" w:lineRule="auto"/>
              <w:jc w:val="center"/>
              <w:rPr>
                <w:rFonts w:ascii="仿宋" w:hAnsi="仿宋" w:eastAsia="仿宋" w:cs="仿宋"/>
                <w:b/>
                <w:sz w:val="24"/>
              </w:rPr>
            </w:pPr>
            <w:r>
              <w:rPr>
                <w:rFonts w:hint="eastAsia" w:ascii="仿宋" w:hAnsi="仿宋" w:eastAsia="仿宋" w:cs="仿宋"/>
                <w:b/>
                <w:sz w:val="24"/>
              </w:rPr>
              <w:t>系统模块名称</w:t>
            </w:r>
          </w:p>
        </w:tc>
        <w:tc>
          <w:tcPr>
            <w:tcW w:w="3170" w:type="pct"/>
            <w:tcMar>
              <w:top w:w="60" w:type="dxa"/>
              <w:left w:w="120" w:type="dxa"/>
              <w:bottom w:w="30" w:type="dxa"/>
              <w:right w:w="120" w:type="dxa"/>
            </w:tcMar>
            <w:vAlign w:val="center"/>
          </w:tcPr>
          <w:p w14:paraId="62458B1B">
            <w:pPr>
              <w:snapToGrid w:val="0"/>
              <w:spacing w:line="360" w:lineRule="auto"/>
              <w:jc w:val="center"/>
              <w:rPr>
                <w:rFonts w:ascii="仿宋" w:hAnsi="仿宋" w:eastAsia="仿宋" w:cs="仿宋"/>
                <w:b/>
                <w:sz w:val="24"/>
              </w:rPr>
            </w:pPr>
            <w:r>
              <w:rPr>
                <w:rFonts w:hint="eastAsia" w:ascii="仿宋" w:hAnsi="仿宋" w:eastAsia="仿宋" w:cs="仿宋"/>
                <w:b/>
                <w:sz w:val="24"/>
              </w:rPr>
              <w:t>子系统功能名称</w:t>
            </w:r>
          </w:p>
        </w:tc>
      </w:tr>
      <w:tr w14:paraId="2D2FC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29" w:type="pct"/>
            <w:vMerge w:val="restart"/>
            <w:tcMar>
              <w:top w:w="60" w:type="dxa"/>
              <w:left w:w="120" w:type="dxa"/>
              <w:bottom w:w="30" w:type="dxa"/>
              <w:right w:w="120" w:type="dxa"/>
            </w:tcMar>
            <w:vAlign w:val="center"/>
          </w:tcPr>
          <w:p w14:paraId="000925F1">
            <w:pPr>
              <w:snapToGrid w:val="0"/>
              <w:spacing w:line="360" w:lineRule="auto"/>
              <w:rPr>
                <w:rFonts w:ascii="仿宋" w:hAnsi="仿宋" w:eastAsia="仿宋" w:cs="仿宋"/>
                <w:sz w:val="24"/>
              </w:rPr>
            </w:pPr>
            <w:r>
              <w:rPr>
                <w:rFonts w:hint="eastAsia" w:ascii="仿宋" w:hAnsi="仿宋" w:eastAsia="仿宋" w:cs="仿宋"/>
                <w:sz w:val="24"/>
              </w:rPr>
              <w:t>数字化认证签名系统</w:t>
            </w:r>
          </w:p>
        </w:tc>
        <w:tc>
          <w:tcPr>
            <w:tcW w:w="3170" w:type="pct"/>
            <w:tcMar>
              <w:top w:w="60" w:type="dxa"/>
              <w:left w:w="120" w:type="dxa"/>
              <w:bottom w:w="30" w:type="dxa"/>
              <w:right w:w="120" w:type="dxa"/>
            </w:tcMar>
            <w:vAlign w:val="center"/>
          </w:tcPr>
          <w:p w14:paraId="251611D4">
            <w:pPr>
              <w:snapToGrid w:val="0"/>
              <w:spacing w:line="360" w:lineRule="auto"/>
              <w:rPr>
                <w:rFonts w:ascii="仿宋" w:hAnsi="仿宋" w:eastAsia="仿宋" w:cs="仿宋"/>
                <w:sz w:val="24"/>
              </w:rPr>
            </w:pPr>
            <w:r>
              <w:rPr>
                <w:rFonts w:hint="eastAsia" w:ascii="仿宋" w:hAnsi="仿宋" w:eastAsia="仿宋" w:cs="仿宋"/>
                <w:sz w:val="24"/>
              </w:rPr>
              <w:t>PKI安全服务中间件（v6.0）</w:t>
            </w:r>
          </w:p>
        </w:tc>
      </w:tr>
      <w:tr w14:paraId="6FF2D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29" w:type="pct"/>
            <w:vMerge w:val="continue"/>
            <w:tcMar>
              <w:top w:w="60" w:type="dxa"/>
              <w:left w:w="120" w:type="dxa"/>
              <w:bottom w:w="30" w:type="dxa"/>
              <w:right w:w="120" w:type="dxa"/>
            </w:tcMar>
            <w:vAlign w:val="center"/>
          </w:tcPr>
          <w:p w14:paraId="67B1D4CE">
            <w:pPr>
              <w:snapToGrid w:val="0"/>
              <w:spacing w:line="360" w:lineRule="auto"/>
              <w:rPr>
                <w:rFonts w:ascii="仿宋" w:hAnsi="仿宋" w:eastAsia="仿宋" w:cs="仿宋"/>
                <w:sz w:val="24"/>
              </w:rPr>
            </w:pPr>
          </w:p>
        </w:tc>
        <w:tc>
          <w:tcPr>
            <w:tcW w:w="3170" w:type="pct"/>
            <w:tcMar>
              <w:top w:w="60" w:type="dxa"/>
              <w:left w:w="120" w:type="dxa"/>
              <w:bottom w:w="30" w:type="dxa"/>
              <w:right w:w="120" w:type="dxa"/>
            </w:tcMar>
            <w:vAlign w:val="center"/>
          </w:tcPr>
          <w:p w14:paraId="6A9F1A1F">
            <w:pPr>
              <w:snapToGrid w:val="0"/>
              <w:spacing w:line="360" w:lineRule="auto"/>
              <w:rPr>
                <w:rFonts w:ascii="仿宋" w:hAnsi="仿宋" w:eastAsia="仿宋" w:cs="仿宋"/>
                <w:sz w:val="24"/>
              </w:rPr>
            </w:pPr>
            <w:r>
              <w:rPr>
                <w:rFonts w:hint="eastAsia" w:ascii="仿宋" w:hAnsi="仿宋" w:eastAsia="仿宋" w:cs="仿宋"/>
                <w:sz w:val="24"/>
              </w:rPr>
              <w:t>信鉴易统一认证服务管理软件V2.0</w:t>
            </w:r>
          </w:p>
        </w:tc>
      </w:tr>
      <w:tr w14:paraId="56C5C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29" w:type="pct"/>
            <w:vMerge w:val="continue"/>
            <w:tcMar>
              <w:top w:w="60" w:type="dxa"/>
              <w:left w:w="120" w:type="dxa"/>
              <w:bottom w:w="30" w:type="dxa"/>
              <w:right w:w="120" w:type="dxa"/>
            </w:tcMar>
            <w:vAlign w:val="center"/>
          </w:tcPr>
          <w:p w14:paraId="12CA7CF4">
            <w:pPr>
              <w:snapToGrid w:val="0"/>
              <w:spacing w:line="360" w:lineRule="auto"/>
              <w:rPr>
                <w:rFonts w:ascii="仿宋" w:hAnsi="仿宋" w:eastAsia="仿宋" w:cs="仿宋"/>
                <w:sz w:val="24"/>
              </w:rPr>
            </w:pPr>
          </w:p>
        </w:tc>
        <w:tc>
          <w:tcPr>
            <w:tcW w:w="3170" w:type="pct"/>
            <w:tcMar>
              <w:top w:w="60" w:type="dxa"/>
              <w:left w:w="120" w:type="dxa"/>
              <w:bottom w:w="30" w:type="dxa"/>
              <w:right w:w="120" w:type="dxa"/>
            </w:tcMar>
            <w:vAlign w:val="center"/>
          </w:tcPr>
          <w:p w14:paraId="2CD7C852">
            <w:pPr>
              <w:snapToGrid w:val="0"/>
              <w:spacing w:line="360" w:lineRule="auto"/>
              <w:rPr>
                <w:rFonts w:ascii="仿宋" w:hAnsi="仿宋" w:eastAsia="仿宋" w:cs="仿宋"/>
                <w:sz w:val="24"/>
              </w:rPr>
            </w:pPr>
            <w:r>
              <w:rPr>
                <w:rFonts w:hint="eastAsia" w:ascii="仿宋" w:hAnsi="仿宋" w:eastAsia="仿宋" w:cs="仿宋"/>
                <w:sz w:val="24"/>
              </w:rPr>
              <w:t>GDCA电子认证网关一体机管理软件V2.0</w:t>
            </w:r>
          </w:p>
        </w:tc>
      </w:tr>
      <w:tr w14:paraId="3975A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29" w:type="pct"/>
            <w:vMerge w:val="continue"/>
            <w:tcMar>
              <w:top w:w="60" w:type="dxa"/>
              <w:left w:w="120" w:type="dxa"/>
              <w:bottom w:w="30" w:type="dxa"/>
              <w:right w:w="120" w:type="dxa"/>
            </w:tcMar>
            <w:vAlign w:val="center"/>
          </w:tcPr>
          <w:p w14:paraId="3132F8D6">
            <w:pPr>
              <w:snapToGrid w:val="0"/>
              <w:spacing w:line="360" w:lineRule="auto"/>
              <w:rPr>
                <w:rFonts w:ascii="仿宋" w:hAnsi="仿宋" w:eastAsia="仿宋" w:cs="仿宋"/>
                <w:sz w:val="24"/>
              </w:rPr>
            </w:pPr>
          </w:p>
        </w:tc>
        <w:tc>
          <w:tcPr>
            <w:tcW w:w="3170" w:type="pct"/>
            <w:tcMar>
              <w:top w:w="60" w:type="dxa"/>
              <w:left w:w="120" w:type="dxa"/>
              <w:bottom w:w="30" w:type="dxa"/>
              <w:right w:w="120" w:type="dxa"/>
            </w:tcMar>
            <w:vAlign w:val="center"/>
          </w:tcPr>
          <w:p w14:paraId="0761DDF8">
            <w:pPr>
              <w:snapToGrid w:val="0"/>
              <w:spacing w:line="360" w:lineRule="auto"/>
              <w:rPr>
                <w:rFonts w:ascii="仿宋" w:hAnsi="仿宋" w:eastAsia="仿宋" w:cs="仿宋"/>
                <w:sz w:val="24"/>
              </w:rPr>
            </w:pPr>
            <w:r>
              <w:rPr>
                <w:rFonts w:hint="eastAsia" w:ascii="仿宋" w:hAnsi="仿宋" w:eastAsia="仿宋" w:cs="仿宋"/>
                <w:sz w:val="24"/>
              </w:rPr>
              <w:t>可信时间戳服务软件V3.0</w:t>
            </w:r>
          </w:p>
        </w:tc>
      </w:tr>
      <w:tr w14:paraId="3DE31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29" w:type="pct"/>
            <w:vMerge w:val="continue"/>
            <w:tcMar>
              <w:top w:w="60" w:type="dxa"/>
              <w:left w:w="120" w:type="dxa"/>
              <w:bottom w:w="30" w:type="dxa"/>
              <w:right w:w="120" w:type="dxa"/>
            </w:tcMar>
            <w:vAlign w:val="center"/>
          </w:tcPr>
          <w:p w14:paraId="6641671A">
            <w:pPr>
              <w:snapToGrid w:val="0"/>
              <w:spacing w:line="360" w:lineRule="auto"/>
              <w:rPr>
                <w:rFonts w:ascii="仿宋" w:hAnsi="仿宋" w:eastAsia="仿宋" w:cs="仿宋"/>
                <w:sz w:val="24"/>
              </w:rPr>
            </w:pPr>
          </w:p>
        </w:tc>
        <w:tc>
          <w:tcPr>
            <w:tcW w:w="3170" w:type="pct"/>
            <w:tcMar>
              <w:top w:w="60" w:type="dxa"/>
              <w:left w:w="120" w:type="dxa"/>
              <w:bottom w:w="30" w:type="dxa"/>
              <w:right w:w="120" w:type="dxa"/>
            </w:tcMar>
            <w:vAlign w:val="center"/>
          </w:tcPr>
          <w:p w14:paraId="0B11E0D6">
            <w:pPr>
              <w:snapToGrid w:val="0"/>
              <w:spacing w:line="360" w:lineRule="auto"/>
              <w:rPr>
                <w:rFonts w:ascii="仿宋" w:hAnsi="仿宋" w:eastAsia="仿宋" w:cs="仿宋"/>
                <w:sz w:val="24"/>
              </w:rPr>
            </w:pPr>
            <w:r>
              <w:rPr>
                <w:rFonts w:hint="eastAsia" w:ascii="仿宋" w:hAnsi="仿宋" w:eastAsia="仿宋" w:cs="仿宋"/>
                <w:sz w:val="24"/>
              </w:rPr>
              <w:t>云签名服务系统</w:t>
            </w:r>
          </w:p>
        </w:tc>
      </w:tr>
      <w:tr w14:paraId="19280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29" w:type="pct"/>
            <w:vMerge w:val="continue"/>
            <w:tcMar>
              <w:top w:w="60" w:type="dxa"/>
              <w:left w:w="120" w:type="dxa"/>
              <w:bottom w:w="30" w:type="dxa"/>
              <w:right w:w="120" w:type="dxa"/>
            </w:tcMar>
            <w:vAlign w:val="center"/>
          </w:tcPr>
          <w:p w14:paraId="4C0CC707">
            <w:pPr>
              <w:snapToGrid w:val="0"/>
              <w:spacing w:line="360" w:lineRule="auto"/>
              <w:rPr>
                <w:rFonts w:ascii="仿宋" w:hAnsi="仿宋" w:eastAsia="仿宋" w:cs="仿宋"/>
                <w:sz w:val="24"/>
              </w:rPr>
            </w:pPr>
          </w:p>
        </w:tc>
        <w:tc>
          <w:tcPr>
            <w:tcW w:w="3170" w:type="pct"/>
            <w:tcMar>
              <w:top w:w="60" w:type="dxa"/>
              <w:left w:w="120" w:type="dxa"/>
              <w:bottom w:w="30" w:type="dxa"/>
              <w:right w:w="120" w:type="dxa"/>
            </w:tcMar>
            <w:vAlign w:val="center"/>
          </w:tcPr>
          <w:p w14:paraId="2EDD1A31">
            <w:pPr>
              <w:snapToGrid w:val="0"/>
              <w:spacing w:line="360" w:lineRule="auto"/>
              <w:rPr>
                <w:rFonts w:ascii="仿宋" w:hAnsi="仿宋" w:eastAsia="仿宋" w:cs="仿宋"/>
                <w:sz w:val="24"/>
              </w:rPr>
            </w:pPr>
            <w:r>
              <w:rPr>
                <w:rFonts w:hint="eastAsia" w:ascii="仿宋" w:hAnsi="仿宋" w:eastAsia="仿宋" w:cs="仿宋"/>
                <w:sz w:val="24"/>
              </w:rPr>
              <w:t>移动可信手写签名系统</w:t>
            </w:r>
          </w:p>
        </w:tc>
      </w:tr>
      <w:tr w14:paraId="0BC07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29" w:type="pct"/>
            <w:vMerge w:val="continue"/>
            <w:tcMar>
              <w:top w:w="60" w:type="dxa"/>
              <w:left w:w="120" w:type="dxa"/>
              <w:bottom w:w="30" w:type="dxa"/>
              <w:right w:w="120" w:type="dxa"/>
            </w:tcMar>
            <w:vAlign w:val="center"/>
          </w:tcPr>
          <w:p w14:paraId="0DE565F5">
            <w:pPr>
              <w:snapToGrid w:val="0"/>
              <w:spacing w:line="360" w:lineRule="auto"/>
              <w:rPr>
                <w:rFonts w:ascii="仿宋" w:hAnsi="仿宋" w:eastAsia="仿宋" w:cs="仿宋"/>
                <w:sz w:val="24"/>
              </w:rPr>
            </w:pPr>
          </w:p>
        </w:tc>
        <w:tc>
          <w:tcPr>
            <w:tcW w:w="3170" w:type="pct"/>
            <w:tcMar>
              <w:top w:w="60" w:type="dxa"/>
              <w:left w:w="120" w:type="dxa"/>
              <w:bottom w:w="30" w:type="dxa"/>
              <w:right w:w="120" w:type="dxa"/>
            </w:tcMar>
            <w:vAlign w:val="center"/>
          </w:tcPr>
          <w:p w14:paraId="7DD88393">
            <w:pPr>
              <w:snapToGrid w:val="0"/>
              <w:spacing w:line="360" w:lineRule="auto"/>
              <w:rPr>
                <w:rFonts w:ascii="仿宋" w:hAnsi="仿宋" w:eastAsia="仿宋" w:cs="仿宋"/>
                <w:sz w:val="24"/>
              </w:rPr>
            </w:pPr>
            <w:r>
              <w:rPr>
                <w:rFonts w:hint="eastAsia" w:ascii="仿宋" w:hAnsi="仿宋" w:eastAsia="仿宋" w:cs="仿宋"/>
                <w:sz w:val="24"/>
              </w:rPr>
              <w:t>事件证书服务系统</w:t>
            </w:r>
          </w:p>
        </w:tc>
      </w:tr>
      <w:tr w14:paraId="02645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29" w:type="pct"/>
            <w:vMerge w:val="continue"/>
            <w:tcMar>
              <w:top w:w="60" w:type="dxa"/>
              <w:left w:w="120" w:type="dxa"/>
              <w:bottom w:w="30" w:type="dxa"/>
              <w:right w:w="120" w:type="dxa"/>
            </w:tcMar>
            <w:vAlign w:val="center"/>
          </w:tcPr>
          <w:p w14:paraId="397594EB">
            <w:pPr>
              <w:snapToGrid w:val="0"/>
              <w:spacing w:line="360" w:lineRule="auto"/>
              <w:rPr>
                <w:rFonts w:ascii="仿宋" w:hAnsi="仿宋" w:eastAsia="仿宋" w:cs="仿宋"/>
                <w:sz w:val="24"/>
              </w:rPr>
            </w:pPr>
          </w:p>
        </w:tc>
        <w:tc>
          <w:tcPr>
            <w:tcW w:w="3170" w:type="pct"/>
            <w:tcMar>
              <w:top w:w="60" w:type="dxa"/>
              <w:left w:w="120" w:type="dxa"/>
              <w:bottom w:w="30" w:type="dxa"/>
              <w:right w:w="120" w:type="dxa"/>
            </w:tcMar>
            <w:vAlign w:val="center"/>
          </w:tcPr>
          <w:p w14:paraId="7E02A45F">
            <w:pPr>
              <w:snapToGrid w:val="0"/>
              <w:spacing w:line="360" w:lineRule="auto"/>
              <w:rPr>
                <w:rFonts w:ascii="仿宋" w:hAnsi="仿宋" w:eastAsia="仿宋" w:cs="仿宋"/>
                <w:sz w:val="24"/>
              </w:rPr>
            </w:pPr>
            <w:r>
              <w:rPr>
                <w:rFonts w:hint="eastAsia" w:ascii="仿宋" w:hAnsi="仿宋" w:eastAsia="仿宋" w:cs="仿宋"/>
                <w:sz w:val="24"/>
              </w:rPr>
              <w:t>个人数字证书系统</w:t>
            </w:r>
          </w:p>
        </w:tc>
      </w:tr>
      <w:tr w14:paraId="30F8A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29" w:type="pct"/>
            <w:vMerge w:val="continue"/>
            <w:tcMar>
              <w:top w:w="60" w:type="dxa"/>
              <w:left w:w="120" w:type="dxa"/>
              <w:bottom w:w="30" w:type="dxa"/>
              <w:right w:w="120" w:type="dxa"/>
            </w:tcMar>
            <w:vAlign w:val="center"/>
          </w:tcPr>
          <w:p w14:paraId="0E888784">
            <w:pPr>
              <w:snapToGrid w:val="0"/>
              <w:spacing w:line="360" w:lineRule="auto"/>
              <w:rPr>
                <w:rFonts w:ascii="仿宋" w:hAnsi="仿宋" w:eastAsia="仿宋" w:cs="仿宋"/>
                <w:sz w:val="24"/>
              </w:rPr>
            </w:pPr>
          </w:p>
        </w:tc>
        <w:tc>
          <w:tcPr>
            <w:tcW w:w="3170" w:type="pct"/>
            <w:tcMar>
              <w:top w:w="60" w:type="dxa"/>
              <w:left w:w="120" w:type="dxa"/>
              <w:bottom w:w="30" w:type="dxa"/>
              <w:right w:w="120" w:type="dxa"/>
            </w:tcMar>
            <w:vAlign w:val="center"/>
          </w:tcPr>
          <w:p w14:paraId="3A9DB9D3">
            <w:pPr>
              <w:snapToGrid w:val="0"/>
              <w:spacing w:line="360" w:lineRule="auto"/>
              <w:rPr>
                <w:rFonts w:ascii="仿宋" w:hAnsi="仿宋" w:eastAsia="仿宋" w:cs="仿宋"/>
                <w:sz w:val="24"/>
              </w:rPr>
            </w:pPr>
            <w:r>
              <w:rPr>
                <w:rFonts w:hint="eastAsia" w:ascii="仿宋" w:hAnsi="仿宋" w:eastAsia="仿宋" w:cs="仿宋"/>
                <w:sz w:val="24"/>
              </w:rPr>
              <w:t>移动数字证书系统</w:t>
            </w:r>
          </w:p>
        </w:tc>
      </w:tr>
      <w:tr w14:paraId="74174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29" w:type="pct"/>
            <w:vMerge w:val="continue"/>
            <w:tcMar>
              <w:top w:w="60" w:type="dxa"/>
              <w:left w:w="120" w:type="dxa"/>
              <w:bottom w:w="30" w:type="dxa"/>
              <w:right w:w="120" w:type="dxa"/>
            </w:tcMar>
            <w:vAlign w:val="center"/>
          </w:tcPr>
          <w:p w14:paraId="2FEA3215">
            <w:pPr>
              <w:snapToGrid w:val="0"/>
              <w:spacing w:line="360" w:lineRule="auto"/>
              <w:rPr>
                <w:rFonts w:ascii="仿宋" w:hAnsi="仿宋" w:eastAsia="仿宋" w:cs="仿宋"/>
                <w:sz w:val="24"/>
              </w:rPr>
            </w:pPr>
          </w:p>
        </w:tc>
        <w:tc>
          <w:tcPr>
            <w:tcW w:w="3170" w:type="pct"/>
            <w:tcMar>
              <w:top w:w="60" w:type="dxa"/>
              <w:left w:w="120" w:type="dxa"/>
              <w:bottom w:w="30" w:type="dxa"/>
              <w:right w:w="120" w:type="dxa"/>
            </w:tcMar>
            <w:vAlign w:val="center"/>
          </w:tcPr>
          <w:p w14:paraId="28C4ACE8">
            <w:pPr>
              <w:snapToGrid w:val="0"/>
              <w:spacing w:line="360" w:lineRule="auto"/>
              <w:rPr>
                <w:rFonts w:ascii="仿宋" w:hAnsi="仿宋" w:eastAsia="仿宋" w:cs="仿宋"/>
                <w:sz w:val="24"/>
              </w:rPr>
            </w:pPr>
            <w:r>
              <w:rPr>
                <w:rFonts w:hint="eastAsia" w:ascii="仿宋" w:hAnsi="仿宋" w:eastAsia="仿宋" w:cs="仿宋"/>
                <w:sz w:val="24"/>
              </w:rPr>
              <w:t>事件个人证书系统</w:t>
            </w:r>
          </w:p>
        </w:tc>
      </w:tr>
      <w:tr w14:paraId="42333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1829" w:type="pct"/>
            <w:vMerge w:val="continue"/>
            <w:tcMar>
              <w:top w:w="60" w:type="dxa"/>
              <w:left w:w="120" w:type="dxa"/>
              <w:bottom w:w="30" w:type="dxa"/>
              <w:right w:w="120" w:type="dxa"/>
            </w:tcMar>
            <w:vAlign w:val="center"/>
          </w:tcPr>
          <w:p w14:paraId="3B0009CE">
            <w:pPr>
              <w:snapToGrid w:val="0"/>
              <w:spacing w:line="360" w:lineRule="auto"/>
              <w:rPr>
                <w:rFonts w:ascii="仿宋" w:hAnsi="仿宋" w:eastAsia="仿宋" w:cs="仿宋"/>
                <w:sz w:val="24"/>
              </w:rPr>
            </w:pPr>
          </w:p>
        </w:tc>
        <w:tc>
          <w:tcPr>
            <w:tcW w:w="3170" w:type="pct"/>
            <w:tcMar>
              <w:top w:w="60" w:type="dxa"/>
              <w:left w:w="120" w:type="dxa"/>
              <w:bottom w:w="30" w:type="dxa"/>
              <w:right w:w="120" w:type="dxa"/>
            </w:tcMar>
            <w:vAlign w:val="center"/>
          </w:tcPr>
          <w:p w14:paraId="5A9E114F">
            <w:pPr>
              <w:snapToGrid w:val="0"/>
              <w:spacing w:line="360" w:lineRule="auto"/>
              <w:rPr>
                <w:rFonts w:ascii="仿宋" w:hAnsi="仿宋" w:eastAsia="仿宋" w:cs="仿宋"/>
                <w:sz w:val="24"/>
              </w:rPr>
            </w:pPr>
            <w:r>
              <w:rPr>
                <w:rFonts w:hint="eastAsia" w:ascii="仿宋" w:hAnsi="仿宋" w:eastAsia="仿宋" w:cs="仿宋"/>
                <w:sz w:val="24"/>
              </w:rPr>
              <w:t>SSL证书</w:t>
            </w:r>
          </w:p>
        </w:tc>
      </w:tr>
    </w:tbl>
    <w:p w14:paraId="65BF3396">
      <w:pPr>
        <w:snapToGrid w:val="0"/>
        <w:spacing w:line="360" w:lineRule="auto"/>
        <w:jc w:val="left"/>
        <w:rPr>
          <w:rFonts w:ascii="仿宋" w:hAnsi="仿宋" w:eastAsia="仿宋" w:cs="仿宋"/>
          <w:sz w:val="24"/>
        </w:rPr>
      </w:pPr>
      <w:r>
        <w:rPr>
          <w:rFonts w:hint="eastAsia" w:ascii="仿宋" w:hAnsi="仿宋" w:eastAsia="仿宋" w:cs="仿宋"/>
          <w:b/>
          <w:sz w:val="24"/>
        </w:rPr>
        <w:t>3. 故障分级标准及服务级别协议（SLA）要求</w:t>
      </w:r>
    </w:p>
    <w:p w14:paraId="2D869F2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结合医疗行业业务连续性要求、《医疗卫生机构网络安全管理办法》事件分级标准、《电子病历应用管理规范》相关要求，制定四级故障分级与刚性SLA要求，服务商须提供7×24小时全时段服务，工作日、节假日、夜间执行统一响应与处置标准，具体如下：</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77"/>
        <w:gridCol w:w="1720"/>
        <w:gridCol w:w="3442"/>
        <w:gridCol w:w="3199"/>
      </w:tblGrid>
      <w:tr w14:paraId="5E538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21F13B24">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941" w:type="pct"/>
            <w:tcMar>
              <w:top w:w="60" w:type="dxa"/>
              <w:left w:w="120" w:type="dxa"/>
              <w:bottom w:w="30" w:type="dxa"/>
              <w:right w:w="120" w:type="dxa"/>
            </w:tcMar>
            <w:vAlign w:val="center"/>
          </w:tcPr>
          <w:p w14:paraId="04C3E283">
            <w:pPr>
              <w:snapToGrid w:val="0"/>
              <w:spacing w:line="360" w:lineRule="auto"/>
              <w:jc w:val="center"/>
              <w:rPr>
                <w:rFonts w:ascii="仿宋" w:hAnsi="仿宋" w:eastAsia="仿宋" w:cs="仿宋"/>
                <w:b/>
                <w:sz w:val="24"/>
              </w:rPr>
            </w:pPr>
            <w:r>
              <w:rPr>
                <w:rFonts w:hint="eastAsia" w:ascii="仿宋" w:hAnsi="仿宋" w:eastAsia="仿宋" w:cs="仿宋"/>
                <w:b/>
                <w:sz w:val="24"/>
              </w:rPr>
              <w:t>故障等级</w:t>
            </w:r>
          </w:p>
        </w:tc>
        <w:tc>
          <w:tcPr>
            <w:tcW w:w="1883" w:type="pct"/>
            <w:tcMar>
              <w:top w:w="60" w:type="dxa"/>
              <w:left w:w="120" w:type="dxa"/>
              <w:bottom w:w="30" w:type="dxa"/>
              <w:right w:w="120" w:type="dxa"/>
            </w:tcMar>
            <w:vAlign w:val="center"/>
          </w:tcPr>
          <w:p w14:paraId="21AD15CA">
            <w:pPr>
              <w:snapToGrid w:val="0"/>
              <w:spacing w:line="360" w:lineRule="auto"/>
              <w:jc w:val="center"/>
              <w:rPr>
                <w:rFonts w:ascii="仿宋" w:hAnsi="仿宋" w:eastAsia="仿宋" w:cs="仿宋"/>
                <w:b/>
                <w:sz w:val="24"/>
              </w:rPr>
            </w:pPr>
            <w:r>
              <w:rPr>
                <w:rFonts w:hint="eastAsia" w:ascii="仿宋" w:hAnsi="仿宋" w:eastAsia="仿宋" w:cs="仿宋"/>
                <w:b/>
                <w:sz w:val="24"/>
              </w:rPr>
              <w:t>故障情况描述</w:t>
            </w:r>
          </w:p>
        </w:tc>
        <w:tc>
          <w:tcPr>
            <w:tcW w:w="1750" w:type="pct"/>
            <w:tcMar>
              <w:top w:w="60" w:type="dxa"/>
              <w:left w:w="120" w:type="dxa"/>
              <w:bottom w:w="30" w:type="dxa"/>
              <w:right w:w="120" w:type="dxa"/>
            </w:tcMar>
            <w:vAlign w:val="center"/>
          </w:tcPr>
          <w:p w14:paraId="51720E50">
            <w:pPr>
              <w:snapToGrid w:val="0"/>
              <w:spacing w:line="360" w:lineRule="auto"/>
              <w:jc w:val="center"/>
              <w:rPr>
                <w:rFonts w:ascii="仿宋" w:hAnsi="仿宋" w:eastAsia="仿宋" w:cs="仿宋"/>
                <w:b/>
                <w:sz w:val="24"/>
              </w:rPr>
            </w:pPr>
            <w:r>
              <w:rPr>
                <w:rFonts w:hint="eastAsia" w:ascii="仿宋" w:hAnsi="仿宋" w:eastAsia="仿宋" w:cs="仿宋"/>
                <w:b/>
                <w:sz w:val="24"/>
              </w:rPr>
              <w:t>刚性SLA要求</w:t>
            </w:r>
          </w:p>
        </w:tc>
      </w:tr>
      <w:tr w14:paraId="5A543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0FC25DAB">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941" w:type="pct"/>
            <w:tcMar>
              <w:top w:w="60" w:type="dxa"/>
              <w:left w:w="120" w:type="dxa"/>
              <w:bottom w:w="30" w:type="dxa"/>
              <w:right w:w="120" w:type="dxa"/>
            </w:tcMar>
            <w:vAlign w:val="center"/>
          </w:tcPr>
          <w:p w14:paraId="1D533F65">
            <w:pPr>
              <w:snapToGrid w:val="0"/>
              <w:spacing w:line="360" w:lineRule="auto"/>
              <w:jc w:val="center"/>
              <w:rPr>
                <w:rFonts w:ascii="仿宋" w:hAnsi="仿宋" w:eastAsia="仿宋" w:cs="仿宋"/>
                <w:sz w:val="24"/>
              </w:rPr>
            </w:pPr>
            <w:r>
              <w:rPr>
                <w:rFonts w:hint="eastAsia" w:ascii="仿宋" w:hAnsi="仿宋" w:eastAsia="仿宋" w:cs="仿宋"/>
                <w:sz w:val="24"/>
              </w:rPr>
              <w:t>一级故障（重大）</w:t>
            </w:r>
          </w:p>
        </w:tc>
        <w:tc>
          <w:tcPr>
            <w:tcW w:w="1883" w:type="pct"/>
            <w:tcMar>
              <w:top w:w="60" w:type="dxa"/>
              <w:left w:w="120" w:type="dxa"/>
              <w:bottom w:w="30" w:type="dxa"/>
              <w:right w:w="120" w:type="dxa"/>
            </w:tcMar>
          </w:tcPr>
          <w:p w14:paraId="598434F8">
            <w:pPr>
              <w:snapToGrid w:val="0"/>
              <w:spacing w:line="360" w:lineRule="auto"/>
              <w:jc w:val="left"/>
              <w:rPr>
                <w:rFonts w:ascii="仿宋" w:hAnsi="仿宋" w:eastAsia="仿宋" w:cs="仿宋"/>
                <w:sz w:val="24"/>
              </w:rPr>
            </w:pPr>
            <w:r>
              <w:rPr>
                <w:rFonts w:hint="eastAsia" w:ascii="仿宋" w:hAnsi="仿宋" w:eastAsia="仿宋" w:cs="仿宋"/>
                <w:sz w:val="24"/>
              </w:rPr>
              <w:t>1. 系统核心服务瘫痪，导致业务中断，多部门终端无法办理业务，严重影响医院正常医疗秩序；</w:t>
            </w:r>
          </w:p>
          <w:p w14:paraId="5124E034">
            <w:pPr>
              <w:snapToGrid w:val="0"/>
              <w:spacing w:line="360" w:lineRule="auto"/>
              <w:jc w:val="left"/>
              <w:rPr>
                <w:rFonts w:ascii="仿宋" w:hAnsi="仿宋" w:eastAsia="仿宋" w:cs="仿宋"/>
                <w:sz w:val="24"/>
              </w:rPr>
            </w:pPr>
            <w:r>
              <w:rPr>
                <w:rFonts w:hint="eastAsia" w:ascii="仿宋" w:hAnsi="仿宋" w:eastAsia="仿宋" w:cs="仿宋"/>
                <w:sz w:val="24"/>
              </w:rPr>
              <w:t>2. 系统与HIS、EMR、PACS等核心系统接口完全中断，导致业务数据无法传输，严重影响医院正常医疗秩序</w:t>
            </w:r>
          </w:p>
          <w:p w14:paraId="2202285B">
            <w:pPr>
              <w:snapToGrid w:val="0"/>
              <w:spacing w:line="360" w:lineRule="auto"/>
              <w:jc w:val="left"/>
              <w:rPr>
                <w:rFonts w:ascii="仿宋" w:hAnsi="仿宋" w:eastAsia="仿宋" w:cs="仿宋"/>
                <w:sz w:val="24"/>
              </w:rPr>
            </w:pPr>
            <w:r>
              <w:rPr>
                <w:rFonts w:hint="eastAsia" w:ascii="仿宋" w:hAnsi="仿宋" w:eastAsia="仿宋" w:cs="仿宋"/>
                <w:sz w:val="24"/>
              </w:rPr>
              <w:t>3.  发生患者个人信息批量泄露、医疗数据被篡改/丢失等重大数据安全事件；</w:t>
            </w:r>
          </w:p>
          <w:p w14:paraId="29C97752">
            <w:pPr>
              <w:snapToGrid w:val="0"/>
              <w:spacing w:line="360" w:lineRule="auto"/>
              <w:jc w:val="left"/>
              <w:rPr>
                <w:rFonts w:ascii="仿宋" w:hAnsi="仿宋" w:eastAsia="仿宋" w:cs="仿宋"/>
                <w:sz w:val="24"/>
              </w:rPr>
            </w:pPr>
            <w:r>
              <w:rPr>
                <w:rFonts w:hint="eastAsia" w:ascii="仿宋" w:hAnsi="仿宋" w:eastAsia="仿宋" w:cs="仿宋"/>
                <w:sz w:val="24"/>
              </w:rPr>
              <w:t>4. 系统被非法入侵、攻击，出现高危安全漏洞，威胁医院整体网络安全。</w:t>
            </w:r>
          </w:p>
        </w:tc>
        <w:tc>
          <w:tcPr>
            <w:tcW w:w="1750" w:type="pct"/>
            <w:tcMar>
              <w:top w:w="60" w:type="dxa"/>
              <w:left w:w="120" w:type="dxa"/>
              <w:bottom w:w="30" w:type="dxa"/>
              <w:right w:w="120" w:type="dxa"/>
            </w:tcMar>
          </w:tcPr>
          <w:p w14:paraId="2181C50D">
            <w:pPr>
              <w:snapToGrid w:val="0"/>
              <w:spacing w:line="360" w:lineRule="auto"/>
              <w:jc w:val="left"/>
              <w:rPr>
                <w:rFonts w:ascii="仿宋" w:hAnsi="仿宋" w:eastAsia="仿宋" w:cs="仿宋"/>
                <w:sz w:val="24"/>
              </w:rPr>
            </w:pPr>
            <w:r>
              <w:rPr>
                <w:rFonts w:hint="eastAsia" w:ascii="仿宋" w:hAnsi="仿宋" w:eastAsia="仿宋" w:cs="仿宋"/>
                <w:sz w:val="24"/>
              </w:rPr>
              <w:t>1. 10分钟内必须响应，与采购人明确故障情况，出具应急处置方案；</w:t>
            </w:r>
          </w:p>
          <w:p w14:paraId="43160C22">
            <w:pPr>
              <w:snapToGrid w:val="0"/>
              <w:spacing w:line="360" w:lineRule="auto"/>
              <w:jc w:val="left"/>
              <w:rPr>
                <w:rFonts w:ascii="仿宋" w:hAnsi="仿宋" w:eastAsia="仿宋" w:cs="仿宋"/>
                <w:sz w:val="24"/>
              </w:rPr>
            </w:pPr>
            <w:r>
              <w:rPr>
                <w:rFonts w:hint="eastAsia" w:ascii="仿宋" w:hAnsi="仿宋" w:eastAsia="仿宋" w:cs="仿宋"/>
                <w:sz w:val="24"/>
              </w:rPr>
              <w:t>2. 4小时内派驻具备资质的技术人员到达现场；</w:t>
            </w:r>
          </w:p>
          <w:p w14:paraId="40E566AD">
            <w:pPr>
              <w:snapToGrid w:val="0"/>
              <w:spacing w:line="360" w:lineRule="auto"/>
              <w:jc w:val="left"/>
              <w:rPr>
                <w:rFonts w:ascii="仿宋" w:hAnsi="仿宋" w:eastAsia="仿宋" w:cs="仿宋"/>
                <w:sz w:val="24"/>
              </w:rPr>
            </w:pPr>
            <w:r>
              <w:rPr>
                <w:rFonts w:hint="eastAsia" w:ascii="仿宋" w:hAnsi="仿宋" w:eastAsia="仿宋" w:cs="仿宋"/>
                <w:sz w:val="24"/>
              </w:rPr>
              <w:t>3. 6小时内完成故障修复，恢复系统核心业务正常运行；</w:t>
            </w:r>
          </w:p>
          <w:p w14:paraId="20493F81">
            <w:pPr>
              <w:snapToGrid w:val="0"/>
              <w:spacing w:line="360" w:lineRule="auto"/>
              <w:jc w:val="left"/>
              <w:rPr>
                <w:rFonts w:ascii="仿宋" w:hAnsi="仿宋" w:eastAsia="仿宋" w:cs="仿宋"/>
                <w:sz w:val="24"/>
              </w:rPr>
            </w:pPr>
            <w:r>
              <w:rPr>
                <w:rFonts w:hint="eastAsia" w:ascii="仿宋" w:hAnsi="仿宋" w:eastAsia="仿宋" w:cs="仿宋"/>
                <w:sz w:val="24"/>
              </w:rPr>
              <w:t>4. 无法在时限内完全修复的，须提供临时应急方案保障业务连续性，直至系统完全恢复；</w:t>
            </w:r>
          </w:p>
          <w:p w14:paraId="7ABC4532">
            <w:pPr>
              <w:snapToGrid w:val="0"/>
              <w:spacing w:line="360" w:lineRule="auto"/>
              <w:jc w:val="left"/>
              <w:rPr>
                <w:rFonts w:ascii="仿宋" w:hAnsi="仿宋" w:eastAsia="仿宋" w:cs="仿宋"/>
                <w:sz w:val="24"/>
              </w:rPr>
            </w:pPr>
            <w:r>
              <w:rPr>
                <w:rFonts w:hint="eastAsia" w:ascii="仿宋" w:hAnsi="仿宋" w:eastAsia="仿宋" w:cs="仿宋"/>
                <w:sz w:val="24"/>
              </w:rPr>
              <w:t>5. 故障处置完成后24小时内提交正式故障分析与复盘报告。</w:t>
            </w:r>
          </w:p>
        </w:tc>
      </w:tr>
      <w:tr w14:paraId="155CF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436CBDAB">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941" w:type="pct"/>
            <w:tcMar>
              <w:top w:w="60" w:type="dxa"/>
              <w:left w:w="120" w:type="dxa"/>
              <w:bottom w:w="30" w:type="dxa"/>
              <w:right w:w="120" w:type="dxa"/>
            </w:tcMar>
            <w:vAlign w:val="center"/>
          </w:tcPr>
          <w:p w14:paraId="307FF167">
            <w:pPr>
              <w:snapToGrid w:val="0"/>
              <w:spacing w:line="360" w:lineRule="auto"/>
              <w:jc w:val="center"/>
              <w:rPr>
                <w:rFonts w:ascii="仿宋" w:hAnsi="仿宋" w:eastAsia="仿宋" w:cs="仿宋"/>
                <w:sz w:val="24"/>
              </w:rPr>
            </w:pPr>
            <w:r>
              <w:rPr>
                <w:rFonts w:hint="eastAsia" w:ascii="仿宋" w:hAnsi="仿宋" w:eastAsia="仿宋" w:cs="仿宋"/>
                <w:sz w:val="24"/>
              </w:rPr>
              <w:t>二级故障（严重）</w:t>
            </w:r>
          </w:p>
        </w:tc>
        <w:tc>
          <w:tcPr>
            <w:tcW w:w="1883" w:type="pct"/>
            <w:tcMar>
              <w:top w:w="60" w:type="dxa"/>
              <w:left w:w="120" w:type="dxa"/>
              <w:bottom w:w="30" w:type="dxa"/>
              <w:right w:w="120" w:type="dxa"/>
            </w:tcMar>
          </w:tcPr>
          <w:p w14:paraId="3B40D57E">
            <w:pPr>
              <w:snapToGrid w:val="0"/>
              <w:spacing w:line="360" w:lineRule="auto"/>
              <w:jc w:val="left"/>
              <w:rPr>
                <w:rFonts w:ascii="仿宋" w:hAnsi="仿宋" w:eastAsia="仿宋" w:cs="仿宋"/>
                <w:sz w:val="24"/>
              </w:rPr>
            </w:pPr>
            <w:r>
              <w:rPr>
                <w:rFonts w:hint="eastAsia" w:ascii="仿宋" w:hAnsi="仿宋" w:eastAsia="仿宋" w:cs="仿宋"/>
                <w:sz w:val="24"/>
              </w:rPr>
              <w:t>1. 系统操作性能严重降级，核心功能响应延迟超500%，严重影响医生操作与患者业务办理；</w:t>
            </w:r>
          </w:p>
          <w:p w14:paraId="50E3AB88">
            <w:pPr>
              <w:snapToGrid w:val="0"/>
              <w:spacing w:line="360" w:lineRule="auto"/>
              <w:jc w:val="left"/>
              <w:rPr>
                <w:rFonts w:ascii="仿宋" w:hAnsi="仿宋" w:eastAsia="仿宋" w:cs="仿宋"/>
                <w:sz w:val="24"/>
              </w:rPr>
            </w:pPr>
            <w:r>
              <w:rPr>
                <w:rFonts w:hint="eastAsia" w:ascii="仿宋" w:hAnsi="仿宋" w:eastAsia="仿宋" w:cs="仿宋"/>
                <w:sz w:val="24"/>
              </w:rPr>
              <w:t>2. 核心科室、门诊3个及以上科室系统无法正常使用，影响大面积患者就医；</w:t>
            </w:r>
          </w:p>
          <w:p w14:paraId="73EB8865">
            <w:pPr>
              <w:snapToGrid w:val="0"/>
              <w:spacing w:line="360" w:lineRule="auto"/>
              <w:jc w:val="left"/>
              <w:rPr>
                <w:rFonts w:ascii="仿宋" w:hAnsi="仿宋" w:eastAsia="仿宋" w:cs="仿宋"/>
                <w:sz w:val="24"/>
              </w:rPr>
            </w:pPr>
            <w:r>
              <w:rPr>
                <w:rFonts w:hint="eastAsia" w:ascii="仿宋" w:hAnsi="仿宋" w:eastAsia="仿宋" w:cs="仿宋"/>
                <w:sz w:val="24"/>
              </w:rPr>
              <w:t>3. 系统出现数据异常、统计错误，影响医疗业务正常开展，存在数据安全隐患。</w:t>
            </w:r>
          </w:p>
        </w:tc>
        <w:tc>
          <w:tcPr>
            <w:tcW w:w="1750" w:type="pct"/>
            <w:tcMar>
              <w:top w:w="60" w:type="dxa"/>
              <w:left w:w="120" w:type="dxa"/>
              <w:bottom w:w="30" w:type="dxa"/>
              <w:right w:w="120" w:type="dxa"/>
            </w:tcMar>
          </w:tcPr>
          <w:p w14:paraId="0428D9F8">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30分钟内必须响应，出具初步处置方案；</w:t>
            </w:r>
          </w:p>
          <w:p w14:paraId="247C2D19">
            <w:pPr>
              <w:snapToGrid w:val="0"/>
              <w:spacing w:line="360" w:lineRule="auto"/>
              <w:jc w:val="left"/>
              <w:rPr>
                <w:rFonts w:ascii="仿宋" w:hAnsi="仿宋" w:eastAsia="仿宋" w:cs="仿宋"/>
                <w:sz w:val="24"/>
              </w:rPr>
            </w:pPr>
            <w:r>
              <w:rPr>
                <w:rFonts w:hint="eastAsia" w:ascii="仿宋" w:hAnsi="仿宋" w:eastAsia="仿宋" w:cs="仿宋"/>
                <w:sz w:val="24"/>
              </w:rPr>
              <w:t>2. 6小时内到达现场或通过安全远程方式完成故障处置；</w:t>
            </w:r>
          </w:p>
          <w:p w14:paraId="22448CFD">
            <w:pPr>
              <w:snapToGrid w:val="0"/>
              <w:spacing w:line="360" w:lineRule="auto"/>
              <w:jc w:val="left"/>
              <w:rPr>
                <w:rFonts w:ascii="仿宋" w:hAnsi="仿宋" w:eastAsia="仿宋" w:cs="仿宋"/>
                <w:sz w:val="24"/>
              </w:rPr>
            </w:pPr>
            <w:r>
              <w:rPr>
                <w:rFonts w:hint="eastAsia" w:ascii="仿宋" w:hAnsi="仿宋" w:eastAsia="仿宋" w:cs="仿宋"/>
                <w:sz w:val="24"/>
              </w:rPr>
              <w:t>3. 12小时内完成故障修复，系统恢复正常运行；</w:t>
            </w:r>
          </w:p>
          <w:p w14:paraId="2E5B9D43">
            <w:pPr>
              <w:snapToGrid w:val="0"/>
              <w:spacing w:line="360" w:lineRule="auto"/>
              <w:jc w:val="left"/>
              <w:rPr>
                <w:rFonts w:ascii="仿宋" w:hAnsi="仿宋" w:eastAsia="仿宋" w:cs="仿宋"/>
                <w:sz w:val="24"/>
              </w:rPr>
            </w:pPr>
            <w:r>
              <w:rPr>
                <w:rFonts w:hint="eastAsia" w:ascii="仿宋" w:hAnsi="仿宋" w:eastAsia="仿宋" w:cs="仿宋"/>
                <w:sz w:val="24"/>
              </w:rPr>
              <w:t>4. 故障处置完成后3个工作日内提交故障分析报告。</w:t>
            </w:r>
          </w:p>
        </w:tc>
      </w:tr>
      <w:tr w14:paraId="2FAD6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212" w:hRule="atLeast"/>
        </w:trPr>
        <w:tc>
          <w:tcPr>
            <w:tcW w:w="425" w:type="pct"/>
            <w:tcMar>
              <w:top w:w="60" w:type="dxa"/>
              <w:left w:w="120" w:type="dxa"/>
              <w:bottom w:w="30" w:type="dxa"/>
              <w:right w:w="120" w:type="dxa"/>
            </w:tcMar>
            <w:vAlign w:val="center"/>
          </w:tcPr>
          <w:p w14:paraId="06FCF52D">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941" w:type="pct"/>
            <w:tcMar>
              <w:top w:w="60" w:type="dxa"/>
              <w:left w:w="120" w:type="dxa"/>
              <w:bottom w:w="30" w:type="dxa"/>
              <w:right w:w="120" w:type="dxa"/>
            </w:tcMar>
            <w:vAlign w:val="center"/>
          </w:tcPr>
          <w:p w14:paraId="4BE78A5B">
            <w:pPr>
              <w:snapToGrid w:val="0"/>
              <w:spacing w:line="360" w:lineRule="auto"/>
              <w:jc w:val="center"/>
              <w:rPr>
                <w:rFonts w:ascii="仿宋" w:hAnsi="仿宋" w:eastAsia="仿宋" w:cs="仿宋"/>
                <w:sz w:val="24"/>
              </w:rPr>
            </w:pPr>
            <w:r>
              <w:rPr>
                <w:rFonts w:hint="eastAsia" w:ascii="仿宋" w:hAnsi="仿宋" w:eastAsia="仿宋" w:cs="仿宋"/>
                <w:sz w:val="24"/>
              </w:rPr>
              <w:t>三级故障（一般）</w:t>
            </w:r>
          </w:p>
        </w:tc>
        <w:tc>
          <w:tcPr>
            <w:tcW w:w="1883" w:type="pct"/>
            <w:tcMar>
              <w:top w:w="60" w:type="dxa"/>
              <w:left w:w="120" w:type="dxa"/>
              <w:bottom w:w="30" w:type="dxa"/>
              <w:right w:w="120" w:type="dxa"/>
            </w:tcMar>
          </w:tcPr>
          <w:p w14:paraId="012DDAA4">
            <w:pPr>
              <w:snapToGrid w:val="0"/>
              <w:spacing w:line="360" w:lineRule="auto"/>
              <w:jc w:val="left"/>
              <w:rPr>
                <w:rFonts w:ascii="仿宋" w:hAnsi="仿宋" w:eastAsia="仿宋" w:cs="仿宋"/>
                <w:sz w:val="24"/>
              </w:rPr>
            </w:pPr>
            <w:r>
              <w:rPr>
                <w:rFonts w:hint="eastAsia" w:ascii="仿宋" w:hAnsi="仿宋" w:eastAsia="仿宋" w:cs="仿宋"/>
                <w:sz w:val="24"/>
              </w:rPr>
              <w:t>1. 系统非核心功能受损，仅影响单个科室/少量终端使用，医院核心业务可正常开展；</w:t>
            </w:r>
          </w:p>
          <w:p w14:paraId="2EE0C876">
            <w:pPr>
              <w:snapToGrid w:val="0"/>
              <w:spacing w:line="360" w:lineRule="auto"/>
              <w:jc w:val="left"/>
              <w:rPr>
                <w:rFonts w:ascii="仿宋" w:hAnsi="仿宋" w:eastAsia="仿宋" w:cs="仿宋"/>
                <w:sz w:val="24"/>
              </w:rPr>
            </w:pPr>
            <w:r>
              <w:rPr>
                <w:rFonts w:hint="eastAsia" w:ascii="仿宋" w:hAnsi="仿宋" w:eastAsia="仿宋" w:cs="仿宋"/>
                <w:sz w:val="24"/>
              </w:rPr>
              <w:t>2. 系统出现局部数据异常、报表统计偏差，不影响核心业务办理；</w:t>
            </w:r>
          </w:p>
          <w:p w14:paraId="29BAB654">
            <w:pPr>
              <w:snapToGrid w:val="0"/>
              <w:spacing w:line="360" w:lineRule="auto"/>
              <w:jc w:val="left"/>
              <w:rPr>
                <w:rFonts w:ascii="仿宋" w:hAnsi="仿宋" w:eastAsia="仿宋" w:cs="仿宋"/>
                <w:sz w:val="24"/>
              </w:rPr>
            </w:pPr>
            <w:r>
              <w:rPr>
                <w:rFonts w:hint="eastAsia" w:ascii="仿宋" w:hAnsi="仿宋" w:eastAsia="仿宋" w:cs="仿宋"/>
                <w:sz w:val="24"/>
              </w:rPr>
              <w:t>3.配套设备故障，不影响整体业务流程。</w:t>
            </w:r>
          </w:p>
        </w:tc>
        <w:tc>
          <w:tcPr>
            <w:tcW w:w="1750" w:type="pct"/>
            <w:tcMar>
              <w:top w:w="60" w:type="dxa"/>
              <w:left w:w="120" w:type="dxa"/>
              <w:bottom w:w="30" w:type="dxa"/>
              <w:right w:w="120" w:type="dxa"/>
            </w:tcMar>
          </w:tcPr>
          <w:p w14:paraId="4F168BF1">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30分钟内必须响应，出具处置方案；</w:t>
            </w:r>
          </w:p>
          <w:p w14:paraId="5E959491">
            <w:pPr>
              <w:snapToGrid w:val="0"/>
              <w:spacing w:line="360" w:lineRule="auto"/>
              <w:jc w:val="left"/>
              <w:rPr>
                <w:rFonts w:ascii="仿宋" w:hAnsi="仿宋" w:eastAsia="仿宋" w:cs="仿宋"/>
                <w:sz w:val="24"/>
              </w:rPr>
            </w:pPr>
            <w:r>
              <w:rPr>
                <w:rFonts w:hint="eastAsia" w:ascii="仿宋" w:hAnsi="仿宋" w:eastAsia="仿宋" w:cs="仿宋"/>
                <w:sz w:val="24"/>
              </w:rPr>
              <w:t>2. 12小时内到达现场或通过远程方式完成故障处置；</w:t>
            </w:r>
          </w:p>
          <w:p w14:paraId="488F674C">
            <w:pPr>
              <w:snapToGrid w:val="0"/>
              <w:spacing w:line="360" w:lineRule="auto"/>
              <w:jc w:val="left"/>
              <w:rPr>
                <w:rFonts w:ascii="仿宋" w:hAnsi="仿宋" w:eastAsia="仿宋" w:cs="仿宋"/>
                <w:sz w:val="24"/>
              </w:rPr>
            </w:pPr>
            <w:r>
              <w:rPr>
                <w:rFonts w:hint="eastAsia" w:ascii="仿宋" w:hAnsi="仿宋" w:eastAsia="仿宋" w:cs="仿宋"/>
                <w:sz w:val="24"/>
              </w:rPr>
              <w:t>3. 24小时内完成故障修复，闭环处置问题。</w:t>
            </w:r>
          </w:p>
        </w:tc>
      </w:tr>
      <w:tr w14:paraId="379A1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425" w:type="pct"/>
            <w:tcMar>
              <w:top w:w="60" w:type="dxa"/>
              <w:left w:w="120" w:type="dxa"/>
              <w:bottom w:w="30" w:type="dxa"/>
              <w:right w:w="120" w:type="dxa"/>
            </w:tcMar>
            <w:vAlign w:val="center"/>
          </w:tcPr>
          <w:p w14:paraId="79DCCB3E">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941" w:type="pct"/>
            <w:tcMar>
              <w:top w:w="60" w:type="dxa"/>
              <w:left w:w="120" w:type="dxa"/>
              <w:bottom w:w="30" w:type="dxa"/>
              <w:right w:w="120" w:type="dxa"/>
            </w:tcMar>
            <w:vAlign w:val="center"/>
          </w:tcPr>
          <w:p w14:paraId="249D9639">
            <w:pPr>
              <w:snapToGrid w:val="0"/>
              <w:spacing w:line="360" w:lineRule="auto"/>
              <w:jc w:val="center"/>
              <w:rPr>
                <w:rFonts w:ascii="仿宋" w:hAnsi="仿宋" w:eastAsia="仿宋" w:cs="仿宋"/>
                <w:sz w:val="24"/>
              </w:rPr>
            </w:pPr>
            <w:r>
              <w:rPr>
                <w:rFonts w:hint="eastAsia" w:ascii="仿宋" w:hAnsi="仿宋" w:eastAsia="仿宋" w:cs="仿宋"/>
                <w:sz w:val="24"/>
              </w:rPr>
              <w:t>四级故障（轻微）</w:t>
            </w:r>
          </w:p>
        </w:tc>
        <w:tc>
          <w:tcPr>
            <w:tcW w:w="1883" w:type="pct"/>
            <w:tcMar>
              <w:top w:w="60" w:type="dxa"/>
              <w:left w:w="120" w:type="dxa"/>
              <w:bottom w:w="30" w:type="dxa"/>
              <w:right w:w="120" w:type="dxa"/>
            </w:tcMar>
          </w:tcPr>
          <w:p w14:paraId="0D69E238">
            <w:pPr>
              <w:snapToGrid w:val="0"/>
              <w:spacing w:line="360" w:lineRule="auto"/>
              <w:jc w:val="left"/>
              <w:rPr>
                <w:rFonts w:ascii="仿宋" w:hAnsi="仿宋" w:eastAsia="仿宋" w:cs="仿宋"/>
                <w:sz w:val="24"/>
              </w:rPr>
            </w:pPr>
            <w:r>
              <w:rPr>
                <w:rFonts w:hint="eastAsia" w:ascii="仿宋" w:hAnsi="仿宋" w:eastAsia="仿宋" w:cs="仿宋"/>
                <w:sz w:val="24"/>
              </w:rPr>
              <w:t>1. 系统出现一般性操作问题、界面显示异常，对患者就医、系统运行几乎无影响；</w:t>
            </w:r>
          </w:p>
          <w:p w14:paraId="6700EC09">
            <w:pPr>
              <w:snapToGrid w:val="0"/>
              <w:spacing w:line="360" w:lineRule="auto"/>
              <w:jc w:val="left"/>
              <w:rPr>
                <w:rFonts w:ascii="仿宋" w:hAnsi="仿宋" w:eastAsia="仿宋" w:cs="仿宋"/>
                <w:sz w:val="24"/>
              </w:rPr>
            </w:pPr>
            <w:r>
              <w:rPr>
                <w:rFonts w:hint="eastAsia" w:ascii="仿宋" w:hAnsi="仿宋" w:eastAsia="仿宋" w:cs="仿宋"/>
                <w:sz w:val="24"/>
              </w:rPr>
              <w:t>2. 医护人员提出的系统操作咨询、功能配置调整等非故障类服务请求。</w:t>
            </w:r>
          </w:p>
        </w:tc>
        <w:tc>
          <w:tcPr>
            <w:tcW w:w="1750" w:type="pct"/>
            <w:tcMar>
              <w:top w:w="60" w:type="dxa"/>
              <w:left w:w="120" w:type="dxa"/>
              <w:bottom w:w="30" w:type="dxa"/>
              <w:right w:w="120" w:type="dxa"/>
            </w:tcMar>
          </w:tcPr>
          <w:p w14:paraId="6B0C2312">
            <w:pPr>
              <w:snapToGrid w:val="0"/>
              <w:spacing w:line="360" w:lineRule="auto"/>
              <w:jc w:val="left"/>
              <w:rPr>
                <w:rFonts w:ascii="仿宋" w:hAnsi="仿宋" w:eastAsia="仿宋" w:cs="仿宋"/>
                <w:sz w:val="24"/>
              </w:rPr>
            </w:pPr>
            <w:r>
              <w:rPr>
                <w:rFonts w:hint="eastAsia" w:ascii="仿宋" w:hAnsi="仿宋" w:eastAsia="仿宋" w:cs="仿宋"/>
                <w:sz w:val="24"/>
              </w:rPr>
              <w:t>1. 30分钟内必须响应，提供技术指导与解决方案；</w:t>
            </w:r>
          </w:p>
          <w:p w14:paraId="2B0C9F23">
            <w:pPr>
              <w:snapToGrid w:val="0"/>
              <w:spacing w:line="360" w:lineRule="auto"/>
              <w:jc w:val="left"/>
              <w:rPr>
                <w:rFonts w:ascii="仿宋" w:hAnsi="仿宋" w:eastAsia="仿宋" w:cs="仿宋"/>
                <w:sz w:val="24"/>
              </w:rPr>
            </w:pPr>
            <w:r>
              <w:rPr>
                <w:rFonts w:hint="eastAsia" w:ascii="仿宋" w:hAnsi="仿宋" w:eastAsia="仿宋" w:cs="仿宋"/>
                <w:sz w:val="24"/>
              </w:rPr>
              <w:t>2. 24小时内通过远程或现场方式完成处置；</w:t>
            </w:r>
          </w:p>
          <w:p w14:paraId="0DDEFE09">
            <w:pPr>
              <w:snapToGrid w:val="0"/>
              <w:spacing w:line="360" w:lineRule="auto"/>
              <w:jc w:val="left"/>
              <w:rPr>
                <w:rFonts w:ascii="仿宋" w:hAnsi="仿宋" w:eastAsia="仿宋" w:cs="仿宋"/>
                <w:sz w:val="24"/>
              </w:rPr>
            </w:pPr>
            <w:r>
              <w:rPr>
                <w:rFonts w:hint="eastAsia" w:ascii="仿宋" w:hAnsi="仿宋" w:eastAsia="仿宋" w:cs="仿宋"/>
                <w:sz w:val="24"/>
              </w:rPr>
              <w:t>3. 48小时内完成问题闭环。</w:t>
            </w:r>
          </w:p>
        </w:tc>
      </w:tr>
    </w:tbl>
    <w:p w14:paraId="1896EE31">
      <w:pPr>
        <w:snapToGrid w:val="0"/>
        <w:spacing w:line="360" w:lineRule="auto"/>
        <w:ind w:firstLine="480" w:firstLineChars="200"/>
        <w:jc w:val="left"/>
        <w:rPr>
          <w:rFonts w:ascii="仿宋" w:hAnsi="仿宋" w:eastAsia="仿宋" w:cs="仿宋"/>
          <w:sz w:val="24"/>
        </w:rPr>
      </w:pPr>
    </w:p>
    <w:p w14:paraId="2744B42C">
      <w:pPr>
        <w:snapToGrid w:val="0"/>
        <w:spacing w:line="360" w:lineRule="auto"/>
        <w:jc w:val="left"/>
        <w:rPr>
          <w:rFonts w:ascii="仿宋" w:hAnsi="仿宋" w:eastAsia="仿宋" w:cs="仿宋"/>
          <w:sz w:val="24"/>
        </w:rPr>
      </w:pPr>
      <w:r>
        <w:rPr>
          <w:rFonts w:hint="eastAsia" w:ascii="仿宋" w:hAnsi="仿宋" w:eastAsia="仿宋" w:cs="仿宋"/>
          <w:b/>
          <w:sz w:val="24"/>
        </w:rPr>
        <w:t>4. 售后运维服务核心要求</w:t>
      </w:r>
    </w:p>
    <w:p w14:paraId="32DF54F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服务商须严格按照以下要求提供全流程售后运维服务，可依据自身技术能力提供增值服务，但不得低于以下标准要求，所有服务须留存完整、可追溯的工作记录，接受采购人全程监督。</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580"/>
        <w:gridCol w:w="724"/>
        <w:gridCol w:w="5369"/>
        <w:gridCol w:w="1159"/>
        <w:gridCol w:w="1306"/>
      </w:tblGrid>
      <w:tr w14:paraId="08BAF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524ABDAE">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396" w:type="pct"/>
            <w:tcMar>
              <w:top w:w="60" w:type="dxa"/>
              <w:left w:w="120" w:type="dxa"/>
              <w:bottom w:w="30" w:type="dxa"/>
              <w:right w:w="120" w:type="dxa"/>
            </w:tcMar>
            <w:vAlign w:val="center"/>
          </w:tcPr>
          <w:p w14:paraId="01E4D6A9">
            <w:pPr>
              <w:snapToGrid w:val="0"/>
              <w:spacing w:line="360" w:lineRule="auto"/>
              <w:jc w:val="center"/>
              <w:rPr>
                <w:rFonts w:ascii="仿宋" w:hAnsi="仿宋" w:eastAsia="仿宋" w:cs="仿宋"/>
                <w:b/>
                <w:sz w:val="24"/>
              </w:rPr>
            </w:pPr>
            <w:r>
              <w:rPr>
                <w:rFonts w:hint="eastAsia" w:ascii="仿宋" w:hAnsi="仿宋" w:eastAsia="仿宋" w:cs="仿宋"/>
                <w:b/>
                <w:sz w:val="24"/>
              </w:rPr>
              <w:t>服务项目</w:t>
            </w:r>
          </w:p>
        </w:tc>
        <w:tc>
          <w:tcPr>
            <w:tcW w:w="2936" w:type="pct"/>
            <w:tcMar>
              <w:top w:w="60" w:type="dxa"/>
              <w:left w:w="120" w:type="dxa"/>
              <w:bottom w:w="30" w:type="dxa"/>
              <w:right w:w="120" w:type="dxa"/>
            </w:tcMar>
            <w:vAlign w:val="center"/>
          </w:tcPr>
          <w:p w14:paraId="5111F903">
            <w:pPr>
              <w:snapToGrid w:val="0"/>
              <w:spacing w:line="360" w:lineRule="auto"/>
              <w:jc w:val="center"/>
              <w:rPr>
                <w:rFonts w:ascii="仿宋" w:hAnsi="仿宋" w:eastAsia="仿宋" w:cs="仿宋"/>
                <w:b/>
                <w:sz w:val="24"/>
              </w:rPr>
            </w:pPr>
            <w:r>
              <w:rPr>
                <w:rFonts w:hint="eastAsia" w:ascii="仿宋" w:hAnsi="仿宋" w:eastAsia="仿宋" w:cs="仿宋"/>
                <w:b/>
                <w:sz w:val="24"/>
              </w:rPr>
              <w:t>服务内涵</w:t>
            </w:r>
          </w:p>
        </w:tc>
        <w:tc>
          <w:tcPr>
            <w:tcW w:w="634" w:type="pct"/>
            <w:tcMar>
              <w:top w:w="60" w:type="dxa"/>
              <w:left w:w="120" w:type="dxa"/>
              <w:bottom w:w="30" w:type="dxa"/>
              <w:right w:w="120" w:type="dxa"/>
            </w:tcMar>
            <w:vAlign w:val="center"/>
          </w:tcPr>
          <w:p w14:paraId="1908891D">
            <w:pPr>
              <w:snapToGrid w:val="0"/>
              <w:spacing w:line="360" w:lineRule="auto"/>
              <w:jc w:val="center"/>
              <w:rPr>
                <w:rFonts w:ascii="仿宋" w:hAnsi="仿宋" w:eastAsia="仿宋" w:cs="仿宋"/>
                <w:b/>
                <w:sz w:val="24"/>
              </w:rPr>
            </w:pPr>
            <w:r>
              <w:rPr>
                <w:rFonts w:hint="eastAsia" w:ascii="仿宋" w:hAnsi="仿宋" w:eastAsia="仿宋" w:cs="仿宋"/>
                <w:b/>
                <w:sz w:val="24"/>
              </w:rPr>
              <w:t>服务方式</w:t>
            </w:r>
          </w:p>
        </w:tc>
        <w:tc>
          <w:tcPr>
            <w:tcW w:w="714" w:type="pct"/>
            <w:tcMar>
              <w:top w:w="60" w:type="dxa"/>
              <w:left w:w="120" w:type="dxa"/>
              <w:bottom w:w="30" w:type="dxa"/>
              <w:right w:w="120" w:type="dxa"/>
            </w:tcMar>
            <w:vAlign w:val="center"/>
          </w:tcPr>
          <w:p w14:paraId="08236113">
            <w:pPr>
              <w:snapToGrid w:val="0"/>
              <w:spacing w:line="360" w:lineRule="auto"/>
              <w:jc w:val="center"/>
              <w:rPr>
                <w:rFonts w:ascii="仿宋" w:hAnsi="仿宋" w:eastAsia="仿宋" w:cs="仿宋"/>
                <w:b/>
                <w:sz w:val="24"/>
              </w:rPr>
            </w:pPr>
            <w:r>
              <w:rPr>
                <w:rFonts w:hint="eastAsia" w:ascii="仿宋" w:hAnsi="仿宋" w:eastAsia="仿宋" w:cs="仿宋"/>
                <w:b/>
                <w:sz w:val="24"/>
              </w:rPr>
              <w:t>服务频次/次数要求</w:t>
            </w:r>
          </w:p>
        </w:tc>
      </w:tr>
      <w:tr w14:paraId="5542A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753221DA">
            <w:pPr>
              <w:snapToGrid w:val="0"/>
              <w:spacing w:line="360" w:lineRule="auto"/>
              <w:jc w:val="center"/>
              <w:rPr>
                <w:rFonts w:ascii="仿宋" w:hAnsi="仿宋" w:eastAsia="仿宋" w:cs="仿宋"/>
                <w:sz w:val="24"/>
              </w:rPr>
            </w:pPr>
            <w:r>
              <w:rPr>
                <w:rFonts w:hint="eastAsia" w:ascii="仿宋" w:hAnsi="仿宋" w:eastAsia="仿宋" w:cs="仿宋"/>
                <w:sz w:val="24"/>
              </w:rPr>
              <w:t>1</w:t>
            </w:r>
          </w:p>
        </w:tc>
        <w:tc>
          <w:tcPr>
            <w:tcW w:w="396" w:type="pct"/>
            <w:tcMar>
              <w:top w:w="60" w:type="dxa"/>
              <w:left w:w="120" w:type="dxa"/>
              <w:bottom w:w="30" w:type="dxa"/>
              <w:right w:w="120" w:type="dxa"/>
            </w:tcMar>
            <w:vAlign w:val="center"/>
          </w:tcPr>
          <w:p w14:paraId="69F7FD7A">
            <w:pPr>
              <w:snapToGrid w:val="0"/>
              <w:spacing w:line="360" w:lineRule="auto"/>
              <w:jc w:val="center"/>
              <w:rPr>
                <w:rFonts w:ascii="仿宋" w:hAnsi="仿宋" w:eastAsia="仿宋" w:cs="仿宋"/>
                <w:sz w:val="24"/>
              </w:rPr>
            </w:pPr>
            <w:r>
              <w:rPr>
                <w:rFonts w:hint="eastAsia" w:ascii="仿宋" w:hAnsi="仿宋" w:eastAsia="仿宋" w:cs="仿宋"/>
                <w:sz w:val="24"/>
              </w:rPr>
              <w:t>信息系统基础运维服务</w:t>
            </w:r>
          </w:p>
        </w:tc>
        <w:tc>
          <w:tcPr>
            <w:tcW w:w="2936" w:type="pct"/>
            <w:tcMar>
              <w:top w:w="60" w:type="dxa"/>
              <w:left w:w="120" w:type="dxa"/>
              <w:bottom w:w="30" w:type="dxa"/>
              <w:right w:w="120" w:type="dxa"/>
            </w:tcMar>
            <w:vAlign w:val="center"/>
          </w:tcPr>
          <w:p w14:paraId="761A6473">
            <w:pPr>
              <w:snapToGrid w:val="0"/>
              <w:spacing w:line="360" w:lineRule="auto"/>
              <w:rPr>
                <w:rFonts w:ascii="仿宋" w:hAnsi="仿宋" w:eastAsia="仿宋" w:cs="仿宋"/>
                <w:sz w:val="24"/>
              </w:rPr>
            </w:pPr>
            <w:r>
              <w:rPr>
                <w:rFonts w:hint="eastAsia" w:ascii="仿宋" w:hAnsi="仿宋" w:eastAsia="仿宋" w:cs="仿宋"/>
                <w:sz w:val="24"/>
              </w:rPr>
              <w:t>1. 上表所列全部系统模块的软件操作指导、故障排查、bug修复、配置管理服务；</w:t>
            </w:r>
          </w:p>
          <w:p w14:paraId="43472D59">
            <w:pPr>
              <w:snapToGrid w:val="0"/>
              <w:spacing w:line="360" w:lineRule="auto"/>
              <w:rPr>
                <w:rFonts w:ascii="仿宋" w:hAnsi="仿宋" w:eastAsia="仿宋" w:cs="仿宋"/>
                <w:sz w:val="24"/>
              </w:rPr>
            </w:pPr>
            <w:r>
              <w:rPr>
                <w:rFonts w:hint="eastAsia" w:ascii="仿宋" w:hAnsi="仿宋" w:eastAsia="仿宋" w:cs="仿宋"/>
                <w:sz w:val="24"/>
              </w:rPr>
              <w:t>2. 系统死机、数据错误、签名验签失败、证书异常、运行兼容性问题等全场景故障处置；</w:t>
            </w:r>
          </w:p>
          <w:p w14:paraId="3F67437A">
            <w:pPr>
              <w:snapToGrid w:val="0"/>
              <w:spacing w:line="360" w:lineRule="auto"/>
              <w:rPr>
                <w:rFonts w:ascii="仿宋" w:hAnsi="仿宋" w:eastAsia="仿宋" w:cs="仿宋"/>
                <w:sz w:val="24"/>
              </w:rPr>
            </w:pPr>
            <w:r>
              <w:rPr>
                <w:rFonts w:hint="eastAsia" w:ascii="仿宋" w:hAnsi="仿宋" w:eastAsia="仿宋" w:cs="仿宋"/>
                <w:sz w:val="24"/>
              </w:rPr>
              <w:t>3. 系统运行环境适配、显示异常、运行效率降低等问题的优化处置；</w:t>
            </w:r>
          </w:p>
          <w:p w14:paraId="5CF2F89F">
            <w:pPr>
              <w:snapToGrid w:val="0"/>
              <w:spacing w:line="360" w:lineRule="auto"/>
              <w:rPr>
                <w:rFonts w:ascii="仿宋" w:hAnsi="仿宋" w:eastAsia="仿宋" w:cs="仿宋"/>
                <w:sz w:val="24"/>
              </w:rPr>
            </w:pPr>
            <w:r>
              <w:rPr>
                <w:rFonts w:hint="eastAsia" w:ascii="仿宋" w:hAnsi="仿宋" w:eastAsia="仿宋" w:cs="仿宋"/>
                <w:sz w:val="24"/>
              </w:rPr>
              <w:t>4. 系统与院内其他信息系统的接口运维、适配调整、故障修复，确保电子签名全流程数据互通；</w:t>
            </w:r>
          </w:p>
          <w:p w14:paraId="0CF09AA5">
            <w:pPr>
              <w:snapToGrid w:val="0"/>
              <w:spacing w:line="360" w:lineRule="auto"/>
              <w:rPr>
                <w:rFonts w:ascii="仿宋" w:hAnsi="仿宋" w:eastAsia="仿宋" w:cs="仿宋"/>
                <w:sz w:val="24"/>
              </w:rPr>
            </w:pPr>
            <w:r>
              <w:rPr>
                <w:rFonts w:hint="eastAsia" w:ascii="仿宋" w:hAnsi="仿宋" w:eastAsia="仿宋" w:cs="仿宋"/>
                <w:sz w:val="24"/>
              </w:rPr>
              <w:t>5. 系统终端设备、服务器、认证网关一体机等硬件运行状态的定期巡检与隐患排查。</w:t>
            </w:r>
          </w:p>
        </w:tc>
        <w:tc>
          <w:tcPr>
            <w:tcW w:w="634" w:type="pct"/>
            <w:tcMar>
              <w:top w:w="60" w:type="dxa"/>
              <w:left w:w="120" w:type="dxa"/>
              <w:bottom w:w="30" w:type="dxa"/>
              <w:right w:w="120" w:type="dxa"/>
            </w:tcMar>
            <w:vAlign w:val="center"/>
          </w:tcPr>
          <w:p w14:paraId="55311D2B">
            <w:pPr>
              <w:snapToGrid w:val="0"/>
              <w:spacing w:line="360" w:lineRule="auto"/>
              <w:rPr>
                <w:rFonts w:ascii="仿宋" w:hAnsi="仿宋" w:eastAsia="仿宋" w:cs="仿宋"/>
                <w:sz w:val="24"/>
              </w:rPr>
            </w:pPr>
            <w:r>
              <w:rPr>
                <w:rFonts w:hint="eastAsia" w:ascii="仿宋" w:hAnsi="仿宋" w:eastAsia="仿宋" w:cs="仿宋"/>
                <w:sz w:val="24"/>
              </w:rPr>
              <w:t>7×24小时热线服务、安全远程运维服务、现场驻场/上门服务</w:t>
            </w:r>
          </w:p>
        </w:tc>
        <w:tc>
          <w:tcPr>
            <w:tcW w:w="714" w:type="pct"/>
            <w:tcMar>
              <w:top w:w="60" w:type="dxa"/>
              <w:left w:w="120" w:type="dxa"/>
              <w:bottom w:w="30" w:type="dxa"/>
              <w:right w:w="120" w:type="dxa"/>
            </w:tcMar>
            <w:vAlign w:val="center"/>
          </w:tcPr>
          <w:p w14:paraId="06458EB7">
            <w:pPr>
              <w:snapToGrid w:val="0"/>
              <w:spacing w:line="360" w:lineRule="auto"/>
              <w:rPr>
                <w:rFonts w:ascii="仿宋" w:hAnsi="仿宋" w:eastAsia="仿宋" w:cs="仿宋"/>
                <w:sz w:val="24"/>
              </w:rPr>
            </w:pPr>
            <w:r>
              <w:rPr>
                <w:rFonts w:hint="eastAsia" w:ascii="仿宋" w:hAnsi="仿宋" w:eastAsia="仿宋" w:cs="仿宋"/>
                <w:sz w:val="24"/>
              </w:rPr>
              <w:t>不限次数，全时段响应</w:t>
            </w:r>
          </w:p>
        </w:tc>
      </w:tr>
      <w:tr w14:paraId="42DC9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225E9CCA">
            <w:pPr>
              <w:snapToGrid w:val="0"/>
              <w:spacing w:line="360" w:lineRule="auto"/>
              <w:jc w:val="center"/>
              <w:rPr>
                <w:rFonts w:ascii="仿宋" w:hAnsi="仿宋" w:eastAsia="仿宋" w:cs="仿宋"/>
                <w:sz w:val="24"/>
              </w:rPr>
            </w:pPr>
            <w:r>
              <w:rPr>
                <w:rFonts w:hint="eastAsia" w:ascii="仿宋" w:hAnsi="仿宋" w:eastAsia="仿宋" w:cs="仿宋"/>
                <w:sz w:val="24"/>
              </w:rPr>
              <w:t>2</w:t>
            </w:r>
          </w:p>
        </w:tc>
        <w:tc>
          <w:tcPr>
            <w:tcW w:w="396" w:type="pct"/>
            <w:tcMar>
              <w:top w:w="60" w:type="dxa"/>
              <w:left w:w="120" w:type="dxa"/>
              <w:bottom w:w="30" w:type="dxa"/>
              <w:right w:w="120" w:type="dxa"/>
            </w:tcMar>
            <w:vAlign w:val="center"/>
          </w:tcPr>
          <w:p w14:paraId="0EC7DDCC">
            <w:pPr>
              <w:snapToGrid w:val="0"/>
              <w:spacing w:line="360" w:lineRule="auto"/>
              <w:jc w:val="center"/>
              <w:rPr>
                <w:rFonts w:ascii="仿宋" w:hAnsi="仿宋" w:eastAsia="仿宋" w:cs="仿宋"/>
                <w:sz w:val="24"/>
              </w:rPr>
            </w:pPr>
            <w:r>
              <w:rPr>
                <w:rFonts w:hint="eastAsia" w:ascii="仿宋" w:hAnsi="仿宋" w:eastAsia="仿宋" w:cs="仿宋"/>
                <w:sz w:val="24"/>
              </w:rPr>
              <w:t>数据库专项运维服务</w:t>
            </w:r>
          </w:p>
        </w:tc>
        <w:tc>
          <w:tcPr>
            <w:tcW w:w="2936" w:type="pct"/>
            <w:tcMar>
              <w:top w:w="60" w:type="dxa"/>
              <w:left w:w="120" w:type="dxa"/>
              <w:bottom w:w="30" w:type="dxa"/>
              <w:right w:w="120" w:type="dxa"/>
            </w:tcMar>
            <w:vAlign w:val="center"/>
          </w:tcPr>
          <w:p w14:paraId="42D00A80">
            <w:pPr>
              <w:snapToGrid w:val="0"/>
              <w:spacing w:line="360" w:lineRule="auto"/>
              <w:rPr>
                <w:rFonts w:ascii="仿宋" w:hAnsi="仿宋" w:eastAsia="仿宋" w:cs="仿宋"/>
                <w:sz w:val="24"/>
              </w:rPr>
            </w:pPr>
            <w:r>
              <w:rPr>
                <w:rFonts w:hint="eastAsia" w:ascii="仿宋" w:hAnsi="仿宋" w:eastAsia="仿宋" w:cs="仿宋"/>
                <w:sz w:val="24"/>
              </w:rPr>
              <w:t>1. 每季开展数据库全量巡检，检查内容包括服务器系统日志、磁盘空间、CPU/内存使用率、数据库表空间、数据文件大小、数据库运行日志、异常操作审计日志等，及时发现并处置潜在风险；</w:t>
            </w:r>
          </w:p>
          <w:p w14:paraId="6464851C">
            <w:pPr>
              <w:snapToGrid w:val="0"/>
              <w:spacing w:line="360" w:lineRule="auto"/>
              <w:rPr>
                <w:rFonts w:ascii="仿宋" w:hAnsi="仿宋" w:eastAsia="仿宋" w:cs="仿宋"/>
                <w:sz w:val="24"/>
              </w:rPr>
            </w:pPr>
            <w:r>
              <w:rPr>
                <w:rFonts w:hint="eastAsia" w:ascii="仿宋" w:hAnsi="仿宋" w:eastAsia="仿宋" w:cs="仿宋"/>
                <w:sz w:val="24"/>
              </w:rPr>
              <w:t xml:space="preserve"> 2. 每季度完成数据库安全加固、高危漏洞修复，确保数据库符合等保合规要求；</w:t>
            </w:r>
          </w:p>
          <w:p w14:paraId="3EC340AA">
            <w:pPr>
              <w:snapToGrid w:val="0"/>
              <w:spacing w:line="360" w:lineRule="auto"/>
              <w:rPr>
                <w:rFonts w:ascii="仿宋" w:hAnsi="仿宋" w:eastAsia="仿宋" w:cs="仿宋"/>
                <w:sz w:val="24"/>
              </w:rPr>
            </w:pPr>
            <w:r>
              <w:rPr>
                <w:rFonts w:hint="eastAsia" w:ascii="仿宋" w:hAnsi="仿宋" w:eastAsia="仿宋" w:cs="仿宋"/>
                <w:sz w:val="24"/>
              </w:rPr>
              <w:t>3. 提供同版本数据库迁移、数据备份与恢复服务，配合采购人完成数据备份有效性验证；</w:t>
            </w:r>
          </w:p>
          <w:p w14:paraId="486996C1">
            <w:pPr>
              <w:snapToGrid w:val="0"/>
              <w:spacing w:line="360" w:lineRule="auto"/>
              <w:rPr>
                <w:rFonts w:ascii="仿宋" w:hAnsi="仿宋" w:eastAsia="仿宋" w:cs="仿宋"/>
                <w:sz w:val="24"/>
              </w:rPr>
            </w:pPr>
            <w:r>
              <w:rPr>
                <w:rFonts w:hint="eastAsia" w:ascii="仿宋" w:hAnsi="仿宋" w:eastAsia="仿宋" w:cs="仿宋"/>
                <w:sz w:val="24"/>
              </w:rPr>
              <w:t>4. 针对巡检发现的问题，完成数据库性能优化、参数调整，保障数据库持续处于最佳运行状态；</w:t>
            </w:r>
          </w:p>
          <w:p w14:paraId="1BC2055A">
            <w:pPr>
              <w:snapToGrid w:val="0"/>
              <w:spacing w:line="360" w:lineRule="auto"/>
              <w:rPr>
                <w:rFonts w:ascii="仿宋" w:hAnsi="仿宋" w:eastAsia="仿宋" w:cs="仿宋"/>
                <w:sz w:val="24"/>
              </w:rPr>
            </w:pPr>
            <w:r>
              <w:rPr>
                <w:rFonts w:hint="eastAsia" w:ascii="仿宋" w:hAnsi="仿宋" w:eastAsia="仿宋" w:cs="仿宋"/>
                <w:sz w:val="24"/>
              </w:rPr>
              <w:t>5. 数据库故障的应急处置，保障电子认证数据、患者签名数据不丢失、不泄露、不篡改。</w:t>
            </w:r>
          </w:p>
        </w:tc>
        <w:tc>
          <w:tcPr>
            <w:tcW w:w="634" w:type="pct"/>
            <w:tcMar>
              <w:top w:w="60" w:type="dxa"/>
              <w:left w:w="120" w:type="dxa"/>
              <w:bottom w:w="30" w:type="dxa"/>
              <w:right w:w="120" w:type="dxa"/>
            </w:tcMar>
            <w:vAlign w:val="center"/>
          </w:tcPr>
          <w:p w14:paraId="1D0DEB65">
            <w:pPr>
              <w:snapToGrid w:val="0"/>
              <w:spacing w:line="360" w:lineRule="auto"/>
              <w:rPr>
                <w:rFonts w:ascii="仿宋" w:hAnsi="仿宋" w:eastAsia="仿宋" w:cs="仿宋"/>
                <w:sz w:val="24"/>
              </w:rPr>
            </w:pPr>
            <w:r>
              <w:rPr>
                <w:rFonts w:hint="eastAsia" w:ascii="仿宋" w:hAnsi="仿宋" w:eastAsia="仿宋" w:cs="仿宋"/>
                <w:sz w:val="24"/>
              </w:rPr>
              <w:t>热线服务、安全远程服务、现场服务</w:t>
            </w:r>
          </w:p>
        </w:tc>
        <w:tc>
          <w:tcPr>
            <w:tcW w:w="714" w:type="pct"/>
            <w:tcMar>
              <w:top w:w="60" w:type="dxa"/>
              <w:left w:w="120" w:type="dxa"/>
              <w:bottom w:w="30" w:type="dxa"/>
              <w:right w:w="120" w:type="dxa"/>
            </w:tcMar>
            <w:vAlign w:val="center"/>
          </w:tcPr>
          <w:p w14:paraId="0A9D05B1">
            <w:pPr>
              <w:snapToGrid w:val="0"/>
              <w:spacing w:line="360" w:lineRule="auto"/>
              <w:rPr>
                <w:rFonts w:ascii="仿宋" w:hAnsi="仿宋" w:eastAsia="仿宋" w:cs="仿宋"/>
                <w:sz w:val="24"/>
              </w:rPr>
            </w:pPr>
            <w:r>
              <w:rPr>
                <w:rFonts w:hint="eastAsia" w:ascii="仿宋" w:hAnsi="仿宋" w:eastAsia="仿宋" w:cs="仿宋"/>
                <w:sz w:val="24"/>
              </w:rPr>
              <w:t>不限次数，每季度至少1次性能优化，每年至少2次备份恢复演练</w:t>
            </w:r>
          </w:p>
        </w:tc>
      </w:tr>
      <w:tr w14:paraId="4485F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099D72AE">
            <w:pPr>
              <w:snapToGrid w:val="0"/>
              <w:spacing w:line="360" w:lineRule="auto"/>
              <w:jc w:val="center"/>
              <w:rPr>
                <w:rFonts w:ascii="仿宋" w:hAnsi="仿宋" w:eastAsia="仿宋" w:cs="仿宋"/>
                <w:sz w:val="24"/>
              </w:rPr>
            </w:pPr>
            <w:r>
              <w:rPr>
                <w:rFonts w:hint="eastAsia" w:ascii="仿宋" w:hAnsi="仿宋" w:eastAsia="仿宋" w:cs="仿宋"/>
                <w:sz w:val="24"/>
              </w:rPr>
              <w:t>3</w:t>
            </w:r>
          </w:p>
        </w:tc>
        <w:tc>
          <w:tcPr>
            <w:tcW w:w="396" w:type="pct"/>
            <w:tcMar>
              <w:top w:w="60" w:type="dxa"/>
              <w:left w:w="120" w:type="dxa"/>
              <w:bottom w:w="30" w:type="dxa"/>
              <w:right w:w="120" w:type="dxa"/>
            </w:tcMar>
            <w:vAlign w:val="center"/>
          </w:tcPr>
          <w:p w14:paraId="35EFBB70">
            <w:pPr>
              <w:snapToGrid w:val="0"/>
              <w:spacing w:line="360" w:lineRule="auto"/>
              <w:jc w:val="center"/>
              <w:rPr>
                <w:rFonts w:ascii="仿宋" w:hAnsi="仿宋" w:eastAsia="仿宋" w:cs="仿宋"/>
                <w:sz w:val="24"/>
              </w:rPr>
            </w:pPr>
            <w:r>
              <w:rPr>
                <w:rFonts w:hint="eastAsia" w:ascii="仿宋" w:hAnsi="仿宋" w:eastAsia="仿宋" w:cs="仿宋"/>
                <w:sz w:val="24"/>
              </w:rPr>
              <w:t>系统升级与合规更新服务</w:t>
            </w:r>
          </w:p>
        </w:tc>
        <w:tc>
          <w:tcPr>
            <w:tcW w:w="2936" w:type="pct"/>
            <w:tcMar>
              <w:top w:w="60" w:type="dxa"/>
              <w:left w:w="120" w:type="dxa"/>
              <w:bottom w:w="30" w:type="dxa"/>
              <w:right w:w="120" w:type="dxa"/>
            </w:tcMar>
            <w:vAlign w:val="center"/>
          </w:tcPr>
          <w:p w14:paraId="22613FD1">
            <w:pPr>
              <w:snapToGrid w:val="0"/>
              <w:spacing w:line="360" w:lineRule="auto"/>
              <w:rPr>
                <w:rFonts w:ascii="仿宋" w:hAnsi="仿宋" w:eastAsia="仿宋" w:cs="仿宋"/>
                <w:sz w:val="24"/>
              </w:rPr>
            </w:pPr>
            <w:r>
              <w:rPr>
                <w:rFonts w:hint="eastAsia" w:ascii="仿宋" w:hAnsi="仿宋" w:eastAsia="仿宋" w:cs="仿宋"/>
                <w:sz w:val="24"/>
              </w:rPr>
              <w:t>1. 依据国家、省、市卫健、医保、网信、密码管理部门新增或变更的政策法规、标准规范，免费、及时完成系统的合规性适配与更新服务，确保系统符合《电子签名法》等最新监管要求；</w:t>
            </w:r>
          </w:p>
          <w:p w14:paraId="00E1795D">
            <w:pPr>
              <w:snapToGrid w:val="0"/>
              <w:spacing w:line="360" w:lineRule="auto"/>
              <w:rPr>
                <w:rFonts w:ascii="仿宋" w:hAnsi="仿宋" w:eastAsia="仿宋" w:cs="仿宋"/>
                <w:sz w:val="24"/>
              </w:rPr>
            </w:pPr>
            <w:r>
              <w:rPr>
                <w:rFonts w:hint="eastAsia" w:ascii="仿宋" w:hAnsi="仿宋" w:eastAsia="仿宋" w:cs="仿宋"/>
                <w:sz w:val="24"/>
              </w:rPr>
              <w:t>2. 提供系统同版本内的免费升级、功能优化服务，组织专业技术人员完成升级方案制定、测试、上线全流程工作，确保升级过程不影响医院正常业务；</w:t>
            </w:r>
          </w:p>
          <w:p w14:paraId="41E09846">
            <w:pPr>
              <w:snapToGrid w:val="0"/>
              <w:spacing w:line="360" w:lineRule="auto"/>
              <w:rPr>
                <w:rFonts w:ascii="仿宋" w:hAnsi="仿宋" w:eastAsia="仿宋" w:cs="仿宋"/>
                <w:sz w:val="24"/>
              </w:rPr>
            </w:pPr>
            <w:r>
              <w:rPr>
                <w:rFonts w:hint="eastAsia" w:ascii="仿宋" w:hAnsi="仿宋" w:eastAsia="仿宋" w:cs="仿宋"/>
                <w:sz w:val="24"/>
              </w:rPr>
              <w:t>3. 定期完成系统安全补丁、漏洞修复包的安装与调试，每月完成高危漏洞排查与修复；</w:t>
            </w:r>
          </w:p>
          <w:p w14:paraId="72625BB1">
            <w:pPr>
              <w:snapToGrid w:val="0"/>
              <w:spacing w:line="360" w:lineRule="auto"/>
              <w:rPr>
                <w:rFonts w:ascii="仿宋" w:hAnsi="仿宋" w:eastAsia="仿宋" w:cs="仿宋"/>
                <w:sz w:val="24"/>
              </w:rPr>
            </w:pPr>
            <w:r>
              <w:rPr>
                <w:rFonts w:hint="eastAsia" w:ascii="仿宋" w:hAnsi="仿宋" w:eastAsia="仿宋" w:cs="仿宋"/>
                <w:sz w:val="24"/>
              </w:rPr>
              <w:t>4. 配合采购人完成网络安全等级保护测评、医院信息互联互通标准化成熟度测评、电子病历应用水平分级评价等相关工作，完成对应整改与系统适配；</w:t>
            </w:r>
          </w:p>
          <w:p w14:paraId="01F0E8D7">
            <w:pPr>
              <w:snapToGrid w:val="0"/>
              <w:spacing w:line="360" w:lineRule="auto"/>
              <w:rPr>
                <w:rFonts w:ascii="仿宋" w:hAnsi="仿宋" w:eastAsia="仿宋" w:cs="仿宋"/>
                <w:sz w:val="24"/>
              </w:rPr>
            </w:pPr>
            <w:r>
              <w:rPr>
                <w:rFonts w:hint="eastAsia" w:ascii="仿宋" w:hAnsi="仿宋" w:eastAsia="仿宋" w:cs="仿宋"/>
                <w:sz w:val="24"/>
              </w:rPr>
              <w:t>5. 按时完成SSL证书更新、可信时间戳服务校准，确保证书持续有效。</w:t>
            </w:r>
          </w:p>
        </w:tc>
        <w:tc>
          <w:tcPr>
            <w:tcW w:w="634" w:type="pct"/>
            <w:tcMar>
              <w:top w:w="60" w:type="dxa"/>
              <w:left w:w="120" w:type="dxa"/>
              <w:bottom w:w="30" w:type="dxa"/>
              <w:right w:w="120" w:type="dxa"/>
            </w:tcMar>
            <w:vAlign w:val="center"/>
          </w:tcPr>
          <w:p w14:paraId="07316D7A">
            <w:pPr>
              <w:snapToGrid w:val="0"/>
              <w:spacing w:line="360" w:lineRule="auto"/>
              <w:rPr>
                <w:rFonts w:ascii="仿宋" w:hAnsi="仿宋" w:eastAsia="仿宋" w:cs="仿宋"/>
                <w:sz w:val="24"/>
              </w:rPr>
            </w:pPr>
            <w:r>
              <w:rPr>
                <w:rFonts w:hint="eastAsia" w:ascii="仿宋" w:hAnsi="仿宋" w:eastAsia="仿宋" w:cs="仿宋"/>
                <w:sz w:val="24"/>
              </w:rPr>
              <w:t>现场服务为主、远程辅助</w:t>
            </w:r>
          </w:p>
        </w:tc>
        <w:tc>
          <w:tcPr>
            <w:tcW w:w="714" w:type="pct"/>
            <w:tcMar>
              <w:top w:w="60" w:type="dxa"/>
              <w:left w:w="120" w:type="dxa"/>
              <w:bottom w:w="30" w:type="dxa"/>
              <w:right w:w="120" w:type="dxa"/>
            </w:tcMar>
            <w:vAlign w:val="center"/>
          </w:tcPr>
          <w:p w14:paraId="4A966666">
            <w:pPr>
              <w:snapToGrid w:val="0"/>
              <w:spacing w:line="360" w:lineRule="auto"/>
              <w:rPr>
                <w:rFonts w:ascii="仿宋" w:hAnsi="仿宋" w:eastAsia="仿宋" w:cs="仿宋"/>
                <w:sz w:val="24"/>
              </w:rPr>
            </w:pPr>
            <w:r>
              <w:rPr>
                <w:rFonts w:hint="eastAsia" w:ascii="仿宋" w:hAnsi="仿宋" w:eastAsia="仿宋" w:cs="仿宋"/>
                <w:sz w:val="24"/>
              </w:rPr>
              <w:t>不限次数，每季至少1次安全补丁更新，政策变更后10个工作日内完成合规适配，证书到期前30日内完成更新</w:t>
            </w:r>
          </w:p>
        </w:tc>
      </w:tr>
      <w:tr w14:paraId="1E215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71616D4B">
            <w:pPr>
              <w:snapToGrid w:val="0"/>
              <w:spacing w:line="360" w:lineRule="auto"/>
              <w:jc w:val="center"/>
              <w:rPr>
                <w:rFonts w:ascii="仿宋" w:hAnsi="仿宋" w:eastAsia="仿宋" w:cs="仿宋"/>
                <w:sz w:val="24"/>
              </w:rPr>
            </w:pPr>
            <w:r>
              <w:rPr>
                <w:rFonts w:hint="eastAsia" w:ascii="仿宋" w:hAnsi="仿宋" w:eastAsia="仿宋" w:cs="仿宋"/>
                <w:sz w:val="24"/>
              </w:rPr>
              <w:t>4</w:t>
            </w:r>
          </w:p>
        </w:tc>
        <w:tc>
          <w:tcPr>
            <w:tcW w:w="396" w:type="pct"/>
            <w:tcMar>
              <w:top w:w="60" w:type="dxa"/>
              <w:left w:w="120" w:type="dxa"/>
              <w:bottom w:w="30" w:type="dxa"/>
              <w:right w:w="120" w:type="dxa"/>
            </w:tcMar>
            <w:vAlign w:val="center"/>
          </w:tcPr>
          <w:p w14:paraId="14E26F4C">
            <w:pPr>
              <w:snapToGrid w:val="0"/>
              <w:spacing w:line="360" w:lineRule="auto"/>
              <w:jc w:val="center"/>
              <w:rPr>
                <w:rFonts w:ascii="仿宋" w:hAnsi="仿宋" w:eastAsia="仿宋" w:cs="仿宋"/>
                <w:sz w:val="24"/>
              </w:rPr>
            </w:pPr>
            <w:r>
              <w:rPr>
                <w:rFonts w:hint="eastAsia" w:ascii="仿宋" w:hAnsi="仿宋" w:eastAsia="仿宋" w:cs="仿宋"/>
                <w:sz w:val="24"/>
              </w:rPr>
              <w:t>设备售后维修维护服务</w:t>
            </w:r>
          </w:p>
        </w:tc>
        <w:tc>
          <w:tcPr>
            <w:tcW w:w="2936" w:type="pct"/>
            <w:tcMar>
              <w:top w:w="60" w:type="dxa"/>
              <w:left w:w="120" w:type="dxa"/>
              <w:bottom w:w="30" w:type="dxa"/>
              <w:right w:w="120" w:type="dxa"/>
            </w:tcMar>
            <w:vAlign w:val="center"/>
          </w:tcPr>
          <w:p w14:paraId="52E7AD60">
            <w:pPr>
              <w:snapToGrid w:val="0"/>
              <w:spacing w:line="360" w:lineRule="auto"/>
              <w:rPr>
                <w:rFonts w:ascii="仿宋" w:hAnsi="仿宋" w:eastAsia="仿宋" w:cs="仿宋"/>
                <w:sz w:val="24"/>
              </w:rPr>
            </w:pPr>
            <w:r>
              <w:rPr>
                <w:rFonts w:hint="eastAsia" w:ascii="仿宋" w:hAnsi="仿宋" w:eastAsia="仿宋" w:cs="仿宋"/>
                <w:sz w:val="24"/>
              </w:rPr>
              <w:t>1. 针对系统配套的电子认证网关一体机、手写签名设备、终端加密设备等硬件设备，提供维修、维护、调试服务，保障设备与系统接口程序稳定运行；</w:t>
            </w:r>
          </w:p>
          <w:p w14:paraId="53B5D2C1">
            <w:pPr>
              <w:snapToGrid w:val="0"/>
              <w:spacing w:line="360" w:lineRule="auto"/>
              <w:rPr>
                <w:rFonts w:ascii="仿宋" w:hAnsi="仿宋" w:eastAsia="仿宋" w:cs="仿宋"/>
                <w:sz w:val="24"/>
              </w:rPr>
            </w:pPr>
            <w:r>
              <w:rPr>
                <w:rFonts w:hint="eastAsia" w:ascii="仿宋" w:hAnsi="仿宋" w:eastAsia="仿宋" w:cs="仿宋"/>
                <w:sz w:val="24"/>
              </w:rPr>
              <w:t>2. 医院新增、调整配套设备时，免费提供设备对接、系统适配、调试开通服务；</w:t>
            </w:r>
          </w:p>
          <w:p w14:paraId="3CBBB45C">
            <w:pPr>
              <w:snapToGrid w:val="0"/>
              <w:spacing w:line="360" w:lineRule="auto"/>
              <w:rPr>
                <w:rFonts w:ascii="仿宋" w:hAnsi="仿宋" w:eastAsia="仿宋" w:cs="仿宋"/>
                <w:sz w:val="24"/>
              </w:rPr>
            </w:pPr>
            <w:r>
              <w:rPr>
                <w:rFonts w:hint="eastAsia" w:ascii="仿宋" w:hAnsi="仿宋" w:eastAsia="仿宋" w:cs="仿宋"/>
                <w:sz w:val="24"/>
              </w:rPr>
              <w:t>3. 定期对配套设备进行巡检，排查硬件故障隐患，降低设备故障率。</w:t>
            </w:r>
          </w:p>
        </w:tc>
        <w:tc>
          <w:tcPr>
            <w:tcW w:w="634" w:type="pct"/>
            <w:tcMar>
              <w:top w:w="60" w:type="dxa"/>
              <w:left w:w="120" w:type="dxa"/>
              <w:bottom w:w="30" w:type="dxa"/>
              <w:right w:w="120" w:type="dxa"/>
            </w:tcMar>
            <w:vAlign w:val="center"/>
          </w:tcPr>
          <w:p w14:paraId="3E0D5873">
            <w:pPr>
              <w:snapToGrid w:val="0"/>
              <w:spacing w:line="360" w:lineRule="auto"/>
              <w:rPr>
                <w:rFonts w:ascii="仿宋" w:hAnsi="仿宋" w:eastAsia="仿宋" w:cs="仿宋"/>
                <w:sz w:val="24"/>
              </w:rPr>
            </w:pPr>
            <w:r>
              <w:rPr>
                <w:rFonts w:hint="eastAsia" w:ascii="仿宋" w:hAnsi="仿宋" w:eastAsia="仿宋" w:cs="仿宋"/>
                <w:sz w:val="24"/>
              </w:rPr>
              <w:t>远程服务、现场服务</w:t>
            </w:r>
          </w:p>
        </w:tc>
        <w:tc>
          <w:tcPr>
            <w:tcW w:w="714" w:type="pct"/>
            <w:tcMar>
              <w:top w:w="60" w:type="dxa"/>
              <w:left w:w="120" w:type="dxa"/>
              <w:bottom w:w="30" w:type="dxa"/>
              <w:right w:w="120" w:type="dxa"/>
            </w:tcMar>
            <w:vAlign w:val="center"/>
          </w:tcPr>
          <w:p w14:paraId="75931FD4">
            <w:pPr>
              <w:snapToGrid w:val="0"/>
              <w:spacing w:line="360" w:lineRule="auto"/>
              <w:rPr>
                <w:rFonts w:ascii="仿宋" w:hAnsi="仿宋" w:eastAsia="仿宋" w:cs="仿宋"/>
                <w:sz w:val="24"/>
              </w:rPr>
            </w:pPr>
            <w:r>
              <w:rPr>
                <w:rFonts w:hint="eastAsia" w:ascii="仿宋" w:hAnsi="仿宋" w:eastAsia="仿宋" w:cs="仿宋"/>
                <w:sz w:val="24"/>
              </w:rPr>
              <w:t>自定义，每季度至少1次全量设备巡检</w:t>
            </w:r>
          </w:p>
        </w:tc>
      </w:tr>
      <w:tr w14:paraId="4575E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7724F501">
            <w:pPr>
              <w:snapToGrid w:val="0"/>
              <w:spacing w:line="360" w:lineRule="auto"/>
              <w:jc w:val="center"/>
              <w:rPr>
                <w:rFonts w:ascii="仿宋" w:hAnsi="仿宋" w:eastAsia="仿宋" w:cs="仿宋"/>
                <w:sz w:val="24"/>
              </w:rPr>
            </w:pPr>
            <w:r>
              <w:rPr>
                <w:rFonts w:hint="eastAsia" w:ascii="仿宋" w:hAnsi="仿宋" w:eastAsia="仿宋" w:cs="仿宋"/>
                <w:sz w:val="24"/>
              </w:rPr>
              <w:t>5</w:t>
            </w:r>
          </w:p>
        </w:tc>
        <w:tc>
          <w:tcPr>
            <w:tcW w:w="396" w:type="pct"/>
            <w:tcMar>
              <w:top w:w="60" w:type="dxa"/>
              <w:left w:w="120" w:type="dxa"/>
              <w:bottom w:w="30" w:type="dxa"/>
              <w:right w:w="120" w:type="dxa"/>
            </w:tcMar>
            <w:vAlign w:val="center"/>
          </w:tcPr>
          <w:p w14:paraId="7F6DC82F">
            <w:pPr>
              <w:snapToGrid w:val="0"/>
              <w:spacing w:line="360" w:lineRule="auto"/>
              <w:jc w:val="center"/>
              <w:rPr>
                <w:rFonts w:ascii="仿宋" w:hAnsi="仿宋" w:eastAsia="仿宋" w:cs="仿宋"/>
                <w:sz w:val="24"/>
              </w:rPr>
            </w:pPr>
            <w:r>
              <w:rPr>
                <w:rFonts w:hint="eastAsia" w:ascii="仿宋" w:hAnsi="仿宋" w:eastAsia="仿宋" w:cs="仿宋"/>
                <w:sz w:val="24"/>
              </w:rPr>
              <w:t>网络安全与数据安全服务</w:t>
            </w:r>
          </w:p>
        </w:tc>
        <w:tc>
          <w:tcPr>
            <w:tcW w:w="2936" w:type="pct"/>
            <w:tcMar>
              <w:top w:w="60" w:type="dxa"/>
              <w:left w:w="120" w:type="dxa"/>
              <w:bottom w:w="30" w:type="dxa"/>
              <w:right w:w="120" w:type="dxa"/>
            </w:tcMar>
            <w:vAlign w:val="center"/>
          </w:tcPr>
          <w:p w14:paraId="01627DFE">
            <w:pPr>
              <w:snapToGrid w:val="0"/>
              <w:spacing w:line="360" w:lineRule="auto"/>
              <w:rPr>
                <w:rFonts w:ascii="仿宋" w:hAnsi="仿宋" w:eastAsia="仿宋" w:cs="仿宋"/>
                <w:sz w:val="24"/>
              </w:rPr>
            </w:pPr>
            <w:r>
              <w:rPr>
                <w:rFonts w:hint="eastAsia" w:ascii="仿宋" w:hAnsi="仿宋" w:eastAsia="仿宋" w:cs="仿宋"/>
                <w:sz w:val="24"/>
              </w:rPr>
              <w:t>1. 严格根据《网络安全法》《数据安全法》《个人信息保护法》《密码法》及相关法律法规，为采购人提供全流程网络安全与数据安全服务；</w:t>
            </w:r>
          </w:p>
          <w:p w14:paraId="458DD442">
            <w:pPr>
              <w:snapToGrid w:val="0"/>
              <w:spacing w:line="360" w:lineRule="auto"/>
              <w:rPr>
                <w:rFonts w:ascii="仿宋" w:hAnsi="仿宋" w:eastAsia="仿宋" w:cs="仿宋"/>
                <w:sz w:val="24"/>
              </w:rPr>
            </w:pPr>
            <w:r>
              <w:rPr>
                <w:rFonts w:hint="eastAsia" w:ascii="仿宋" w:hAnsi="仿宋" w:eastAsia="仿宋" w:cs="仿宋"/>
                <w:sz w:val="24"/>
              </w:rPr>
              <w:t>2. 网络安全服务包含且不限于：漏洞修复、安全问题整改、安全风险排查、入侵检测与防御等服务；</w:t>
            </w:r>
          </w:p>
          <w:p w14:paraId="7EC57BE0">
            <w:pPr>
              <w:snapToGrid w:val="0"/>
              <w:spacing w:line="360" w:lineRule="auto"/>
              <w:rPr>
                <w:rFonts w:ascii="仿宋" w:hAnsi="仿宋" w:eastAsia="仿宋" w:cs="仿宋"/>
                <w:sz w:val="24"/>
              </w:rPr>
            </w:pPr>
            <w:r>
              <w:rPr>
                <w:rFonts w:hint="eastAsia" w:ascii="仿宋" w:hAnsi="仿宋" w:eastAsia="仿宋" w:cs="仿宋"/>
                <w:sz w:val="24"/>
              </w:rPr>
              <w:t>3. 数据安全服务包含且不限于：数据加密、数据备份与恢复、数据库安全审计、电子认证数据全生命周期保护等服务；</w:t>
            </w:r>
          </w:p>
          <w:p w14:paraId="1827315D">
            <w:pPr>
              <w:snapToGrid w:val="0"/>
              <w:spacing w:line="360" w:lineRule="auto"/>
              <w:rPr>
                <w:rFonts w:ascii="仿宋" w:hAnsi="仿宋" w:eastAsia="仿宋" w:cs="仿宋"/>
                <w:sz w:val="24"/>
              </w:rPr>
            </w:pPr>
            <w:r>
              <w:rPr>
                <w:rFonts w:hint="eastAsia" w:ascii="仿宋" w:hAnsi="仿宋" w:eastAsia="仿宋" w:cs="仿宋"/>
                <w:sz w:val="24"/>
              </w:rPr>
              <w:t>4. 配合采购人完成数据安全检查、网络安全审计、等保测评等相关工作。</w:t>
            </w:r>
          </w:p>
        </w:tc>
        <w:tc>
          <w:tcPr>
            <w:tcW w:w="634" w:type="pct"/>
            <w:tcMar>
              <w:top w:w="60" w:type="dxa"/>
              <w:left w:w="120" w:type="dxa"/>
              <w:bottom w:w="30" w:type="dxa"/>
              <w:right w:w="120" w:type="dxa"/>
            </w:tcMar>
            <w:vAlign w:val="center"/>
          </w:tcPr>
          <w:p w14:paraId="64CBA7FC">
            <w:pPr>
              <w:snapToGrid w:val="0"/>
              <w:spacing w:line="360" w:lineRule="auto"/>
              <w:rPr>
                <w:rFonts w:ascii="仿宋" w:hAnsi="仿宋" w:eastAsia="仿宋" w:cs="仿宋"/>
                <w:sz w:val="24"/>
              </w:rPr>
            </w:pPr>
            <w:r>
              <w:rPr>
                <w:rFonts w:hint="eastAsia" w:ascii="仿宋" w:hAnsi="仿宋" w:eastAsia="仿宋" w:cs="仿宋"/>
                <w:sz w:val="24"/>
              </w:rPr>
              <w:t>远程服务、现场服务</w:t>
            </w:r>
          </w:p>
        </w:tc>
        <w:tc>
          <w:tcPr>
            <w:tcW w:w="714" w:type="pct"/>
            <w:tcMar>
              <w:top w:w="60" w:type="dxa"/>
              <w:left w:w="120" w:type="dxa"/>
              <w:bottom w:w="30" w:type="dxa"/>
              <w:right w:w="120" w:type="dxa"/>
            </w:tcMar>
            <w:vAlign w:val="center"/>
          </w:tcPr>
          <w:p w14:paraId="4C1AE53A">
            <w:pPr>
              <w:snapToGrid w:val="0"/>
              <w:spacing w:line="360" w:lineRule="auto"/>
              <w:rPr>
                <w:rFonts w:ascii="仿宋" w:hAnsi="仿宋" w:eastAsia="仿宋" w:cs="仿宋"/>
                <w:sz w:val="24"/>
              </w:rPr>
            </w:pPr>
            <w:r>
              <w:rPr>
                <w:rFonts w:hint="eastAsia" w:ascii="仿宋" w:hAnsi="仿宋" w:eastAsia="仿宋" w:cs="仿宋"/>
                <w:sz w:val="24"/>
              </w:rPr>
              <w:t>不限次数，全年按需安全风险排查</w:t>
            </w:r>
          </w:p>
        </w:tc>
      </w:tr>
      <w:tr w14:paraId="58830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402F3928">
            <w:pPr>
              <w:snapToGrid w:val="0"/>
              <w:spacing w:line="360" w:lineRule="auto"/>
              <w:jc w:val="center"/>
              <w:rPr>
                <w:rFonts w:ascii="仿宋" w:hAnsi="仿宋" w:eastAsia="仿宋" w:cs="仿宋"/>
                <w:sz w:val="24"/>
              </w:rPr>
            </w:pPr>
            <w:r>
              <w:rPr>
                <w:rFonts w:hint="eastAsia" w:ascii="仿宋" w:hAnsi="仿宋" w:eastAsia="仿宋" w:cs="仿宋"/>
                <w:sz w:val="24"/>
              </w:rPr>
              <w:t>6</w:t>
            </w:r>
          </w:p>
        </w:tc>
        <w:tc>
          <w:tcPr>
            <w:tcW w:w="396" w:type="pct"/>
            <w:tcMar>
              <w:top w:w="60" w:type="dxa"/>
              <w:left w:w="120" w:type="dxa"/>
              <w:bottom w:w="30" w:type="dxa"/>
              <w:right w:w="120" w:type="dxa"/>
            </w:tcMar>
            <w:vAlign w:val="center"/>
          </w:tcPr>
          <w:p w14:paraId="0335BCF6">
            <w:pPr>
              <w:snapToGrid w:val="0"/>
              <w:spacing w:line="360" w:lineRule="auto"/>
              <w:jc w:val="center"/>
              <w:rPr>
                <w:rFonts w:ascii="仿宋" w:hAnsi="仿宋" w:eastAsia="仿宋" w:cs="仿宋"/>
                <w:sz w:val="24"/>
              </w:rPr>
            </w:pPr>
            <w:r>
              <w:rPr>
                <w:rFonts w:hint="eastAsia" w:ascii="仿宋" w:hAnsi="仿宋" w:eastAsia="仿宋" w:cs="仿宋"/>
                <w:sz w:val="24"/>
              </w:rPr>
              <w:t>人员培训服务</w:t>
            </w:r>
          </w:p>
        </w:tc>
        <w:tc>
          <w:tcPr>
            <w:tcW w:w="2936" w:type="pct"/>
            <w:tcMar>
              <w:top w:w="60" w:type="dxa"/>
              <w:left w:w="120" w:type="dxa"/>
              <w:bottom w:w="30" w:type="dxa"/>
              <w:right w:w="120" w:type="dxa"/>
            </w:tcMar>
            <w:vAlign w:val="center"/>
          </w:tcPr>
          <w:p w14:paraId="3FCEB2B5">
            <w:pPr>
              <w:snapToGrid w:val="0"/>
              <w:spacing w:line="360" w:lineRule="auto"/>
              <w:rPr>
                <w:rFonts w:ascii="仿宋" w:hAnsi="仿宋" w:eastAsia="仿宋" w:cs="仿宋"/>
                <w:sz w:val="24"/>
              </w:rPr>
            </w:pPr>
            <w:r>
              <w:rPr>
                <w:rFonts w:hint="eastAsia" w:ascii="仿宋" w:hAnsi="仿宋" w:eastAsia="仿宋" w:cs="仿宋"/>
                <w:sz w:val="24"/>
              </w:rPr>
              <w:t>1. 针对医院管理岗、医护操作岗、信息科技术岗，分别制定差异化培训计划，编制标准化培训教材与操作手册；</w:t>
            </w:r>
          </w:p>
          <w:p w14:paraId="7D363C74">
            <w:pPr>
              <w:snapToGrid w:val="0"/>
              <w:spacing w:line="360" w:lineRule="auto"/>
              <w:rPr>
                <w:rFonts w:ascii="仿宋" w:hAnsi="仿宋" w:eastAsia="仿宋" w:cs="仿宋"/>
                <w:sz w:val="24"/>
              </w:rPr>
            </w:pPr>
            <w:r>
              <w:rPr>
                <w:rFonts w:hint="eastAsia" w:ascii="仿宋" w:hAnsi="仿宋" w:eastAsia="仿宋" w:cs="仿宋"/>
                <w:sz w:val="24"/>
              </w:rPr>
              <w:t>2. 培训内容包括系统操作规范、常见故障处置、电子签名合规要求、数据安全与个人信息保护、应急处置流程等；</w:t>
            </w:r>
          </w:p>
          <w:p w14:paraId="5BA333A8">
            <w:pPr>
              <w:snapToGrid w:val="0"/>
              <w:spacing w:line="360" w:lineRule="auto"/>
              <w:rPr>
                <w:rFonts w:ascii="仿宋" w:hAnsi="仿宋" w:eastAsia="仿宋" w:cs="仿宋"/>
                <w:sz w:val="24"/>
              </w:rPr>
            </w:pPr>
            <w:r>
              <w:rPr>
                <w:rFonts w:hint="eastAsia" w:ascii="仿宋" w:hAnsi="仿宋" w:eastAsia="仿宋" w:cs="仿宋"/>
                <w:sz w:val="24"/>
              </w:rPr>
              <w:t>3. 培训完成后组织考核，确保参训人员掌握对应技能；</w:t>
            </w:r>
          </w:p>
          <w:p w14:paraId="40ADCD70">
            <w:pPr>
              <w:snapToGrid w:val="0"/>
              <w:spacing w:line="360" w:lineRule="auto"/>
              <w:rPr>
                <w:rFonts w:ascii="仿宋" w:hAnsi="仿宋" w:eastAsia="仿宋" w:cs="仿宋"/>
                <w:sz w:val="24"/>
              </w:rPr>
            </w:pPr>
            <w:r>
              <w:rPr>
                <w:rFonts w:hint="eastAsia" w:ascii="仿宋" w:hAnsi="仿宋" w:eastAsia="仿宋" w:cs="仿宋"/>
                <w:sz w:val="24"/>
              </w:rPr>
              <w:t>4. 针对系统升级、新功能上线、新员工入职等场景，提供即时专项培训服务。</w:t>
            </w:r>
          </w:p>
        </w:tc>
        <w:tc>
          <w:tcPr>
            <w:tcW w:w="634" w:type="pct"/>
            <w:tcMar>
              <w:top w:w="60" w:type="dxa"/>
              <w:left w:w="120" w:type="dxa"/>
              <w:bottom w:w="30" w:type="dxa"/>
              <w:right w:w="120" w:type="dxa"/>
            </w:tcMar>
            <w:vAlign w:val="center"/>
          </w:tcPr>
          <w:p w14:paraId="018DBD21">
            <w:pPr>
              <w:snapToGrid w:val="0"/>
              <w:spacing w:line="360" w:lineRule="auto"/>
              <w:rPr>
                <w:rFonts w:ascii="仿宋" w:hAnsi="仿宋" w:eastAsia="仿宋" w:cs="仿宋"/>
                <w:sz w:val="24"/>
              </w:rPr>
            </w:pPr>
            <w:r>
              <w:rPr>
                <w:rFonts w:hint="eastAsia" w:ascii="仿宋" w:hAnsi="仿宋" w:eastAsia="仿宋" w:cs="仿宋"/>
                <w:sz w:val="24"/>
              </w:rPr>
              <w:t>现场培训、远程线上培训</w:t>
            </w:r>
          </w:p>
        </w:tc>
        <w:tc>
          <w:tcPr>
            <w:tcW w:w="714" w:type="pct"/>
            <w:tcMar>
              <w:top w:w="60" w:type="dxa"/>
              <w:left w:w="120" w:type="dxa"/>
              <w:bottom w:w="30" w:type="dxa"/>
              <w:right w:w="120" w:type="dxa"/>
            </w:tcMar>
            <w:vAlign w:val="center"/>
          </w:tcPr>
          <w:p w14:paraId="37530DC9">
            <w:pPr>
              <w:snapToGrid w:val="0"/>
              <w:spacing w:line="360" w:lineRule="auto"/>
              <w:rPr>
                <w:rFonts w:ascii="仿宋" w:hAnsi="仿宋" w:eastAsia="仿宋" w:cs="仿宋"/>
                <w:sz w:val="24"/>
              </w:rPr>
            </w:pPr>
            <w:r>
              <w:rPr>
                <w:rFonts w:hint="eastAsia" w:ascii="仿宋" w:hAnsi="仿宋" w:eastAsia="仿宋" w:cs="仿宋"/>
                <w:sz w:val="24"/>
              </w:rPr>
              <w:t xml:space="preserve">全年累计培训不少于20学时 </w:t>
            </w:r>
          </w:p>
        </w:tc>
      </w:tr>
      <w:tr w14:paraId="6F767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42E4FEE3">
            <w:pPr>
              <w:snapToGrid w:val="0"/>
              <w:spacing w:line="360" w:lineRule="auto"/>
              <w:jc w:val="center"/>
              <w:rPr>
                <w:rFonts w:ascii="仿宋" w:hAnsi="仿宋" w:eastAsia="仿宋" w:cs="仿宋"/>
                <w:sz w:val="24"/>
              </w:rPr>
            </w:pPr>
            <w:r>
              <w:rPr>
                <w:rFonts w:hint="eastAsia" w:ascii="仿宋" w:hAnsi="仿宋" w:eastAsia="仿宋" w:cs="仿宋"/>
                <w:sz w:val="24"/>
              </w:rPr>
              <w:t>7</w:t>
            </w:r>
          </w:p>
        </w:tc>
        <w:tc>
          <w:tcPr>
            <w:tcW w:w="396" w:type="pct"/>
            <w:tcMar>
              <w:top w:w="60" w:type="dxa"/>
              <w:left w:w="120" w:type="dxa"/>
              <w:bottom w:w="30" w:type="dxa"/>
              <w:right w:w="120" w:type="dxa"/>
            </w:tcMar>
            <w:vAlign w:val="center"/>
          </w:tcPr>
          <w:p w14:paraId="69B671CA">
            <w:pPr>
              <w:snapToGrid w:val="0"/>
              <w:spacing w:line="360" w:lineRule="auto"/>
              <w:jc w:val="center"/>
              <w:rPr>
                <w:rFonts w:ascii="仿宋" w:hAnsi="仿宋" w:eastAsia="仿宋" w:cs="仿宋"/>
                <w:sz w:val="24"/>
              </w:rPr>
            </w:pPr>
            <w:r>
              <w:rPr>
                <w:rFonts w:hint="eastAsia" w:ascii="仿宋" w:hAnsi="仿宋" w:eastAsia="仿宋" w:cs="仿宋"/>
                <w:sz w:val="24"/>
              </w:rPr>
              <w:t>应急保障服务</w:t>
            </w:r>
          </w:p>
        </w:tc>
        <w:tc>
          <w:tcPr>
            <w:tcW w:w="2936" w:type="pct"/>
            <w:tcMar>
              <w:top w:w="60" w:type="dxa"/>
              <w:left w:w="120" w:type="dxa"/>
              <w:bottom w:w="30" w:type="dxa"/>
              <w:right w:w="120" w:type="dxa"/>
            </w:tcMar>
            <w:vAlign w:val="center"/>
          </w:tcPr>
          <w:p w14:paraId="4F663B2A">
            <w:pPr>
              <w:snapToGrid w:val="0"/>
              <w:spacing w:line="360" w:lineRule="auto"/>
              <w:rPr>
                <w:rFonts w:ascii="仿宋" w:hAnsi="仿宋" w:eastAsia="仿宋" w:cs="仿宋"/>
                <w:sz w:val="24"/>
              </w:rPr>
            </w:pPr>
            <w:r>
              <w:rPr>
                <w:rFonts w:hint="eastAsia" w:ascii="仿宋" w:hAnsi="仿宋" w:eastAsia="仿宋" w:cs="仿宋"/>
                <w:sz w:val="24"/>
              </w:rPr>
              <w:t>1. 针对系统瘫痪、重大数据安全事件、网络攻击、证书大规模失效等突发场景，制定专项应急预案，明确应急处置流程、责任人员、处置方案；</w:t>
            </w:r>
          </w:p>
          <w:p w14:paraId="7622514B">
            <w:pPr>
              <w:snapToGrid w:val="0"/>
              <w:spacing w:line="360" w:lineRule="auto"/>
              <w:rPr>
                <w:rFonts w:ascii="仿宋" w:hAnsi="仿宋" w:eastAsia="仿宋" w:cs="仿宋"/>
                <w:sz w:val="24"/>
              </w:rPr>
            </w:pPr>
            <w:r>
              <w:rPr>
                <w:rFonts w:hint="eastAsia" w:ascii="仿宋" w:hAnsi="仿宋" w:eastAsia="仿宋" w:cs="仿宋"/>
                <w:sz w:val="24"/>
              </w:rPr>
              <w:t>2. 每年联合采购人组织不少于1次应急演练，优化应急预案；</w:t>
            </w:r>
          </w:p>
          <w:p w14:paraId="055AE98D">
            <w:pPr>
              <w:snapToGrid w:val="0"/>
              <w:spacing w:line="360" w:lineRule="auto"/>
              <w:rPr>
                <w:rFonts w:ascii="仿宋" w:hAnsi="仿宋" w:eastAsia="仿宋" w:cs="仿宋"/>
                <w:sz w:val="24"/>
              </w:rPr>
            </w:pPr>
            <w:r>
              <w:rPr>
                <w:rFonts w:hint="eastAsia" w:ascii="仿宋" w:hAnsi="仿宋" w:eastAsia="仿宋" w:cs="仿宋"/>
                <w:sz w:val="24"/>
              </w:rPr>
              <w:t>3. 医院就诊高峰、节假日、重大医疗活动等特殊时段，提供专属驻场保障服务，提前完成系统巡检，全程值守保障系统稳定运行。</w:t>
            </w:r>
          </w:p>
        </w:tc>
        <w:tc>
          <w:tcPr>
            <w:tcW w:w="634" w:type="pct"/>
            <w:tcMar>
              <w:top w:w="60" w:type="dxa"/>
              <w:left w:w="120" w:type="dxa"/>
              <w:bottom w:w="30" w:type="dxa"/>
              <w:right w:w="120" w:type="dxa"/>
            </w:tcMar>
            <w:vAlign w:val="center"/>
          </w:tcPr>
          <w:p w14:paraId="1EEE468A">
            <w:pPr>
              <w:snapToGrid w:val="0"/>
              <w:spacing w:line="360" w:lineRule="auto"/>
              <w:rPr>
                <w:rFonts w:ascii="仿宋" w:hAnsi="仿宋" w:eastAsia="仿宋" w:cs="仿宋"/>
                <w:sz w:val="24"/>
              </w:rPr>
            </w:pPr>
            <w:r>
              <w:rPr>
                <w:rFonts w:hint="eastAsia" w:ascii="仿宋" w:hAnsi="仿宋" w:eastAsia="仿宋" w:cs="仿宋"/>
                <w:sz w:val="24"/>
              </w:rPr>
              <w:t>现场驻场服务、7×24小时应急响应</w:t>
            </w:r>
          </w:p>
        </w:tc>
        <w:tc>
          <w:tcPr>
            <w:tcW w:w="714" w:type="pct"/>
            <w:tcMar>
              <w:top w:w="60" w:type="dxa"/>
              <w:left w:w="120" w:type="dxa"/>
              <w:bottom w:w="30" w:type="dxa"/>
              <w:right w:w="120" w:type="dxa"/>
            </w:tcMar>
            <w:vAlign w:val="center"/>
          </w:tcPr>
          <w:p w14:paraId="53CAE124">
            <w:pPr>
              <w:snapToGrid w:val="0"/>
              <w:spacing w:line="360" w:lineRule="auto"/>
              <w:rPr>
                <w:rFonts w:ascii="仿宋" w:hAnsi="仿宋" w:eastAsia="仿宋" w:cs="仿宋"/>
                <w:sz w:val="24"/>
              </w:rPr>
            </w:pPr>
            <w:r>
              <w:rPr>
                <w:rFonts w:hint="eastAsia" w:ascii="仿宋" w:hAnsi="仿宋" w:eastAsia="仿宋" w:cs="仿宋"/>
                <w:sz w:val="24"/>
              </w:rPr>
              <w:t>每年不少于1次应急演练，特殊时段按需提供驻场保障</w:t>
            </w:r>
          </w:p>
        </w:tc>
      </w:tr>
      <w:tr w14:paraId="33E3E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26AF887A">
            <w:pPr>
              <w:snapToGrid w:val="0"/>
              <w:spacing w:line="360" w:lineRule="auto"/>
              <w:jc w:val="center"/>
              <w:rPr>
                <w:rFonts w:ascii="仿宋" w:hAnsi="仿宋" w:eastAsia="仿宋" w:cs="仿宋"/>
                <w:sz w:val="24"/>
              </w:rPr>
            </w:pPr>
            <w:r>
              <w:rPr>
                <w:rFonts w:hint="eastAsia" w:ascii="仿宋" w:hAnsi="仿宋" w:eastAsia="仿宋" w:cs="仿宋"/>
                <w:sz w:val="24"/>
              </w:rPr>
              <w:t>8</w:t>
            </w:r>
          </w:p>
        </w:tc>
        <w:tc>
          <w:tcPr>
            <w:tcW w:w="396" w:type="pct"/>
            <w:tcMar>
              <w:top w:w="60" w:type="dxa"/>
              <w:left w:w="120" w:type="dxa"/>
              <w:bottom w:w="30" w:type="dxa"/>
              <w:right w:w="120" w:type="dxa"/>
            </w:tcMar>
            <w:vAlign w:val="center"/>
          </w:tcPr>
          <w:p w14:paraId="01820624">
            <w:pPr>
              <w:snapToGrid w:val="0"/>
              <w:spacing w:line="360" w:lineRule="auto"/>
              <w:jc w:val="center"/>
              <w:rPr>
                <w:rFonts w:ascii="仿宋" w:hAnsi="仿宋" w:eastAsia="仿宋" w:cs="仿宋"/>
                <w:sz w:val="24"/>
              </w:rPr>
            </w:pPr>
            <w:r>
              <w:rPr>
                <w:rFonts w:hint="eastAsia" w:ascii="仿宋" w:hAnsi="仿宋" w:eastAsia="仿宋" w:cs="仿宋"/>
                <w:sz w:val="24"/>
              </w:rPr>
              <w:t>SSL证书服务</w:t>
            </w:r>
          </w:p>
        </w:tc>
        <w:tc>
          <w:tcPr>
            <w:tcW w:w="2936" w:type="pct"/>
            <w:tcMar>
              <w:top w:w="60" w:type="dxa"/>
              <w:left w:w="120" w:type="dxa"/>
              <w:bottom w:w="30" w:type="dxa"/>
              <w:right w:w="120" w:type="dxa"/>
            </w:tcMar>
            <w:vAlign w:val="center"/>
          </w:tcPr>
          <w:p w14:paraId="3C73868F">
            <w:pPr>
              <w:snapToGrid w:val="0"/>
              <w:spacing w:line="360" w:lineRule="auto"/>
              <w:rPr>
                <w:rFonts w:ascii="仿宋" w:hAnsi="仿宋" w:eastAsia="仿宋" w:cs="仿宋"/>
                <w:sz w:val="24"/>
              </w:rPr>
            </w:pPr>
            <w:r>
              <w:rPr>
                <w:rFonts w:hint="eastAsia" w:ascii="仿宋" w:hAnsi="仿宋" w:eastAsia="仿宋" w:cs="仿宋"/>
                <w:sz w:val="24"/>
              </w:rPr>
              <w:t>1. 按时完成20 个 SSL 证书的有效期监控、到期提醒、续费办理、重新签发与部署更新，确保证书在服务期内持续有效、格式合规、适配医院所有业务系统；</w:t>
            </w:r>
          </w:p>
          <w:p w14:paraId="0915FFF1">
            <w:pPr>
              <w:snapToGrid w:val="0"/>
              <w:spacing w:line="360" w:lineRule="auto"/>
              <w:rPr>
                <w:rFonts w:ascii="仿宋" w:hAnsi="仿宋" w:eastAsia="仿宋" w:cs="仿宋"/>
                <w:sz w:val="24"/>
              </w:rPr>
            </w:pPr>
            <w:r>
              <w:rPr>
                <w:rFonts w:hint="eastAsia" w:ascii="仿宋" w:hAnsi="仿宋" w:eastAsia="仿宋" w:cs="仿宋"/>
                <w:sz w:val="24"/>
              </w:rPr>
              <w:t>2. 完成 SSL 证书与数字化认证签名系统、电子病历系统、PASS/RIS系统、电子票据系统、医保结算系统、患者服务平台等相关应用的部署调试、兼容性验证与链路加密测试，保障 HTTPS 传输加密稳定可靠；</w:t>
            </w:r>
          </w:p>
          <w:p w14:paraId="31F4C0F7">
            <w:pPr>
              <w:snapToGrid w:val="0"/>
              <w:spacing w:line="360" w:lineRule="auto"/>
              <w:rPr>
                <w:rFonts w:ascii="仿宋" w:hAnsi="仿宋" w:eastAsia="仿宋" w:cs="仿宋"/>
                <w:sz w:val="24"/>
              </w:rPr>
            </w:pPr>
            <w:r>
              <w:rPr>
                <w:rFonts w:hint="eastAsia" w:ascii="仿宋" w:hAnsi="仿宋" w:eastAsia="仿宋" w:cs="仿宋"/>
                <w:sz w:val="24"/>
              </w:rPr>
              <w:t>3. 配合完成网络安全等级保护测评、商用密码应用安全性评估、医疗机构网络安全检查等工作中 SSL 证书合规性核查与整改支撑，提供 SSL 证书全生命周期管理、配置核查、故障排查、加密链路优化等技术支持，杜绝因证书过期、配置错误、兼容性异常等问题导致业务中断、签名失效、访问不安全等情况。</w:t>
            </w:r>
          </w:p>
        </w:tc>
        <w:tc>
          <w:tcPr>
            <w:tcW w:w="634" w:type="pct"/>
            <w:tcMar>
              <w:top w:w="60" w:type="dxa"/>
              <w:left w:w="120" w:type="dxa"/>
              <w:bottom w:w="30" w:type="dxa"/>
              <w:right w:w="120" w:type="dxa"/>
            </w:tcMar>
            <w:vAlign w:val="center"/>
          </w:tcPr>
          <w:p w14:paraId="4FEB7E17">
            <w:pPr>
              <w:snapToGrid w:val="0"/>
              <w:spacing w:line="360" w:lineRule="auto"/>
              <w:rPr>
                <w:rFonts w:ascii="仿宋" w:hAnsi="仿宋" w:eastAsia="仿宋" w:cs="仿宋"/>
                <w:sz w:val="24"/>
                <w:highlight w:val="yellow"/>
              </w:rPr>
            </w:pPr>
            <w:r>
              <w:rPr>
                <w:rFonts w:hint="eastAsia" w:ascii="仿宋" w:hAnsi="仿宋" w:eastAsia="仿宋" w:cs="仿宋"/>
                <w:sz w:val="24"/>
              </w:rPr>
              <w:t>远程服务、现场服务</w:t>
            </w:r>
          </w:p>
        </w:tc>
        <w:tc>
          <w:tcPr>
            <w:tcW w:w="714" w:type="pct"/>
            <w:tcMar>
              <w:top w:w="60" w:type="dxa"/>
              <w:left w:w="120" w:type="dxa"/>
              <w:bottom w:w="30" w:type="dxa"/>
              <w:right w:w="120" w:type="dxa"/>
            </w:tcMar>
            <w:vAlign w:val="center"/>
          </w:tcPr>
          <w:p w14:paraId="1F261BAB">
            <w:pPr>
              <w:snapToGrid w:val="0"/>
              <w:spacing w:line="360" w:lineRule="auto"/>
              <w:rPr>
                <w:rFonts w:ascii="仿宋" w:hAnsi="仿宋" w:eastAsia="仿宋" w:cs="仿宋"/>
                <w:sz w:val="24"/>
                <w:highlight w:val="yellow"/>
              </w:rPr>
            </w:pPr>
            <w:r>
              <w:rPr>
                <w:rFonts w:hint="eastAsia" w:ascii="仿宋" w:hAnsi="仿宋" w:eastAsia="仿宋" w:cs="仿宋"/>
                <w:sz w:val="24"/>
              </w:rPr>
              <w:t>1年20个证书</w:t>
            </w:r>
          </w:p>
        </w:tc>
      </w:tr>
      <w:tr w14:paraId="3A4C1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317" w:type="pct"/>
            <w:tcMar>
              <w:top w:w="60" w:type="dxa"/>
              <w:left w:w="120" w:type="dxa"/>
              <w:bottom w:w="30" w:type="dxa"/>
              <w:right w:w="120" w:type="dxa"/>
            </w:tcMar>
            <w:vAlign w:val="center"/>
          </w:tcPr>
          <w:p w14:paraId="03D58394">
            <w:pPr>
              <w:snapToGrid w:val="0"/>
              <w:spacing w:line="360" w:lineRule="auto"/>
              <w:jc w:val="center"/>
              <w:rPr>
                <w:rFonts w:ascii="仿宋" w:hAnsi="仿宋" w:eastAsia="仿宋" w:cs="仿宋"/>
                <w:sz w:val="24"/>
              </w:rPr>
            </w:pPr>
            <w:r>
              <w:rPr>
                <w:rFonts w:hint="eastAsia" w:ascii="仿宋" w:hAnsi="仿宋" w:eastAsia="仿宋" w:cs="仿宋"/>
                <w:sz w:val="24"/>
              </w:rPr>
              <w:t>9</w:t>
            </w:r>
          </w:p>
        </w:tc>
        <w:tc>
          <w:tcPr>
            <w:tcW w:w="396" w:type="pct"/>
            <w:tcMar>
              <w:top w:w="60" w:type="dxa"/>
              <w:left w:w="120" w:type="dxa"/>
              <w:bottom w:w="30" w:type="dxa"/>
              <w:right w:w="120" w:type="dxa"/>
            </w:tcMar>
            <w:vAlign w:val="center"/>
          </w:tcPr>
          <w:p w14:paraId="77204861">
            <w:pPr>
              <w:snapToGrid w:val="0"/>
              <w:spacing w:line="360" w:lineRule="auto"/>
              <w:jc w:val="center"/>
              <w:rPr>
                <w:rFonts w:ascii="仿宋" w:hAnsi="仿宋" w:eastAsia="仿宋" w:cs="仿宋"/>
                <w:sz w:val="24"/>
              </w:rPr>
            </w:pPr>
            <w:r>
              <w:rPr>
                <w:rFonts w:hint="eastAsia" w:ascii="仿宋" w:hAnsi="仿宋" w:eastAsia="仿宋" w:cs="仿宋"/>
                <w:sz w:val="24"/>
              </w:rPr>
              <w:t>运维报告服务</w:t>
            </w:r>
          </w:p>
        </w:tc>
        <w:tc>
          <w:tcPr>
            <w:tcW w:w="2936" w:type="pct"/>
            <w:tcMar>
              <w:top w:w="60" w:type="dxa"/>
              <w:left w:w="120" w:type="dxa"/>
              <w:bottom w:w="30" w:type="dxa"/>
              <w:right w:w="120" w:type="dxa"/>
            </w:tcMar>
            <w:vAlign w:val="center"/>
          </w:tcPr>
          <w:p w14:paraId="5556FAEB">
            <w:pPr>
              <w:snapToGrid w:val="0"/>
              <w:spacing w:line="360" w:lineRule="auto"/>
              <w:rPr>
                <w:rFonts w:ascii="仿宋" w:hAnsi="仿宋" w:eastAsia="仿宋" w:cs="仿宋"/>
                <w:sz w:val="24"/>
              </w:rPr>
            </w:pPr>
            <w:r>
              <w:rPr>
                <w:rFonts w:hint="eastAsia" w:ascii="仿宋" w:hAnsi="仿宋" w:eastAsia="仿宋" w:cs="仿宋"/>
                <w:sz w:val="24"/>
              </w:rPr>
              <w:t>1. 每季度、每年提交阶段性运维报告，年度报告须包含全年服务总结、系统运行评估、安全合规情况、下一年度运维优化方案等；</w:t>
            </w:r>
          </w:p>
          <w:p w14:paraId="2148BE9F">
            <w:pPr>
              <w:snapToGrid w:val="0"/>
              <w:spacing w:line="360" w:lineRule="auto"/>
              <w:rPr>
                <w:rFonts w:ascii="仿宋" w:hAnsi="仿宋" w:eastAsia="仿宋" w:cs="仿宋"/>
                <w:sz w:val="24"/>
              </w:rPr>
            </w:pPr>
            <w:r>
              <w:rPr>
                <w:rFonts w:hint="eastAsia" w:ascii="仿宋" w:hAnsi="仿宋" w:eastAsia="仿宋" w:cs="仿宋"/>
                <w:sz w:val="24"/>
              </w:rPr>
              <w:t>2. 重大故障、专项工作单独提交专项报告。</w:t>
            </w:r>
          </w:p>
        </w:tc>
        <w:tc>
          <w:tcPr>
            <w:tcW w:w="634" w:type="pct"/>
            <w:tcMar>
              <w:top w:w="60" w:type="dxa"/>
              <w:left w:w="120" w:type="dxa"/>
              <w:bottom w:w="30" w:type="dxa"/>
              <w:right w:w="120" w:type="dxa"/>
            </w:tcMar>
            <w:vAlign w:val="center"/>
          </w:tcPr>
          <w:p w14:paraId="046293C9">
            <w:pPr>
              <w:snapToGrid w:val="0"/>
              <w:spacing w:line="360" w:lineRule="auto"/>
              <w:rPr>
                <w:rFonts w:ascii="仿宋" w:hAnsi="仿宋" w:eastAsia="仿宋" w:cs="仿宋"/>
                <w:sz w:val="24"/>
              </w:rPr>
            </w:pPr>
            <w:r>
              <w:rPr>
                <w:rFonts w:hint="eastAsia" w:ascii="仿宋" w:hAnsi="仿宋" w:eastAsia="仿宋" w:cs="仿宋"/>
                <w:sz w:val="24"/>
              </w:rPr>
              <w:t>书面盖章报告、电子文档</w:t>
            </w:r>
          </w:p>
        </w:tc>
        <w:tc>
          <w:tcPr>
            <w:tcW w:w="714" w:type="pct"/>
            <w:tcMar>
              <w:top w:w="60" w:type="dxa"/>
              <w:left w:w="120" w:type="dxa"/>
              <w:bottom w:w="30" w:type="dxa"/>
              <w:right w:w="120" w:type="dxa"/>
            </w:tcMar>
            <w:vAlign w:val="center"/>
          </w:tcPr>
          <w:p w14:paraId="01F82FB3">
            <w:pPr>
              <w:snapToGrid w:val="0"/>
              <w:spacing w:line="360" w:lineRule="auto"/>
              <w:rPr>
                <w:rFonts w:ascii="仿宋" w:hAnsi="仿宋" w:eastAsia="仿宋" w:cs="仿宋"/>
                <w:sz w:val="24"/>
              </w:rPr>
            </w:pPr>
            <w:r>
              <w:rPr>
                <w:rFonts w:hint="eastAsia" w:ascii="仿宋" w:hAnsi="仿宋" w:eastAsia="仿宋" w:cs="仿宋"/>
                <w:sz w:val="24"/>
              </w:rPr>
              <w:t>每季度1次季报，每年1次年报，专项报告按需提交</w:t>
            </w:r>
          </w:p>
        </w:tc>
      </w:tr>
    </w:tbl>
    <w:p w14:paraId="26C2FCEC">
      <w:pPr>
        <w:snapToGrid w:val="0"/>
        <w:spacing w:line="360" w:lineRule="auto"/>
        <w:jc w:val="left"/>
        <w:rPr>
          <w:rFonts w:ascii="仿宋" w:hAnsi="仿宋" w:eastAsia="仿宋" w:cs="仿宋"/>
          <w:sz w:val="24"/>
        </w:rPr>
      </w:pPr>
      <w:r>
        <w:rPr>
          <w:rFonts w:hint="eastAsia" w:ascii="仿宋" w:hAnsi="仿宋" w:eastAsia="仿宋" w:cs="仿宋"/>
          <w:b/>
          <w:sz w:val="24"/>
        </w:rPr>
        <w:t>5. 售后服务方案与技术能力要求</w:t>
      </w:r>
    </w:p>
    <w:p w14:paraId="48809CC1">
      <w:pPr>
        <w:snapToGrid w:val="0"/>
        <w:spacing w:line="360" w:lineRule="auto"/>
        <w:jc w:val="left"/>
        <w:rPr>
          <w:rFonts w:ascii="仿宋" w:hAnsi="仿宋" w:eastAsia="仿宋" w:cs="仿宋"/>
          <w:sz w:val="24"/>
        </w:rPr>
      </w:pPr>
      <w:r>
        <w:rPr>
          <w:rFonts w:hint="eastAsia" w:ascii="仿宋" w:hAnsi="仿宋" w:eastAsia="仿宋" w:cs="仿宋"/>
          <w:b/>
          <w:sz w:val="24"/>
        </w:rPr>
        <w:t>5.1 售后服务方案要求</w:t>
      </w:r>
    </w:p>
    <w:p w14:paraId="14CE66F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服务商须根据采购人信息化建设现状、系统使用情况、业务运行特点，制定详尽、可落地的售后服务方案，方案须至少包含以下内容：</w:t>
      </w:r>
    </w:p>
    <w:p w14:paraId="2235E3E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5.1.1 售后运维服务的整体承诺、服务级别保障承诺；</w:t>
      </w:r>
    </w:p>
    <w:p w14:paraId="3B4F531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5.1.2 售后运维服务的详细内容、实施流程、操作规范；</w:t>
      </w:r>
    </w:p>
    <w:p w14:paraId="34ED1B2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5.1.3 各故障等级的应急处置措施、业务连续性保障方案；</w:t>
      </w:r>
    </w:p>
    <w:p w14:paraId="41434CB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5.1.4 售后运维服务全流程管理制度、质量管控体系；</w:t>
      </w:r>
    </w:p>
    <w:p w14:paraId="09349B2F">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5.1.5 数据安全事件、系统瘫痪等突发场景的专项应急预案；</w:t>
      </w:r>
    </w:p>
    <w:p w14:paraId="49F706E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5.1.6 运维服务人员的岗位职责、考核方案、奖惩机制；</w:t>
      </w:r>
    </w:p>
    <w:p w14:paraId="15C7F85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5.1.7 合规性保障方案、等保合规配合方案、个人信息保护与商用密码合规专项方案；</w:t>
      </w:r>
    </w:p>
    <w:p w14:paraId="2AD706C6">
      <w:pPr>
        <w:snapToGrid w:val="0"/>
        <w:spacing w:line="360" w:lineRule="auto"/>
        <w:jc w:val="left"/>
        <w:rPr>
          <w:rFonts w:ascii="仿宋" w:hAnsi="仿宋" w:eastAsia="仿宋" w:cs="仿宋"/>
          <w:sz w:val="24"/>
        </w:rPr>
      </w:pPr>
      <w:r>
        <w:rPr>
          <w:rFonts w:hint="eastAsia" w:ascii="仿宋" w:hAnsi="仿宋" w:eastAsia="仿宋" w:cs="仿宋"/>
          <w:b/>
          <w:sz w:val="24"/>
        </w:rPr>
        <w:t>5.2 技术能力与人员要求</w:t>
      </w:r>
    </w:p>
    <w:p w14:paraId="588DF2C7">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5.2.1 服务商须提供本项目售后服务专属团队组织架构，明确项目负责人、技术负责人、现场运维人员、安全专项人员、应急保障人员的岗位职责与联系方式，确保7×24小时可联系。</w:t>
      </w:r>
    </w:p>
    <w:p w14:paraId="5210D36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5.2.2 本项目专属技术团队须拥有专业技术人员，团队人员须满足以下资质要求：</w:t>
      </w:r>
    </w:p>
    <w:p w14:paraId="48AA8892">
      <w:pPr>
        <w:pStyle w:val="34"/>
        <w:numPr>
          <w:ilvl w:val="0"/>
          <w:numId w:val="4"/>
        </w:numPr>
        <w:snapToGrid w:val="0"/>
        <w:spacing w:line="360" w:lineRule="auto"/>
        <w:ind w:left="0" w:firstLine="480"/>
        <w:rPr>
          <w:rFonts w:ascii="仿宋" w:hAnsi="仿宋" w:eastAsia="仿宋" w:cs="仿宋"/>
          <w:sz w:val="24"/>
        </w:rPr>
      </w:pPr>
      <w:r>
        <w:rPr>
          <w:rFonts w:hint="eastAsia" w:ascii="仿宋" w:hAnsi="仿宋" w:eastAsia="仿宋" w:cs="仿宋"/>
          <w:sz w:val="24"/>
        </w:rPr>
        <w:t>项目负责人须具备3年以上医疗信息化系统运维项目管理经验；</w:t>
      </w:r>
    </w:p>
    <w:p w14:paraId="2EF24BCA">
      <w:pPr>
        <w:pStyle w:val="34"/>
        <w:numPr>
          <w:ilvl w:val="0"/>
          <w:numId w:val="4"/>
        </w:numPr>
        <w:snapToGrid w:val="0"/>
        <w:spacing w:line="360" w:lineRule="auto"/>
        <w:ind w:left="0" w:firstLine="480"/>
        <w:rPr>
          <w:rFonts w:ascii="仿宋" w:hAnsi="仿宋" w:eastAsia="仿宋" w:cs="仿宋"/>
          <w:sz w:val="24"/>
        </w:rPr>
      </w:pPr>
      <w:r>
        <w:rPr>
          <w:rFonts w:hint="eastAsia" w:ascii="仿宋" w:hAnsi="仿宋" w:eastAsia="仿宋" w:cs="仿宋"/>
          <w:sz w:val="24"/>
        </w:rPr>
        <w:t>技术团队须包含至少1名数据库工程师、1名网络安全工程师，所有运维人员须具备对应系统的原厂运维认证资质；</w:t>
      </w:r>
    </w:p>
    <w:p w14:paraId="54316611">
      <w:pPr>
        <w:pStyle w:val="34"/>
        <w:numPr>
          <w:ilvl w:val="0"/>
          <w:numId w:val="4"/>
        </w:numPr>
        <w:snapToGrid w:val="0"/>
        <w:spacing w:line="360" w:lineRule="auto"/>
        <w:ind w:left="0" w:firstLine="480"/>
        <w:rPr>
          <w:rFonts w:ascii="仿宋" w:hAnsi="仿宋" w:eastAsia="仿宋" w:cs="仿宋"/>
          <w:sz w:val="24"/>
        </w:rPr>
      </w:pPr>
      <w:r>
        <w:rPr>
          <w:rFonts w:hint="eastAsia" w:ascii="仿宋" w:hAnsi="仿宋" w:eastAsia="仿宋" w:cs="仿宋"/>
          <w:sz w:val="24"/>
        </w:rPr>
        <w:t>提供团队所有人员近3个月的社保缴纳证明材料，确保人员稳定，未经采购人书面同意，不得擅自更换项目核心人员。</w:t>
      </w:r>
    </w:p>
    <w:p w14:paraId="11F4F25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5.2.3 服务商须具备完善的技术支撑体系，具备原厂级研发与维护能力，可提供系统源代码级的故障修复、功能适配服务，具备本地化服务能力，确保应急处置时效。</w:t>
      </w:r>
    </w:p>
    <w:p w14:paraId="71B7039C">
      <w:pPr>
        <w:snapToGrid w:val="0"/>
        <w:spacing w:line="360" w:lineRule="auto"/>
        <w:jc w:val="left"/>
        <w:rPr>
          <w:rFonts w:ascii="仿宋" w:hAnsi="仿宋" w:eastAsia="仿宋" w:cs="仿宋"/>
          <w:sz w:val="24"/>
        </w:rPr>
      </w:pPr>
      <w:r>
        <w:rPr>
          <w:rFonts w:hint="eastAsia" w:ascii="仿宋" w:hAnsi="仿宋" w:eastAsia="仿宋" w:cs="仿宋"/>
          <w:b/>
          <w:sz w:val="24"/>
        </w:rPr>
        <w:t>6. 数据安全与信息保密要求</w:t>
      </w:r>
    </w:p>
    <w:bookmarkEnd w:id="58"/>
    <w:p w14:paraId="39E7228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本条款严格遵循《数据安全法》《个人信息保护法》《密码法》《医疗卫生机构网络安全管理办法》《医疗卫生数据安全指南》制定，为项目刚性要求，具体如下：</w:t>
      </w:r>
    </w:p>
    <w:p w14:paraId="62D721EE">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6.1 服务商须建立完善的数据安全管理制度、全生命周期数据保护体系、个人信息保护管理制度，符合国家医疗数据分类分级保护、商用密码管理相关要求，明确数据安全责任部门与专职技术人员，提供专职人员证明材料。</w:t>
      </w:r>
    </w:p>
    <w:p w14:paraId="5B542EA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6.2 服务商须与采购人签订专项数据安全与保密协议，同时与所有参与本项目的服务人员签订保密协议，明确保密义务、保密范围、保密期限（含在职期间及离职后终身保密）与违约责任，相关协议文本须提交采购人备案。</w:t>
      </w:r>
    </w:p>
    <w:p w14:paraId="1C7C730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6.3 服务商须严格遵守国家法律法规，对服务过程中接触、获取的所有医疗数据、患者个人信息、电子认证数据、医院业务数据、涉密信息等，仅可用于本项目运维服务工作，不得擅自复制、存储、泄露、转让、篡改、销毁，不得用于任何商业用途或其他未经授权的用途。</w:t>
      </w:r>
    </w:p>
    <w:p w14:paraId="2D0B535B">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6.4 服务商的远程运维操作须经过采购人书面审批，采用加密安全接入方式，全程留痕，审计日志留存不少于6个月；严禁未经授权的远程操作，严禁将系统接入公共互联网进行运维操作。</w:t>
      </w:r>
    </w:p>
    <w:p w14:paraId="07A76DCE">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6.5 服务商须建立数据安全事件应急处置机制，发生数据泄露、篡改、丢失等安全事件时，须10分钟内响应，第一时间通知采购人，同步启动应急预案，采取处置措施防止事件扩大，配合采购人完成监管上报、事件调查等工作，并承担全部法律责任与经济损失。</w:t>
      </w:r>
    </w:p>
    <w:p w14:paraId="65C699E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6.6服务期结束后，服务商须将所有运维相关数据、文档、材料完整移交采购人，彻底删除所持有的采购人全部数据，不得留存任何副本，并向采购人出具数据删除承诺书。</w:t>
      </w:r>
    </w:p>
    <w:p w14:paraId="29A636CF">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6.7 服务商须配合采购人完成数据安全检查、网络安全审计、等保测评、商用密码应用安全性评估等相关工作，提供对应的技术支撑与整改服务。</w:t>
      </w:r>
    </w:p>
    <w:p w14:paraId="0C134F7C">
      <w:pPr>
        <w:snapToGrid w:val="0"/>
        <w:spacing w:line="360" w:lineRule="auto"/>
        <w:jc w:val="left"/>
        <w:rPr>
          <w:rFonts w:ascii="仿宋" w:hAnsi="仿宋" w:eastAsia="仿宋" w:cs="仿宋"/>
          <w:sz w:val="24"/>
        </w:rPr>
      </w:pPr>
      <w:r>
        <w:rPr>
          <w:rFonts w:hint="eastAsia" w:ascii="仿宋" w:hAnsi="仿宋" w:eastAsia="仿宋" w:cs="仿宋"/>
          <w:b/>
          <w:sz w:val="24"/>
        </w:rPr>
        <w:t>三、商务要求</w:t>
      </w:r>
      <w:bookmarkEnd w:id="59"/>
    </w:p>
    <w:p w14:paraId="0420C98C">
      <w:pPr>
        <w:snapToGrid w:val="0"/>
        <w:spacing w:line="360" w:lineRule="auto"/>
        <w:jc w:val="left"/>
        <w:rPr>
          <w:rFonts w:ascii="仿宋" w:hAnsi="仿宋" w:eastAsia="仿宋" w:cs="仿宋"/>
          <w:sz w:val="24"/>
        </w:rPr>
      </w:pPr>
      <w:r>
        <w:rPr>
          <w:rFonts w:hint="eastAsia" w:ascii="仿宋" w:hAnsi="仿宋" w:eastAsia="仿宋" w:cs="仿宋"/>
          <w:b/>
          <w:sz w:val="24"/>
        </w:rPr>
        <w:t>1. 合同核心内容</w:t>
      </w:r>
    </w:p>
    <w:p w14:paraId="26FCFB4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合同标的为成交供应商提供的本文件约定的全部运维服务，合同内容包含采购文件、成交供应商的响应文件、采购协商记录、服务承诺、成交通知书、合同文本等全部文件，成交总金额为合同固定总价，包含服务期内完成全部服务所需的人工、材料、设备、开发、测试、税费、培训、应急保障、证书年服务费等所有费用，采购人无需额外支付任何费用。</w:t>
      </w:r>
    </w:p>
    <w:p w14:paraId="01EF7F05">
      <w:pPr>
        <w:snapToGrid w:val="0"/>
        <w:spacing w:line="360" w:lineRule="auto"/>
        <w:jc w:val="left"/>
        <w:rPr>
          <w:rFonts w:ascii="仿宋" w:hAnsi="仿宋" w:eastAsia="仿宋" w:cs="仿宋"/>
          <w:sz w:val="24"/>
        </w:rPr>
      </w:pPr>
      <w:r>
        <w:rPr>
          <w:rFonts w:hint="eastAsia" w:ascii="仿宋" w:hAnsi="仿宋" w:eastAsia="仿宋" w:cs="仿宋"/>
          <w:b/>
          <w:sz w:val="24"/>
        </w:rPr>
        <w:t>2. 服务地点</w:t>
      </w:r>
    </w:p>
    <w:p w14:paraId="5E7E2A8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陕西省交通医院本部及所有分院区、采购人指定的其他服务场所。</w:t>
      </w:r>
    </w:p>
    <w:p w14:paraId="22035400">
      <w:pPr>
        <w:snapToGrid w:val="0"/>
        <w:spacing w:line="360" w:lineRule="auto"/>
        <w:jc w:val="left"/>
        <w:rPr>
          <w:rFonts w:ascii="仿宋" w:hAnsi="仿宋" w:eastAsia="仿宋" w:cs="仿宋"/>
          <w:sz w:val="24"/>
        </w:rPr>
      </w:pPr>
      <w:r>
        <w:rPr>
          <w:rFonts w:hint="eastAsia" w:ascii="仿宋" w:hAnsi="仿宋" w:eastAsia="仿宋" w:cs="仿宋"/>
          <w:b/>
          <w:sz w:val="24"/>
        </w:rPr>
        <w:t>3. 服务期限</w:t>
      </w:r>
    </w:p>
    <w:p w14:paraId="735CEBBD">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本项目服务期限为1年，自合同签订之日起计算。服务期内，服务商服务质量持续不达标，采购人有权提前终止合同。</w:t>
      </w:r>
    </w:p>
    <w:p w14:paraId="520F6BCA">
      <w:pPr>
        <w:snapToGrid w:val="0"/>
        <w:spacing w:line="360" w:lineRule="auto"/>
        <w:jc w:val="left"/>
        <w:rPr>
          <w:rFonts w:ascii="仿宋" w:hAnsi="仿宋" w:eastAsia="仿宋" w:cs="仿宋"/>
          <w:sz w:val="24"/>
        </w:rPr>
      </w:pPr>
      <w:r>
        <w:rPr>
          <w:rFonts w:hint="eastAsia" w:ascii="仿宋" w:hAnsi="仿宋" w:eastAsia="仿宋" w:cs="仿宋"/>
          <w:b/>
          <w:sz w:val="24"/>
        </w:rPr>
        <w:t>4. 项目考核与验收</w:t>
      </w:r>
    </w:p>
    <w:p w14:paraId="70C40248">
      <w:pPr>
        <w:pStyle w:val="34"/>
        <w:snapToGrid w:val="0"/>
        <w:spacing w:line="360" w:lineRule="auto"/>
        <w:ind w:left="425" w:hanging="425" w:firstLineChars="0"/>
        <w:rPr>
          <w:rFonts w:ascii="仿宋" w:hAnsi="仿宋" w:eastAsia="仿宋" w:cs="仿宋"/>
          <w:vanish/>
          <w:sz w:val="24"/>
        </w:rPr>
      </w:pPr>
      <w:r>
        <w:rPr>
          <w:rFonts w:hint="eastAsia" w:ascii="仿宋" w:hAnsi="仿宋" w:eastAsia="仿宋" w:cs="仿宋"/>
          <w:vanish/>
          <w:sz w:val="24"/>
        </w:rPr>
        <w:t>1</w:t>
      </w:r>
    </w:p>
    <w:p w14:paraId="395D8B56">
      <w:pPr>
        <w:pStyle w:val="34"/>
        <w:snapToGrid w:val="0"/>
        <w:spacing w:line="360" w:lineRule="auto"/>
        <w:ind w:left="425" w:hanging="425" w:firstLineChars="0"/>
        <w:rPr>
          <w:rFonts w:ascii="仿宋" w:hAnsi="仿宋" w:eastAsia="仿宋" w:cs="仿宋"/>
          <w:vanish/>
          <w:sz w:val="24"/>
        </w:rPr>
      </w:pPr>
      <w:r>
        <w:rPr>
          <w:rFonts w:hint="eastAsia" w:ascii="仿宋" w:hAnsi="仿宋" w:eastAsia="仿宋" w:cs="仿宋"/>
          <w:vanish/>
          <w:sz w:val="24"/>
        </w:rPr>
        <w:t>2</w:t>
      </w:r>
    </w:p>
    <w:p w14:paraId="2C118B29">
      <w:pPr>
        <w:pStyle w:val="34"/>
        <w:snapToGrid w:val="0"/>
        <w:spacing w:line="360" w:lineRule="auto"/>
        <w:ind w:left="425" w:hanging="425" w:firstLineChars="0"/>
        <w:rPr>
          <w:rFonts w:ascii="仿宋" w:hAnsi="仿宋" w:eastAsia="仿宋" w:cs="仿宋"/>
          <w:vanish/>
          <w:sz w:val="24"/>
        </w:rPr>
      </w:pPr>
      <w:r>
        <w:rPr>
          <w:rFonts w:hint="eastAsia" w:ascii="仿宋" w:hAnsi="仿宋" w:eastAsia="仿宋" w:cs="仿宋"/>
          <w:vanish/>
          <w:sz w:val="24"/>
        </w:rPr>
        <w:t>3</w:t>
      </w:r>
    </w:p>
    <w:p w14:paraId="31237A03">
      <w:pPr>
        <w:pStyle w:val="34"/>
        <w:snapToGrid w:val="0"/>
        <w:spacing w:line="360" w:lineRule="auto"/>
        <w:ind w:left="425" w:hanging="425" w:firstLineChars="0"/>
        <w:rPr>
          <w:rFonts w:ascii="仿宋" w:hAnsi="仿宋" w:eastAsia="仿宋" w:cs="仿宋"/>
          <w:vanish/>
          <w:sz w:val="24"/>
        </w:rPr>
      </w:pPr>
      <w:r>
        <w:rPr>
          <w:rFonts w:hint="eastAsia" w:ascii="仿宋" w:hAnsi="仿宋" w:eastAsia="仿宋" w:cs="仿宋"/>
          <w:vanish/>
          <w:sz w:val="24"/>
        </w:rPr>
        <w:t>4</w:t>
      </w:r>
    </w:p>
    <w:p w14:paraId="47FD35CB">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4.1本项目采用月度动态考核+年度总验收的方式，由采购人信息科牵头，联合医务科、财务科等相关部门，或邀请外部专家开展考核评价与验收工作，成交供应商须无条件配合，并提供全部所需的运维记录、报告等资料。</w:t>
      </w:r>
    </w:p>
    <w:p w14:paraId="7ADEBF14">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4.2考核标准：严格按照本文件附件《信息系统售后运维服务质量评价标准》执行，评分满分100分。90分（含）-100分为优秀，70分（含）-89分为合格，70分以下为不合格。</w:t>
      </w:r>
    </w:p>
    <w:p w14:paraId="1DA0F4A9">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4.3验收依据：本采购文件、成交供应商响应文件、合同文本、国家及行业现行相关标准规范、月度考核记录、运维服务报告、服务满意度调查结果、项目考核汇总表等。</w:t>
      </w:r>
    </w:p>
    <w:p w14:paraId="02257F5E">
      <w:pPr>
        <w:numPr>
          <w:ilvl w:val="1"/>
          <w:numId w:val="0"/>
        </w:num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4.4年度验收合格的前提：服务期内无重大数据安全事件、无重大服务质量投诉、无因服务商责任导致的医疗业务重大中断事故，年度考核评分≥70分。</w:t>
      </w:r>
    </w:p>
    <w:p w14:paraId="376E9318">
      <w:pPr>
        <w:snapToGrid w:val="0"/>
        <w:spacing w:line="360" w:lineRule="auto"/>
        <w:ind w:firstLine="482" w:firstLineChars="200"/>
        <w:jc w:val="left"/>
        <w:rPr>
          <w:rFonts w:ascii="仿宋" w:hAnsi="仿宋" w:eastAsia="仿宋" w:cs="仿宋"/>
          <w:sz w:val="24"/>
        </w:rPr>
      </w:pPr>
      <w:r>
        <w:rPr>
          <w:rFonts w:hint="eastAsia" w:ascii="仿宋" w:hAnsi="仿宋" w:eastAsia="仿宋" w:cs="仿宋"/>
          <w:b/>
          <w:sz w:val="24"/>
        </w:rPr>
        <w:t>5. 结算与付款方式</w:t>
      </w:r>
    </w:p>
    <w:p w14:paraId="4957C81F">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5.1 结算主体为采购人，结算前，成交供应商须向采购人开具合法、等额、有效的发票，采购人收到发票后按以下约定付款，因供应商发票开具不合规导致的付款延误，由供应商自行承担全部责任。</w:t>
      </w:r>
    </w:p>
    <w:p w14:paraId="0C528D8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5.2 付款方式：</w:t>
      </w:r>
    </w:p>
    <w:p w14:paraId="3AA8F3F9">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第一笔款项：双方签订合同后5日内，采购人支付合同内各类证书年使用费用的100%与系统运维服务费用的50%；</w:t>
      </w:r>
    </w:p>
    <w:p w14:paraId="27AD8B5A">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第二笔款项：服务期满后，采购人组织完成年度考核验收后5个工作日内，根据考核结果支付剩余合同价款：</w:t>
      </w:r>
    </w:p>
    <w:p w14:paraId="31F0A4F1">
      <w:pPr>
        <w:pStyle w:val="34"/>
        <w:snapToGrid w:val="0"/>
        <w:spacing w:line="360" w:lineRule="auto"/>
        <w:ind w:left="860" w:hanging="420" w:firstLineChars="0"/>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年度考核结果为优秀的，支付合同剩余50%运维服务费用；</w:t>
      </w:r>
    </w:p>
    <w:p w14:paraId="6E5ABE16">
      <w:pPr>
        <w:pStyle w:val="34"/>
        <w:snapToGrid w:val="0"/>
        <w:spacing w:line="360" w:lineRule="auto"/>
        <w:ind w:left="860" w:hanging="420" w:firstLineChars="0"/>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年度考核结果为合格的，扣除合同运维服务总价款的10%作为违约金，支付合同剩余40%运维服务费用；</w:t>
      </w:r>
    </w:p>
    <w:p w14:paraId="509B92EE">
      <w:pPr>
        <w:pStyle w:val="34"/>
        <w:snapToGrid w:val="0"/>
        <w:spacing w:line="360" w:lineRule="auto"/>
        <w:ind w:left="860" w:hanging="420" w:firstLineChars="0"/>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年度考核结果为不合格的，采购人有权不予支付合同剩余50%运维服务费用，同时保留追究供应商违约责任的权利。</w:t>
      </w:r>
    </w:p>
    <w:p w14:paraId="35DF3EEE">
      <w:pPr>
        <w:snapToGrid w:val="0"/>
        <w:spacing w:line="360" w:lineRule="auto"/>
        <w:jc w:val="left"/>
        <w:rPr>
          <w:rFonts w:ascii="仿宋" w:hAnsi="仿宋" w:eastAsia="仿宋" w:cs="仿宋"/>
          <w:sz w:val="24"/>
        </w:rPr>
      </w:pPr>
      <w:bookmarkStart w:id="60" w:name="heading_19"/>
      <w:r>
        <w:rPr>
          <w:rFonts w:hint="eastAsia" w:ascii="仿宋" w:hAnsi="仿宋" w:eastAsia="仿宋" w:cs="仿宋"/>
          <w:b/>
          <w:sz w:val="24"/>
        </w:rPr>
        <w:t>6. 知识产权条款</w:t>
      </w:r>
      <w:bookmarkEnd w:id="60"/>
    </w:p>
    <w:p w14:paraId="465922D4">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6.1 供应商须保证，其提供的运维服务、软件更新、升级服务及相关技术成果，不会出现任何第三方提出侵犯其专利权、商标权、著作权或其他知识产权的主张或诉讼，如发生前述情形，由供应商承担全部法律责任，并赔偿采购人因此遭受的全部经济损失。</w:t>
      </w:r>
    </w:p>
    <w:p w14:paraId="432A1B6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6.2 本项目涉及系统的软件著作权、知识产权归原权利人所有，供应商仅可基于本项目运维服务目的，在采购人授权范围内使用相关软件及技术资料，不得擅自复制、分发、转让、反编译、反向工程，不得用于任何其他用途。</w:t>
      </w:r>
    </w:p>
    <w:p w14:paraId="1C4BF806">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6.3 服务期内，采购人基于系统使用产生的全部医疗数据、业务数据、患者个人信息、电子认证数据等所有数据的所有权、使用权均归采购人所有，供应商不得主张任何权利，不得擅自使用。</w:t>
      </w:r>
    </w:p>
    <w:p w14:paraId="608CCED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6.4 供应商为采购人提供的定制化功能开发、政策适配升级、技术方案等成果，知识产权归采购人所有，供应商仅可保留非商业用途的技术使用权。</w:t>
      </w:r>
    </w:p>
    <w:p w14:paraId="70551F14">
      <w:pPr>
        <w:snapToGrid w:val="0"/>
        <w:spacing w:line="360" w:lineRule="auto"/>
        <w:jc w:val="left"/>
        <w:rPr>
          <w:rFonts w:ascii="仿宋" w:hAnsi="仿宋" w:eastAsia="仿宋" w:cs="仿宋"/>
          <w:sz w:val="24"/>
        </w:rPr>
      </w:pPr>
      <w:bookmarkStart w:id="61" w:name="heading_20"/>
      <w:r>
        <w:rPr>
          <w:rFonts w:hint="eastAsia" w:ascii="仿宋" w:hAnsi="仿宋" w:eastAsia="仿宋" w:cs="仿宋"/>
          <w:b/>
          <w:sz w:val="24"/>
        </w:rPr>
        <w:t>7. 违约责任</w:t>
      </w:r>
      <w:bookmarkEnd w:id="61"/>
    </w:p>
    <w:p w14:paraId="3CADC488">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7.1 本合同违约责任严格按照《中华人民共和国民法典》相关条款执行。</w:t>
      </w:r>
    </w:p>
    <w:p w14:paraId="41DF3E4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7.2 供应商未按合同约定提供服务，或服务质量、响应时效、技术能力不满足合同要求，采购人有权按《服务质量评价标准》扣除对应款项，并要求供应商限期整改；整改后仍无法满足合同要求的，采购人有权扣除对应合同款项，直至单方面解除合同，供应商须承担采购人因此遭受的全部损失。</w:t>
      </w:r>
    </w:p>
    <w:p w14:paraId="311FF3F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7.3 供应商未按故障SLA要求完成响应与故障处置的，每出现一次一级故障超时，扣除合同总价款的5%；每出现一次二级故障超时，扣除合同总价款的2%；三级、四级故障超时，按评价标准扣除对应分值，并累计扣除合同款项。因供应商故障处置不及时导致医院业务中断、产生医疗纠纷、电子文书失去法律效力或监管处罚的，全部责任与经济损失由供应商承担。</w:t>
      </w:r>
    </w:p>
    <w:p w14:paraId="2FB753AC">
      <w:pPr>
        <w:snapToGrid w:val="0"/>
        <w:spacing w:line="360" w:lineRule="auto"/>
        <w:ind w:firstLine="480" w:firstLineChars="200"/>
        <w:jc w:val="left"/>
        <w:rPr>
          <w:rFonts w:ascii="仿宋" w:hAnsi="仿宋" w:eastAsia="仿宋" w:cs="仿宋"/>
          <w:sz w:val="24"/>
        </w:rPr>
      </w:pPr>
      <w:bookmarkStart w:id="62" w:name="_Toc513621195"/>
      <w:r>
        <w:rPr>
          <w:rFonts w:hint="eastAsia" w:ascii="仿宋" w:hAnsi="仿宋" w:eastAsia="仿宋" w:cs="仿宋"/>
          <w:sz w:val="24"/>
        </w:rPr>
        <w:t>7.4 供应商违反数据安全与保密约定，发生数据泄露、篡改、丢失等事件，或擅自使用、转让采购人数据的，采购人有权立即解除合同，不予支付剩余全部合同款项，供应商须支付合同总价款30%的违约金，同时承担全部法律责任，赔偿采购人因此遭受的全部经济损失（含监管处罚、民事赔偿、商誉损失等）。</w:t>
      </w:r>
    </w:p>
    <w:p w14:paraId="59E63BE5">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7.5 供应商未经采购人同意，擅自更换项目核心人员、转包/分包本项目服务的，采购人有权扣除合同总价款的10%作为违约金，情节严重的，有权解除合同。</w:t>
      </w:r>
    </w:p>
    <w:p w14:paraId="1EC6C431">
      <w:pPr>
        <w:snapToGrid w:val="0"/>
        <w:spacing w:line="360" w:lineRule="auto"/>
        <w:jc w:val="left"/>
        <w:rPr>
          <w:rFonts w:ascii="仿宋" w:hAnsi="仿宋" w:eastAsia="仿宋" w:cs="仿宋"/>
          <w:sz w:val="24"/>
        </w:rPr>
      </w:pPr>
      <w:bookmarkStart w:id="63" w:name="heading_21"/>
      <w:r>
        <w:rPr>
          <w:rFonts w:hint="eastAsia" w:ascii="仿宋" w:hAnsi="仿宋" w:eastAsia="仿宋" w:cs="仿宋"/>
          <w:b/>
          <w:sz w:val="24"/>
        </w:rPr>
        <w:t>8. 其他约定</w:t>
      </w:r>
      <w:bookmarkEnd w:id="63"/>
    </w:p>
    <w:p w14:paraId="7B2852F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8.1 本项目技术要求与商务要求为合同核心条款，不允许任何负偏离，供应商响应文件须对所有条款作出完全响应承诺，负偏离响应将按无效响应处理。</w:t>
      </w:r>
      <w:bookmarkEnd w:id="62"/>
    </w:p>
    <w:p w14:paraId="36F19562">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8.2 服务期内，如遇国家政策法规、行业标准发生重大调整，采购人有权对服务内容与要求进行合规性调整，供应商须无条件配合，不得额外收取费用。</w:t>
      </w:r>
    </w:p>
    <w:p w14:paraId="7D4E177C">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8.3 本文件未尽事宜，由双方在合同中另行约定，约定内容不得违反本文件的核心要求与国家相关法律法规。</w:t>
      </w:r>
    </w:p>
    <w:p w14:paraId="6E876B3F">
      <w:pPr>
        <w:rPr>
          <w:rFonts w:ascii="仿宋" w:hAnsi="仿宋" w:eastAsia="仿宋" w:cs="仿宋"/>
          <w:b/>
          <w:bCs/>
          <w:sz w:val="24"/>
        </w:rPr>
      </w:pPr>
    </w:p>
    <w:p w14:paraId="68026F13">
      <w:pPr>
        <w:rPr>
          <w:rFonts w:ascii="仿宋" w:hAnsi="仿宋" w:eastAsia="仿宋" w:cs="仿宋"/>
          <w:b/>
          <w:bCs/>
          <w:sz w:val="24"/>
        </w:rPr>
        <w:sectPr>
          <w:headerReference r:id="rId26" w:type="default"/>
          <w:footerReference r:id="rId27" w:type="default"/>
          <w:pgSz w:w="11906" w:h="16838"/>
          <w:pgMar w:top="1440" w:right="1417" w:bottom="1440" w:left="1587" w:header="850" w:footer="992" w:gutter="0"/>
          <w:cols w:space="720" w:num="1"/>
          <w:docGrid w:type="lines" w:linePitch="317" w:charSpace="0"/>
        </w:sectPr>
      </w:pPr>
    </w:p>
    <w:p w14:paraId="5A86D3CA">
      <w:pPr>
        <w:pStyle w:val="2"/>
        <w:spacing w:before="156" w:after="156" w:line="360" w:lineRule="auto"/>
        <w:rPr>
          <w:rFonts w:ascii="仿宋" w:hAnsi="仿宋" w:eastAsia="仿宋" w:cs="仿宋"/>
          <w:sz w:val="32"/>
          <w:szCs w:val="32"/>
        </w:rPr>
      </w:pPr>
      <w:r>
        <w:rPr>
          <w:rFonts w:hint="eastAsia" w:ascii="仿宋" w:hAnsi="仿宋" w:eastAsia="仿宋" w:cs="仿宋"/>
          <w:sz w:val="32"/>
          <w:szCs w:val="32"/>
        </w:rPr>
        <w:t>第四章  商务及合同主要条款</w:t>
      </w:r>
      <w:bookmarkEnd w:id="47"/>
    </w:p>
    <w:p w14:paraId="46EC293D">
      <w:pPr>
        <w:spacing w:line="240" w:lineRule="auto"/>
        <w:jc w:val="center"/>
        <w:rPr>
          <w:rFonts w:ascii="仿宋" w:hAnsi="仿宋" w:eastAsia="仿宋" w:cs="仿宋"/>
          <w:b/>
          <w:bCs/>
          <w:sz w:val="28"/>
          <w:szCs w:val="28"/>
        </w:rPr>
      </w:pPr>
      <w:bookmarkStart w:id="64" w:name="_Toc7578"/>
      <w:r>
        <w:rPr>
          <w:rFonts w:hint="eastAsia" w:ascii="仿宋" w:hAnsi="仿宋" w:eastAsia="仿宋" w:cs="仿宋"/>
          <w:b/>
          <w:bCs/>
          <w:sz w:val="28"/>
          <w:szCs w:val="28"/>
        </w:rPr>
        <w:t>商务及合同主要条款</w:t>
      </w:r>
    </w:p>
    <w:tbl>
      <w:tblPr>
        <w:tblStyle w:val="25"/>
        <w:tblW w:w="4999"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28" w:type="dxa"/>
          <w:bottom w:w="0" w:type="dxa"/>
          <w:right w:w="28" w:type="dxa"/>
        </w:tblCellMar>
      </w:tblPr>
      <w:tblGrid>
        <w:gridCol w:w="1134"/>
        <w:gridCol w:w="8160"/>
      </w:tblGrid>
      <w:tr w14:paraId="456B67B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610" w:type="pct"/>
            <w:vAlign w:val="center"/>
          </w:tcPr>
          <w:p w14:paraId="669BC983">
            <w:pPr>
              <w:adjustRightInd w:val="0"/>
              <w:spacing w:line="500" w:lineRule="exact"/>
              <w:jc w:val="center"/>
              <w:rPr>
                <w:rFonts w:ascii="仿宋" w:hAnsi="仿宋" w:eastAsia="仿宋" w:cs="仿宋"/>
                <w:sz w:val="24"/>
              </w:rPr>
            </w:pPr>
            <w:r>
              <w:rPr>
                <w:rFonts w:hint="eastAsia" w:ascii="仿宋" w:hAnsi="仿宋" w:eastAsia="仿宋" w:cs="仿宋"/>
                <w:sz w:val="24"/>
              </w:rPr>
              <w:t>条款号</w:t>
            </w:r>
          </w:p>
        </w:tc>
        <w:tc>
          <w:tcPr>
            <w:tcW w:w="4389" w:type="pct"/>
            <w:vAlign w:val="center"/>
          </w:tcPr>
          <w:p w14:paraId="3B6EEE02">
            <w:pPr>
              <w:adjustRightInd w:val="0"/>
              <w:spacing w:line="500" w:lineRule="exact"/>
              <w:jc w:val="center"/>
              <w:rPr>
                <w:rFonts w:ascii="仿宋" w:hAnsi="仿宋" w:eastAsia="仿宋" w:cs="仿宋"/>
                <w:sz w:val="24"/>
              </w:rPr>
            </w:pPr>
            <w:r>
              <w:rPr>
                <w:rFonts w:hint="eastAsia" w:ascii="仿宋" w:hAnsi="仿宋" w:eastAsia="仿宋" w:cs="仿宋"/>
                <w:b/>
                <w:bCs/>
                <w:sz w:val="24"/>
              </w:rPr>
              <w:t>内      容</w:t>
            </w:r>
          </w:p>
        </w:tc>
      </w:tr>
      <w:tr w14:paraId="776FF0D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610" w:type="pct"/>
            <w:vAlign w:val="center"/>
          </w:tcPr>
          <w:p w14:paraId="09DE41AB">
            <w:pPr>
              <w:adjustRightInd w:val="0"/>
              <w:spacing w:line="500" w:lineRule="exact"/>
              <w:jc w:val="center"/>
              <w:rPr>
                <w:rFonts w:ascii="仿宋" w:hAnsi="仿宋" w:eastAsia="仿宋" w:cs="仿宋"/>
                <w:sz w:val="24"/>
              </w:rPr>
            </w:pPr>
            <w:r>
              <w:rPr>
                <w:rFonts w:hint="eastAsia" w:ascii="仿宋" w:hAnsi="仿宋" w:eastAsia="仿宋" w:cs="仿宋"/>
                <w:sz w:val="24"/>
              </w:rPr>
              <w:t>1</w:t>
            </w:r>
          </w:p>
        </w:tc>
        <w:tc>
          <w:tcPr>
            <w:tcW w:w="4389" w:type="pct"/>
            <w:vAlign w:val="center"/>
          </w:tcPr>
          <w:p w14:paraId="50E958BA">
            <w:pPr>
              <w:adjustRightInd w:val="0"/>
              <w:spacing w:line="500" w:lineRule="exact"/>
              <w:rPr>
                <w:rFonts w:ascii="仿宋" w:hAnsi="仿宋" w:eastAsia="仿宋" w:cs="仿宋"/>
                <w:sz w:val="24"/>
              </w:rPr>
            </w:pPr>
            <w:r>
              <w:rPr>
                <w:rFonts w:hint="eastAsia" w:ascii="仿宋" w:hAnsi="仿宋" w:eastAsia="仿宋" w:cs="仿宋"/>
                <w:sz w:val="24"/>
              </w:rPr>
              <w:t>服务地点：陕西省交通医院本部及所有分院区、采购人指定的其他服务场所</w:t>
            </w:r>
          </w:p>
        </w:tc>
      </w:tr>
      <w:tr w14:paraId="7ECF911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363" w:hRule="atLeast"/>
        </w:trPr>
        <w:tc>
          <w:tcPr>
            <w:tcW w:w="610" w:type="pct"/>
            <w:vAlign w:val="center"/>
          </w:tcPr>
          <w:p w14:paraId="62321657">
            <w:pPr>
              <w:adjustRightInd w:val="0"/>
              <w:spacing w:line="500" w:lineRule="exact"/>
              <w:jc w:val="center"/>
              <w:rPr>
                <w:rFonts w:ascii="仿宋" w:hAnsi="仿宋" w:eastAsia="仿宋" w:cs="仿宋"/>
                <w:sz w:val="24"/>
              </w:rPr>
            </w:pPr>
            <w:r>
              <w:rPr>
                <w:rFonts w:hint="eastAsia" w:ascii="仿宋" w:hAnsi="仿宋" w:eastAsia="仿宋" w:cs="仿宋"/>
                <w:sz w:val="24"/>
              </w:rPr>
              <w:t>2</w:t>
            </w:r>
          </w:p>
        </w:tc>
        <w:tc>
          <w:tcPr>
            <w:tcW w:w="4389" w:type="pct"/>
            <w:vAlign w:val="center"/>
          </w:tcPr>
          <w:p w14:paraId="38EC9723">
            <w:pPr>
              <w:adjustRightInd w:val="0"/>
              <w:spacing w:line="500" w:lineRule="exact"/>
              <w:rPr>
                <w:rFonts w:ascii="仿宋" w:hAnsi="仿宋" w:eastAsia="仿宋" w:cs="仿宋"/>
                <w:sz w:val="24"/>
              </w:rPr>
            </w:pPr>
            <w:r>
              <w:rPr>
                <w:rFonts w:hint="eastAsia" w:ascii="仿宋" w:hAnsi="仿宋" w:eastAsia="仿宋" w:cs="仿宋"/>
                <w:sz w:val="24"/>
              </w:rPr>
              <w:t>服务期限：</w:t>
            </w:r>
          </w:p>
          <w:p w14:paraId="0EF9C834">
            <w:pPr>
              <w:pStyle w:val="13"/>
              <w:spacing w:line="500" w:lineRule="exact"/>
              <w:jc w:val="left"/>
              <w:rPr>
                <w:rFonts w:ascii="仿宋" w:hAnsi="仿宋" w:eastAsia="仿宋" w:cs="仿宋"/>
                <w:sz w:val="24"/>
                <w:szCs w:val="24"/>
              </w:rPr>
            </w:pPr>
            <w:r>
              <w:rPr>
                <w:rFonts w:hint="eastAsia" w:ascii="仿宋" w:hAnsi="仿宋" w:eastAsia="仿宋" w:cs="仿宋"/>
                <w:b/>
                <w:bCs/>
                <w:sz w:val="24"/>
                <w:szCs w:val="24"/>
              </w:rPr>
              <w:t>采购包1：</w:t>
            </w:r>
            <w:r>
              <w:rPr>
                <w:rFonts w:hint="eastAsia" w:ascii="仿宋" w:hAnsi="仿宋" w:eastAsia="仿宋" w:cs="仿宋"/>
                <w:sz w:val="24"/>
                <w:szCs w:val="24"/>
              </w:rPr>
              <w:t>本项目服务期限为1年，自合同签订之日起计算。服务期内，服务商服务质量持续不达标，采购人有权提前终止合同。</w:t>
            </w:r>
          </w:p>
          <w:p w14:paraId="6D110CA9">
            <w:pPr>
              <w:pStyle w:val="13"/>
              <w:spacing w:line="500" w:lineRule="exact"/>
              <w:jc w:val="left"/>
              <w:rPr>
                <w:rFonts w:ascii="仿宋" w:hAnsi="仿宋" w:eastAsia="仿宋" w:cs="仿宋"/>
                <w:sz w:val="24"/>
                <w:szCs w:val="24"/>
              </w:rPr>
            </w:pPr>
            <w:r>
              <w:rPr>
                <w:rFonts w:hint="eastAsia" w:ascii="仿宋" w:hAnsi="仿宋" w:eastAsia="仿宋" w:cs="仿宋"/>
                <w:b/>
                <w:bCs/>
                <w:sz w:val="24"/>
                <w:szCs w:val="24"/>
              </w:rPr>
              <w:t>采购包2：</w:t>
            </w:r>
            <w:r>
              <w:rPr>
                <w:rFonts w:hint="eastAsia" w:ascii="仿宋" w:hAnsi="仿宋" w:eastAsia="仿宋" w:cs="仿宋"/>
                <w:sz w:val="24"/>
                <w:szCs w:val="24"/>
              </w:rPr>
              <w:t>本项目服务期限为1年，自合同签订之日起计算。服务期内，服务商服务质量持续不达标，采购人有权提前终止合同。</w:t>
            </w:r>
          </w:p>
          <w:p w14:paraId="703E0D4C">
            <w:pPr>
              <w:pStyle w:val="13"/>
              <w:spacing w:line="500" w:lineRule="exact"/>
              <w:jc w:val="left"/>
              <w:rPr>
                <w:rFonts w:ascii="仿宋" w:hAnsi="仿宋" w:eastAsia="仿宋" w:cs="仿宋"/>
                <w:sz w:val="24"/>
                <w:szCs w:val="24"/>
              </w:rPr>
            </w:pPr>
            <w:r>
              <w:rPr>
                <w:rFonts w:hint="eastAsia" w:ascii="仿宋" w:hAnsi="仿宋" w:eastAsia="仿宋" w:cs="仿宋"/>
                <w:b/>
                <w:bCs/>
                <w:sz w:val="24"/>
                <w:szCs w:val="24"/>
              </w:rPr>
              <w:t>采购包3：</w:t>
            </w:r>
            <w:r>
              <w:rPr>
                <w:rFonts w:hint="eastAsia" w:ascii="仿宋" w:hAnsi="仿宋" w:eastAsia="仿宋" w:cs="仿宋"/>
                <w:sz w:val="24"/>
                <w:szCs w:val="24"/>
              </w:rPr>
              <w:t>本项目服务期限为1年，自合同签订之日起计算。服务期内，服务商服务质量持续不达标，或出现重大数据安全事件、财政合规问题，采购人有权提前终止合同。</w:t>
            </w:r>
          </w:p>
          <w:p w14:paraId="617509F6">
            <w:pPr>
              <w:pStyle w:val="13"/>
              <w:spacing w:line="500" w:lineRule="exact"/>
              <w:jc w:val="left"/>
              <w:rPr>
                <w:rFonts w:ascii="仿宋" w:hAnsi="仿宋" w:eastAsia="仿宋" w:cs="仿宋"/>
                <w:sz w:val="24"/>
                <w:szCs w:val="24"/>
              </w:rPr>
            </w:pPr>
            <w:r>
              <w:rPr>
                <w:rFonts w:hint="eastAsia" w:ascii="仿宋" w:hAnsi="仿宋" w:eastAsia="仿宋" w:cs="仿宋"/>
                <w:b/>
                <w:bCs/>
                <w:sz w:val="24"/>
                <w:szCs w:val="24"/>
              </w:rPr>
              <w:t>采购包4：</w:t>
            </w:r>
            <w:r>
              <w:rPr>
                <w:rFonts w:hint="eastAsia" w:ascii="仿宋" w:hAnsi="仿宋" w:eastAsia="仿宋" w:cs="仿宋"/>
                <w:sz w:val="24"/>
                <w:szCs w:val="24"/>
              </w:rPr>
              <w:t>本项目服务期限为1年，自合同签订之日起计算。服务期内，服务商服务质量持续不达标，采购人有权提前终止合同。</w:t>
            </w:r>
          </w:p>
          <w:p w14:paraId="50CDC4C5">
            <w:pPr>
              <w:pStyle w:val="13"/>
              <w:spacing w:line="500" w:lineRule="exact"/>
              <w:jc w:val="left"/>
              <w:rPr>
                <w:rFonts w:ascii="仿宋" w:hAnsi="仿宋" w:eastAsia="仿宋" w:cs="仿宋"/>
                <w:b/>
                <w:bCs/>
                <w:sz w:val="24"/>
                <w:szCs w:val="24"/>
              </w:rPr>
            </w:pPr>
            <w:r>
              <w:rPr>
                <w:rFonts w:hint="eastAsia" w:ascii="仿宋" w:hAnsi="仿宋" w:eastAsia="仿宋" w:cs="仿宋"/>
                <w:b/>
                <w:bCs/>
                <w:sz w:val="24"/>
                <w:szCs w:val="24"/>
              </w:rPr>
              <w:t>采购包5：</w:t>
            </w:r>
            <w:r>
              <w:rPr>
                <w:rFonts w:hint="eastAsia" w:ascii="仿宋" w:hAnsi="仿宋" w:eastAsia="仿宋" w:cs="仿宋"/>
                <w:sz w:val="24"/>
                <w:szCs w:val="24"/>
              </w:rPr>
              <w:t>本项目服务期限为 1 年，自合同签订之日起计算。服务期内，服务商服务质量持续不达标，采购人有权提前终止合同。</w:t>
            </w:r>
          </w:p>
          <w:p w14:paraId="66917770">
            <w:pPr>
              <w:pStyle w:val="13"/>
              <w:spacing w:line="500" w:lineRule="exact"/>
              <w:jc w:val="left"/>
              <w:rPr>
                <w:rFonts w:ascii="仿宋" w:hAnsi="仿宋" w:eastAsia="仿宋" w:cs="仿宋"/>
                <w:sz w:val="24"/>
                <w:szCs w:val="24"/>
              </w:rPr>
            </w:pPr>
            <w:r>
              <w:rPr>
                <w:rFonts w:hint="eastAsia" w:ascii="仿宋" w:hAnsi="仿宋" w:eastAsia="仿宋" w:cs="仿宋"/>
                <w:b/>
                <w:bCs/>
                <w:sz w:val="24"/>
                <w:szCs w:val="24"/>
              </w:rPr>
              <w:t>采购包6：</w:t>
            </w:r>
            <w:r>
              <w:rPr>
                <w:rFonts w:hint="eastAsia" w:ascii="仿宋" w:hAnsi="仿宋" w:eastAsia="仿宋" w:cs="仿宋"/>
                <w:sz w:val="24"/>
                <w:szCs w:val="24"/>
              </w:rPr>
              <w:t>本项目服务期限为1年，自合同签订之日起计算。服务期内，服务商服务质量持续不达标，采购人有权提前终止合同。</w:t>
            </w:r>
          </w:p>
          <w:p w14:paraId="150AC32A">
            <w:pPr>
              <w:pStyle w:val="13"/>
              <w:spacing w:line="500" w:lineRule="exact"/>
              <w:jc w:val="left"/>
              <w:rPr>
                <w:rFonts w:ascii="仿宋" w:hAnsi="仿宋" w:eastAsia="仿宋" w:cs="仿宋"/>
                <w:sz w:val="24"/>
                <w:szCs w:val="24"/>
              </w:rPr>
            </w:pPr>
            <w:r>
              <w:rPr>
                <w:rFonts w:hint="eastAsia" w:ascii="仿宋" w:hAnsi="仿宋" w:eastAsia="仿宋" w:cs="仿宋"/>
                <w:b/>
                <w:bCs/>
                <w:sz w:val="24"/>
                <w:szCs w:val="24"/>
              </w:rPr>
              <w:t>采购包7：</w:t>
            </w:r>
            <w:r>
              <w:rPr>
                <w:rFonts w:hint="eastAsia" w:ascii="仿宋" w:hAnsi="仿宋" w:eastAsia="仿宋" w:cs="仿宋"/>
                <w:sz w:val="24"/>
                <w:szCs w:val="24"/>
              </w:rPr>
              <w:t>本项目服务期限为1年，自合同签订之日起计算。服务期内，服务商服务质量持续不达标，采购人有权提前终止合同。</w:t>
            </w:r>
          </w:p>
          <w:p w14:paraId="573C9750">
            <w:pPr>
              <w:pStyle w:val="13"/>
              <w:spacing w:line="500" w:lineRule="exact"/>
              <w:jc w:val="left"/>
              <w:rPr>
                <w:rFonts w:ascii="仿宋" w:hAnsi="仿宋" w:eastAsia="仿宋" w:cs="仿宋"/>
                <w:sz w:val="24"/>
                <w:szCs w:val="24"/>
              </w:rPr>
            </w:pPr>
            <w:r>
              <w:rPr>
                <w:rFonts w:hint="eastAsia" w:ascii="仿宋" w:hAnsi="仿宋" w:eastAsia="仿宋" w:cs="仿宋"/>
                <w:b/>
                <w:bCs/>
                <w:sz w:val="24"/>
                <w:szCs w:val="24"/>
              </w:rPr>
              <w:t>采购包8：</w:t>
            </w:r>
            <w:r>
              <w:rPr>
                <w:rFonts w:hint="eastAsia" w:ascii="仿宋" w:hAnsi="仿宋" w:eastAsia="仿宋" w:cs="仿宋"/>
                <w:sz w:val="24"/>
                <w:szCs w:val="24"/>
              </w:rPr>
              <w:t>本项目服务期限为1年，自合同签订之日起计算。服务期内，服务商服务质量持续不达标，采购人有权提前终止合同。</w:t>
            </w:r>
          </w:p>
          <w:p w14:paraId="5043ADC8">
            <w:pPr>
              <w:pStyle w:val="13"/>
              <w:spacing w:line="500" w:lineRule="exact"/>
              <w:jc w:val="left"/>
              <w:rPr>
                <w:rFonts w:ascii="仿宋" w:hAnsi="仿宋" w:eastAsia="仿宋" w:cs="仿宋"/>
                <w:sz w:val="24"/>
                <w:szCs w:val="24"/>
              </w:rPr>
            </w:pPr>
            <w:r>
              <w:rPr>
                <w:rFonts w:hint="eastAsia" w:ascii="仿宋" w:hAnsi="仿宋" w:eastAsia="仿宋" w:cs="仿宋"/>
                <w:b/>
                <w:bCs/>
                <w:sz w:val="24"/>
                <w:szCs w:val="24"/>
              </w:rPr>
              <w:t>采购包9：</w:t>
            </w:r>
            <w:r>
              <w:rPr>
                <w:rFonts w:hint="eastAsia" w:ascii="仿宋" w:hAnsi="仿宋" w:eastAsia="仿宋" w:cs="仿宋"/>
                <w:sz w:val="24"/>
                <w:szCs w:val="24"/>
              </w:rPr>
              <w:t>本项目服务期限为1年，自合同签订之日起计算。服务期内，服务商服务质量持续不达标，采购人有权提前终止合同。</w:t>
            </w:r>
          </w:p>
          <w:p w14:paraId="74D25903">
            <w:pPr>
              <w:pStyle w:val="13"/>
              <w:spacing w:line="500" w:lineRule="exact"/>
              <w:jc w:val="left"/>
              <w:rPr>
                <w:rFonts w:ascii="仿宋" w:hAnsi="仿宋" w:eastAsia="仿宋" w:cs="仿宋"/>
                <w:sz w:val="24"/>
                <w:szCs w:val="24"/>
              </w:rPr>
            </w:pPr>
            <w:r>
              <w:rPr>
                <w:rFonts w:hint="eastAsia" w:ascii="仿宋" w:hAnsi="仿宋" w:eastAsia="仿宋" w:cs="仿宋"/>
                <w:b/>
                <w:bCs/>
                <w:sz w:val="24"/>
                <w:szCs w:val="24"/>
              </w:rPr>
              <w:t>采购包10：</w:t>
            </w:r>
            <w:r>
              <w:rPr>
                <w:rFonts w:hint="eastAsia" w:ascii="仿宋" w:hAnsi="仿宋" w:eastAsia="仿宋" w:cs="仿宋"/>
                <w:sz w:val="24"/>
                <w:szCs w:val="24"/>
              </w:rPr>
              <w:t>本项目服务期限为1年，自合同签订之日起计算。服务期内，服务商服务质量持续不达标，采购人有权提前终止合同。</w:t>
            </w:r>
          </w:p>
          <w:p w14:paraId="04414C44">
            <w:pPr>
              <w:adjustRightInd w:val="0"/>
              <w:spacing w:line="500" w:lineRule="exact"/>
              <w:rPr>
                <w:rFonts w:ascii="仿宋" w:hAnsi="仿宋" w:eastAsia="仿宋" w:cs="仿宋"/>
                <w:sz w:val="24"/>
              </w:rPr>
            </w:pPr>
            <w:r>
              <w:rPr>
                <w:rFonts w:hint="eastAsia" w:ascii="仿宋" w:hAnsi="仿宋" w:eastAsia="仿宋" w:cs="仿宋"/>
                <w:b/>
                <w:bCs/>
                <w:sz w:val="24"/>
              </w:rPr>
              <w:t>采购包11：</w:t>
            </w:r>
            <w:r>
              <w:rPr>
                <w:rFonts w:hint="eastAsia" w:ascii="仿宋" w:hAnsi="仿宋" w:eastAsia="仿宋" w:cs="仿宋"/>
                <w:sz w:val="24"/>
              </w:rPr>
              <w:t>本项目服务期限为1年，自合同签订之日起计算。服务期内，服务商服务质量持续不达标，采购人有权提前终止合同。</w:t>
            </w:r>
          </w:p>
        </w:tc>
      </w:tr>
      <w:tr w14:paraId="13C6713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610" w:type="pct"/>
            <w:vAlign w:val="center"/>
          </w:tcPr>
          <w:p w14:paraId="749DD088">
            <w:pPr>
              <w:adjustRightInd w:val="0"/>
              <w:spacing w:line="500" w:lineRule="exact"/>
              <w:jc w:val="center"/>
              <w:rPr>
                <w:rFonts w:ascii="仿宋" w:hAnsi="仿宋" w:eastAsia="仿宋" w:cs="仿宋"/>
                <w:sz w:val="24"/>
              </w:rPr>
            </w:pPr>
            <w:r>
              <w:rPr>
                <w:rFonts w:hint="eastAsia" w:ascii="仿宋" w:hAnsi="仿宋" w:eastAsia="仿宋" w:cs="仿宋"/>
                <w:sz w:val="24"/>
              </w:rPr>
              <w:t>3</w:t>
            </w:r>
          </w:p>
        </w:tc>
        <w:tc>
          <w:tcPr>
            <w:tcW w:w="4389" w:type="pct"/>
            <w:vAlign w:val="center"/>
          </w:tcPr>
          <w:p w14:paraId="5899BD09">
            <w:pPr>
              <w:adjustRightInd w:val="0"/>
              <w:spacing w:line="500" w:lineRule="exact"/>
              <w:rPr>
                <w:rFonts w:ascii="仿宋" w:hAnsi="仿宋" w:eastAsia="仿宋" w:cs="仿宋"/>
                <w:sz w:val="24"/>
              </w:rPr>
            </w:pPr>
            <w:r>
              <w:rPr>
                <w:rFonts w:hint="eastAsia" w:ascii="仿宋" w:hAnsi="仿宋" w:eastAsia="仿宋" w:cs="仿宋"/>
                <w:sz w:val="24"/>
              </w:rPr>
              <w:t>付款程序及付款方式：</w:t>
            </w:r>
          </w:p>
          <w:p w14:paraId="1FD2A312">
            <w:pPr>
              <w:adjustRightInd w:val="0"/>
              <w:spacing w:line="500" w:lineRule="exact"/>
              <w:rPr>
                <w:rFonts w:ascii="仿宋" w:hAnsi="仿宋" w:eastAsia="仿宋" w:cs="仿宋"/>
                <w:sz w:val="24"/>
              </w:rPr>
            </w:pPr>
            <w:r>
              <w:rPr>
                <w:rFonts w:hint="eastAsia" w:ascii="仿宋" w:hAnsi="仿宋" w:eastAsia="仿宋" w:cs="仿宋"/>
                <w:sz w:val="24"/>
              </w:rPr>
              <w:t>（1）付款程序：银行转账，由采购人负责结算。在付款前，供应商必须开具与合同金额相应的发票给采购人，附详细清单。</w:t>
            </w:r>
          </w:p>
          <w:p w14:paraId="16C432E4">
            <w:pPr>
              <w:adjustRightInd w:val="0"/>
              <w:spacing w:line="500" w:lineRule="exact"/>
              <w:rPr>
                <w:rFonts w:ascii="仿宋" w:hAnsi="仿宋" w:eastAsia="仿宋" w:cs="仿宋"/>
                <w:sz w:val="24"/>
              </w:rPr>
            </w:pPr>
            <w:r>
              <w:rPr>
                <w:rFonts w:hint="eastAsia" w:ascii="仿宋" w:hAnsi="仿宋" w:eastAsia="仿宋" w:cs="仿宋"/>
                <w:sz w:val="24"/>
              </w:rPr>
              <w:t>（2）付款方式：</w:t>
            </w:r>
          </w:p>
          <w:p w14:paraId="67FE38D5">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采购包1：</w:t>
            </w:r>
          </w:p>
          <w:p w14:paraId="33C80352">
            <w:pPr>
              <w:spacing w:before="120" w:after="120" w:line="288" w:lineRule="auto"/>
              <w:jc w:val="left"/>
              <w:rPr>
                <w:rFonts w:ascii="仿宋" w:hAnsi="仿宋" w:eastAsia="仿宋" w:cs="仿宋"/>
                <w:sz w:val="24"/>
              </w:rPr>
            </w:pPr>
            <w:r>
              <w:rPr>
                <w:rFonts w:hint="eastAsia" w:ascii="仿宋" w:hAnsi="仿宋" w:eastAsia="仿宋" w:cs="仿宋"/>
                <w:sz w:val="24"/>
              </w:rPr>
              <w:t>第一笔款项：双方签订合同后5日内付合同价款的50%；</w:t>
            </w:r>
          </w:p>
          <w:p w14:paraId="4B6E4460">
            <w:pPr>
              <w:spacing w:before="120" w:after="120" w:line="288"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21345752">
            <w:pPr>
              <w:spacing w:before="120" w:after="120" w:line="288"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26D9A88A">
            <w:pPr>
              <w:spacing w:before="120" w:after="120" w:line="288"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295455E3">
            <w:pPr>
              <w:spacing w:before="120" w:after="120" w:line="288"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53DCB8C6">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采购包2：</w:t>
            </w:r>
          </w:p>
          <w:p w14:paraId="4430FCD4">
            <w:pPr>
              <w:snapToGrid w:val="0"/>
              <w:spacing w:line="360" w:lineRule="auto"/>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5C5BC438">
            <w:pPr>
              <w:snapToGrid w:val="0"/>
              <w:spacing w:line="360"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57DD2A25">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13BAD68C">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09B83224">
            <w:pPr>
              <w:spacing w:before="120" w:after="120" w:line="288"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5CDB90CF">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采购包3：</w:t>
            </w:r>
          </w:p>
          <w:p w14:paraId="6C72B81E">
            <w:pPr>
              <w:snapToGrid w:val="0"/>
              <w:spacing w:line="360" w:lineRule="auto"/>
              <w:jc w:val="left"/>
              <w:rPr>
                <w:rFonts w:ascii="仿宋" w:hAnsi="仿宋" w:eastAsia="仿宋" w:cs="仿宋"/>
                <w:sz w:val="24"/>
              </w:rPr>
            </w:pPr>
            <w:r>
              <w:rPr>
                <w:rFonts w:hint="eastAsia" w:ascii="仿宋" w:hAnsi="仿宋" w:eastAsia="仿宋" w:cs="仿宋"/>
                <w:sz w:val="24"/>
              </w:rPr>
              <w:t>第一笔款项：双方签订合同后5日内付合同价款的50%；</w:t>
            </w:r>
          </w:p>
          <w:p w14:paraId="1F60F7ED">
            <w:pPr>
              <w:snapToGrid w:val="0"/>
              <w:spacing w:line="360"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47BB52C4">
            <w:pPr>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1DD589E4">
            <w:pPr>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5CC3C05A">
            <w:pPr>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788F1500">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采购包4：</w:t>
            </w:r>
          </w:p>
          <w:p w14:paraId="29A80591">
            <w:pPr>
              <w:snapToGrid w:val="0"/>
              <w:spacing w:line="360" w:lineRule="auto"/>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3A9678D4">
            <w:pPr>
              <w:snapToGrid w:val="0"/>
              <w:spacing w:line="360"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5956718F">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7D7AC336">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3497E1D9">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0DCEC10A">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采购包5：</w:t>
            </w:r>
          </w:p>
          <w:p w14:paraId="22D168BD">
            <w:pPr>
              <w:pStyle w:val="34"/>
              <w:snapToGrid w:val="0"/>
              <w:spacing w:line="360" w:lineRule="auto"/>
              <w:ind w:firstLine="0" w:firstLineChars="0"/>
              <w:jc w:val="left"/>
              <w:rPr>
                <w:rFonts w:ascii="仿宋" w:hAnsi="仿宋" w:eastAsia="仿宋" w:cs="仿宋"/>
                <w:sz w:val="24"/>
              </w:rPr>
            </w:pPr>
            <w:r>
              <w:rPr>
                <w:rFonts w:hint="eastAsia" w:ascii="仿宋" w:hAnsi="仿宋" w:eastAsia="仿宋" w:cs="仿宋"/>
                <w:sz w:val="24"/>
              </w:rPr>
              <w:t>第一笔款项：双方签订合同后 5 日内付合同价款的 50%；</w:t>
            </w:r>
          </w:p>
          <w:p w14:paraId="685E57E0">
            <w:pPr>
              <w:pStyle w:val="34"/>
              <w:snapToGrid w:val="0"/>
              <w:spacing w:line="360" w:lineRule="auto"/>
              <w:ind w:firstLine="0" w:firstLineChars="0"/>
              <w:jc w:val="left"/>
              <w:rPr>
                <w:rFonts w:ascii="仿宋" w:hAnsi="仿宋" w:eastAsia="仿宋" w:cs="仿宋"/>
                <w:sz w:val="24"/>
              </w:rPr>
            </w:pPr>
            <w:r>
              <w:rPr>
                <w:rFonts w:hint="eastAsia" w:ascii="仿宋" w:hAnsi="仿宋" w:eastAsia="仿宋" w:cs="仿宋"/>
                <w:sz w:val="24"/>
              </w:rPr>
              <w:t>第二笔款项：服务期满后，采购人组织完成年度考核验收后 7 个工作日内，根据考核结果支付剩余合同价款：</w:t>
            </w:r>
          </w:p>
          <w:p w14:paraId="6F2F281B">
            <w:pPr>
              <w:pStyle w:val="34"/>
              <w:snapToGrid w:val="0"/>
              <w:spacing w:line="360" w:lineRule="auto"/>
              <w:ind w:firstLine="0" w:firstLineChars="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 50% 价款；</w:t>
            </w:r>
          </w:p>
          <w:p w14:paraId="18D7606D">
            <w:pPr>
              <w:pStyle w:val="34"/>
              <w:snapToGrid w:val="0"/>
              <w:spacing w:line="360" w:lineRule="auto"/>
              <w:ind w:firstLine="0" w:firstLineChars="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 10% 作为违约金，支付合同剩余 40% 价款；</w:t>
            </w:r>
          </w:p>
          <w:p w14:paraId="75A1A159">
            <w:pPr>
              <w:pStyle w:val="34"/>
              <w:snapToGrid w:val="0"/>
              <w:spacing w:line="360" w:lineRule="auto"/>
              <w:ind w:firstLine="0" w:firstLineChars="0"/>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 50% 价款，同时保留追究供应商违约责任的权利。</w:t>
            </w:r>
          </w:p>
          <w:p w14:paraId="175724A4">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采购包6：</w:t>
            </w:r>
          </w:p>
          <w:p w14:paraId="6D106FD3">
            <w:pPr>
              <w:snapToGrid w:val="0"/>
              <w:spacing w:line="360" w:lineRule="auto"/>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7B2CD0C4">
            <w:pPr>
              <w:snapToGrid w:val="0"/>
              <w:spacing w:line="360"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6A976F5A">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7FB7BEE3">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10BCAED7">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218E79BD">
            <w:pPr>
              <w:snapToGrid w:val="0"/>
              <w:spacing w:line="360" w:lineRule="auto"/>
              <w:rPr>
                <w:rFonts w:ascii="仿宋" w:hAnsi="仿宋" w:eastAsia="仿宋" w:cs="仿宋"/>
                <w:b/>
                <w:bCs/>
                <w:sz w:val="24"/>
              </w:rPr>
            </w:pPr>
            <w:r>
              <w:rPr>
                <w:rFonts w:hint="eastAsia" w:ascii="仿宋" w:hAnsi="仿宋" w:eastAsia="仿宋" w:cs="仿宋"/>
                <w:b/>
                <w:bCs/>
                <w:sz w:val="24"/>
              </w:rPr>
              <w:t>采购包7：</w:t>
            </w:r>
          </w:p>
          <w:p w14:paraId="5BFFA72E">
            <w:pPr>
              <w:snapToGrid w:val="0"/>
              <w:spacing w:line="360" w:lineRule="auto"/>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1F1D17DE">
            <w:pPr>
              <w:snapToGrid w:val="0"/>
              <w:spacing w:line="360"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5B36637D">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采购包8：</w:t>
            </w:r>
          </w:p>
          <w:p w14:paraId="4E454AFA">
            <w:pPr>
              <w:snapToGrid w:val="0"/>
              <w:spacing w:line="360" w:lineRule="auto"/>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2458FE4F">
            <w:pPr>
              <w:snapToGrid w:val="0"/>
              <w:spacing w:line="360"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2592D593">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0C9D708D">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03706D1C">
            <w:pPr>
              <w:spacing w:before="120" w:after="120" w:line="288"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5E0C08D7">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采购包9：</w:t>
            </w:r>
          </w:p>
          <w:p w14:paraId="23D6F389">
            <w:pPr>
              <w:snapToGrid w:val="0"/>
              <w:spacing w:line="360" w:lineRule="auto"/>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38B8BED4">
            <w:pPr>
              <w:snapToGrid w:val="0"/>
              <w:spacing w:line="360"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60642AA9">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3CEDD316">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0D9722F1">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31185A3B">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采购包10：</w:t>
            </w:r>
          </w:p>
          <w:p w14:paraId="617C7F10">
            <w:pPr>
              <w:snapToGrid w:val="0"/>
              <w:spacing w:line="360" w:lineRule="auto"/>
              <w:jc w:val="left"/>
              <w:rPr>
                <w:rFonts w:ascii="仿宋" w:hAnsi="仿宋" w:eastAsia="仿宋" w:cs="仿宋"/>
                <w:sz w:val="24"/>
              </w:rPr>
            </w:pPr>
            <w:r>
              <w:rPr>
                <w:rFonts w:hint="eastAsia" w:ascii="仿宋" w:hAnsi="仿宋" w:eastAsia="仿宋" w:cs="仿宋"/>
                <w:sz w:val="24"/>
              </w:rPr>
              <w:t>第一笔款项：双方签订合同且供应商完成项目团队组建、服务方案备案、进场服务后5个工作日内，支付合同总价款的50%；</w:t>
            </w:r>
          </w:p>
          <w:p w14:paraId="1B04EA06">
            <w:pPr>
              <w:snapToGrid w:val="0"/>
              <w:spacing w:line="360"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第二笔款项：服务期满后，采购人组织完成年度考核验收后7个工作日内，根据考核结果支付剩余合同价款：</w:t>
            </w:r>
          </w:p>
          <w:p w14:paraId="2E43FA4C">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年度考核结果为优秀的，支付合同剩余50%价款；</w:t>
            </w:r>
          </w:p>
          <w:p w14:paraId="7FBDC9E3">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年度考核结果为合格的，扣除合同总价款的10%作为违约金，支付合同剩余40%价款；</w:t>
            </w:r>
          </w:p>
          <w:p w14:paraId="67D3A33E">
            <w:pPr>
              <w:tabs>
                <w:tab w:val="left" w:pos="567"/>
              </w:tabs>
              <w:snapToGrid w:val="0"/>
              <w:spacing w:line="360" w:lineRule="auto"/>
              <w:jc w:val="lef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年度考核结果为不合格的，采购人有权不予支付合同剩余50%价款，同时保留追究供应商违约责任的权利。</w:t>
            </w:r>
          </w:p>
          <w:p w14:paraId="05795070">
            <w:pPr>
              <w:spacing w:before="120" w:after="120" w:line="288" w:lineRule="auto"/>
              <w:jc w:val="left"/>
              <w:rPr>
                <w:rFonts w:ascii="仿宋" w:hAnsi="仿宋" w:eastAsia="仿宋" w:cs="仿宋"/>
                <w:b/>
                <w:bCs/>
                <w:sz w:val="24"/>
              </w:rPr>
            </w:pPr>
            <w:r>
              <w:rPr>
                <w:rFonts w:hint="eastAsia" w:ascii="仿宋" w:hAnsi="仿宋" w:eastAsia="仿宋" w:cs="仿宋"/>
                <w:b/>
                <w:bCs/>
                <w:sz w:val="24"/>
              </w:rPr>
              <w:t>采购包11：</w:t>
            </w:r>
          </w:p>
          <w:p w14:paraId="4B41C2B3">
            <w:pPr>
              <w:snapToGrid w:val="0"/>
              <w:spacing w:line="360" w:lineRule="auto"/>
              <w:jc w:val="left"/>
              <w:rPr>
                <w:rFonts w:ascii="仿宋" w:hAnsi="仿宋" w:eastAsia="仿宋" w:cs="仿宋"/>
                <w:sz w:val="24"/>
              </w:rPr>
            </w:pPr>
            <w:r>
              <w:rPr>
                <w:rFonts w:hint="eastAsia" w:ascii="仿宋" w:hAnsi="仿宋" w:eastAsia="仿宋" w:cs="仿宋"/>
                <w:sz w:val="24"/>
              </w:rPr>
              <w:t>第一笔款项：双方签订合同后5日内，采购人支付合同内各类证书年使用费用的100%与系统运维服务费用的50%；</w:t>
            </w:r>
          </w:p>
          <w:p w14:paraId="038A1D26">
            <w:pPr>
              <w:snapToGrid w:val="0"/>
              <w:spacing w:line="360" w:lineRule="auto"/>
              <w:jc w:val="left"/>
              <w:rPr>
                <w:rFonts w:ascii="仿宋" w:hAnsi="仿宋" w:eastAsia="仿宋" w:cs="仿宋"/>
                <w:sz w:val="24"/>
              </w:rPr>
            </w:pPr>
            <w:r>
              <w:rPr>
                <w:rFonts w:hint="eastAsia" w:ascii="仿宋" w:hAnsi="仿宋" w:eastAsia="仿宋" w:cs="仿宋"/>
                <w:sz w:val="24"/>
              </w:rPr>
              <w:t>第二笔款项：服务期满后，采购人组织完成年度考核验收后5个工作日内，根据考核结果支付剩余合同价款：</w:t>
            </w:r>
          </w:p>
          <w:p w14:paraId="187B8E29">
            <w:pPr>
              <w:pStyle w:val="34"/>
              <w:snapToGrid w:val="0"/>
              <w:spacing w:line="360" w:lineRule="auto"/>
              <w:ind w:firstLine="0" w:firstLineChars="0"/>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年度考核结果为优秀的，支付合同剩余50%运维服务费用；</w:t>
            </w:r>
          </w:p>
          <w:p w14:paraId="70CD7B9A">
            <w:pPr>
              <w:pStyle w:val="34"/>
              <w:snapToGrid w:val="0"/>
              <w:spacing w:line="360" w:lineRule="auto"/>
              <w:ind w:firstLine="0" w:firstLineChars="0"/>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年度考核结果为合格的，扣除合同运维服务总价款的10%作为违约金，支付合同剩余40%运维服务费用；</w:t>
            </w:r>
          </w:p>
          <w:p w14:paraId="7EF721B5">
            <w:pPr>
              <w:adjustRightInd w:val="0"/>
              <w:spacing w:line="500" w:lineRule="exact"/>
              <w:rPr>
                <w:rFonts w:ascii="仿宋" w:hAnsi="仿宋" w:eastAsia="仿宋" w:cs="仿宋"/>
                <w:sz w:val="24"/>
              </w:rPr>
            </w:pPr>
            <w:r>
              <w:rPr>
                <w:rFonts w:ascii="Wingdings" w:hAnsi="Wingdings" w:eastAsia="仿宋" w:cs="仿宋"/>
                <w:sz w:val="24"/>
              </w:rPr>
              <w:t></w:t>
            </w:r>
            <w:r>
              <w:rPr>
                <w:rFonts w:hint="eastAsia" w:ascii="仿宋" w:hAnsi="仿宋" w:eastAsia="仿宋" w:cs="仿宋"/>
                <w:sz w:val="24"/>
              </w:rPr>
              <w:t xml:space="preserve">年度考核结果为不合格的，采购人有权不予支付合同剩余50%运维服务费用，同时保留追究供应商违约责任的权利。               </w:t>
            </w:r>
          </w:p>
        </w:tc>
      </w:tr>
      <w:tr w14:paraId="171915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200" w:hRule="atLeast"/>
        </w:trPr>
        <w:tc>
          <w:tcPr>
            <w:tcW w:w="610" w:type="pct"/>
            <w:vAlign w:val="center"/>
          </w:tcPr>
          <w:p w14:paraId="1DBB0E00">
            <w:pPr>
              <w:adjustRightInd w:val="0"/>
              <w:spacing w:line="500" w:lineRule="exact"/>
              <w:jc w:val="center"/>
              <w:rPr>
                <w:rFonts w:ascii="仿宋" w:hAnsi="仿宋" w:eastAsia="仿宋" w:cs="仿宋"/>
                <w:sz w:val="24"/>
              </w:rPr>
            </w:pPr>
            <w:r>
              <w:rPr>
                <w:rFonts w:hint="eastAsia" w:ascii="仿宋" w:hAnsi="仿宋" w:eastAsia="仿宋" w:cs="仿宋"/>
                <w:sz w:val="24"/>
              </w:rPr>
              <w:t>4</w:t>
            </w:r>
          </w:p>
        </w:tc>
        <w:tc>
          <w:tcPr>
            <w:tcW w:w="4389" w:type="pct"/>
            <w:vAlign w:val="center"/>
          </w:tcPr>
          <w:p w14:paraId="63B2DBF8">
            <w:pPr>
              <w:adjustRightInd w:val="0"/>
              <w:spacing w:line="500" w:lineRule="exact"/>
              <w:rPr>
                <w:rFonts w:ascii="仿宋" w:hAnsi="仿宋" w:eastAsia="仿宋" w:cs="仿宋"/>
                <w:sz w:val="24"/>
              </w:rPr>
            </w:pPr>
            <w:r>
              <w:rPr>
                <w:rFonts w:hint="eastAsia" w:ascii="仿宋" w:hAnsi="仿宋" w:eastAsia="仿宋" w:cs="仿宋"/>
                <w:sz w:val="24"/>
              </w:rPr>
              <w:t>知识产权：</w:t>
            </w:r>
          </w:p>
          <w:p w14:paraId="31A9BB13">
            <w:pPr>
              <w:adjustRightInd w:val="0"/>
              <w:spacing w:line="500" w:lineRule="exact"/>
              <w:rPr>
                <w:rFonts w:ascii="仿宋" w:hAnsi="仿宋" w:eastAsia="仿宋" w:cs="仿宋"/>
                <w:sz w:val="24"/>
              </w:rPr>
            </w:pPr>
            <w:r>
              <w:rPr>
                <w:rFonts w:hint="eastAsia" w:ascii="仿宋" w:hAnsi="仿宋" w:eastAsia="仿宋" w:cs="仿宋"/>
                <w:sz w:val="24"/>
              </w:rPr>
              <w:t>乙方应保证所提供的的产品及服务不会出现因第三方提出侵犯其专利权、商标权或其它知识产权而引发法律或经济纠纷，否则由乙方承担全部责任。任何被乙方用于未经授权的商业目的行为所造成的违约或侵权责任由乙方承担。</w:t>
            </w:r>
          </w:p>
        </w:tc>
      </w:tr>
    </w:tbl>
    <w:p w14:paraId="7949F375">
      <w:pPr>
        <w:spacing w:line="360" w:lineRule="auto"/>
        <w:rPr>
          <w:rFonts w:ascii="仿宋" w:hAnsi="仿宋" w:eastAsia="仿宋" w:cs="仿宋"/>
          <w:sz w:val="28"/>
          <w:szCs w:val="28"/>
          <w:lang w:eastAsia="zh-Hans"/>
        </w:rPr>
      </w:pPr>
    </w:p>
    <w:p w14:paraId="6DF38F3D">
      <w:pPr>
        <w:spacing w:line="240" w:lineRule="auto"/>
        <w:rPr>
          <w:rFonts w:ascii="仿宋" w:hAnsi="仿宋" w:eastAsia="仿宋" w:cs="仿宋_GB2312"/>
          <w:sz w:val="28"/>
          <w:szCs w:val="28"/>
        </w:rPr>
      </w:pPr>
      <w:r>
        <w:rPr>
          <w:rFonts w:hint="eastAsia" w:ascii="仿宋" w:hAnsi="仿宋" w:eastAsia="仿宋" w:cs="仿宋_GB2312"/>
          <w:sz w:val="28"/>
          <w:szCs w:val="28"/>
        </w:rPr>
        <w:br w:type="page"/>
      </w:r>
    </w:p>
    <w:p w14:paraId="682707BD">
      <w:pPr>
        <w:jc w:val="left"/>
        <w:rPr>
          <w:rFonts w:ascii="仿宋" w:hAnsi="仿宋" w:eastAsia="仿宋" w:cs="仿宋"/>
          <w:b/>
          <w:bCs/>
          <w:sz w:val="30"/>
          <w:szCs w:val="30"/>
        </w:rPr>
      </w:pPr>
      <w:r>
        <w:rPr>
          <w:rFonts w:hint="eastAsia" w:ascii="仿宋" w:hAnsi="仿宋" w:eastAsia="仿宋" w:cs="仿宋"/>
          <w:b/>
          <w:bCs/>
          <w:sz w:val="30"/>
          <w:szCs w:val="30"/>
        </w:rPr>
        <w:t>政府采购合同                        合同编号：</w:t>
      </w:r>
    </w:p>
    <w:p w14:paraId="76EC9E63">
      <w:pPr>
        <w:pStyle w:val="10"/>
        <w:ind w:firstLine="602"/>
        <w:rPr>
          <w:b/>
          <w:bCs/>
          <w:sz w:val="30"/>
          <w:szCs w:val="30"/>
          <w:lang w:eastAsia="zh-CN"/>
        </w:rPr>
      </w:pPr>
    </w:p>
    <w:p w14:paraId="396ECFDB">
      <w:pPr>
        <w:pStyle w:val="10"/>
        <w:ind w:firstLine="602"/>
        <w:rPr>
          <w:b/>
          <w:bCs/>
          <w:sz w:val="30"/>
          <w:szCs w:val="30"/>
          <w:lang w:eastAsia="zh-CN"/>
        </w:rPr>
      </w:pPr>
    </w:p>
    <w:p w14:paraId="71787A77">
      <w:pPr>
        <w:pStyle w:val="10"/>
        <w:ind w:firstLine="480"/>
        <w:rPr>
          <w:lang w:eastAsia="zh-CN"/>
        </w:rPr>
      </w:pPr>
    </w:p>
    <w:p w14:paraId="2F6E61C8">
      <w:pPr>
        <w:jc w:val="center"/>
        <w:rPr>
          <w:rFonts w:ascii="仿宋" w:hAnsi="仿宋" w:eastAsia="仿宋" w:cs="仿宋"/>
          <w:b/>
          <w:bCs/>
          <w:sz w:val="44"/>
          <w:szCs w:val="44"/>
        </w:rPr>
      </w:pPr>
      <w:r>
        <w:rPr>
          <w:rFonts w:hint="eastAsia" w:ascii="仿宋" w:hAnsi="仿宋" w:eastAsia="仿宋" w:cs="仿宋"/>
          <w:b/>
          <w:bCs/>
          <w:sz w:val="44"/>
          <w:szCs w:val="44"/>
          <w:u w:val="single"/>
        </w:rPr>
        <w:t xml:space="preserve">                           </w:t>
      </w:r>
      <w:r>
        <w:rPr>
          <w:rFonts w:hint="eastAsia" w:ascii="仿宋" w:hAnsi="仿宋" w:eastAsia="仿宋" w:cs="仿宋"/>
          <w:b/>
          <w:bCs/>
          <w:sz w:val="44"/>
          <w:szCs w:val="44"/>
        </w:rPr>
        <w:t>采购项目</w:t>
      </w:r>
    </w:p>
    <w:p w14:paraId="1B466F79">
      <w:pPr>
        <w:rPr>
          <w:rFonts w:ascii="仿宋" w:hAnsi="仿宋" w:eastAsia="仿宋" w:cs="仿宋"/>
        </w:rPr>
      </w:pPr>
    </w:p>
    <w:p w14:paraId="21C24272">
      <w:pPr>
        <w:pStyle w:val="10"/>
        <w:ind w:firstLine="480"/>
        <w:rPr>
          <w:lang w:eastAsia="zh-CN"/>
        </w:rPr>
      </w:pPr>
    </w:p>
    <w:p w14:paraId="5D649F9A">
      <w:pPr>
        <w:pStyle w:val="10"/>
        <w:ind w:firstLine="480"/>
        <w:rPr>
          <w:lang w:eastAsia="zh-CN"/>
        </w:rPr>
      </w:pPr>
    </w:p>
    <w:p w14:paraId="72C8A931">
      <w:pPr>
        <w:rPr>
          <w:rFonts w:ascii="仿宋" w:hAnsi="仿宋" w:eastAsia="仿宋" w:cs="仿宋"/>
        </w:rPr>
      </w:pPr>
    </w:p>
    <w:p w14:paraId="5C4D3C86">
      <w:pPr>
        <w:rPr>
          <w:rFonts w:ascii="仿宋" w:hAnsi="仿宋" w:eastAsia="仿宋" w:cs="仿宋"/>
        </w:rPr>
      </w:pPr>
    </w:p>
    <w:p w14:paraId="5A035B4F">
      <w:pPr>
        <w:jc w:val="center"/>
        <w:rPr>
          <w:rFonts w:ascii="仿宋" w:hAnsi="仿宋" w:eastAsia="仿宋" w:cs="仿宋"/>
          <w:b/>
          <w:sz w:val="36"/>
          <w:szCs w:val="36"/>
        </w:rPr>
      </w:pPr>
      <w:r>
        <w:rPr>
          <w:rFonts w:hint="eastAsia" w:ascii="仿宋" w:hAnsi="仿宋" w:eastAsia="仿宋" w:cs="仿宋"/>
          <w:b/>
          <w:sz w:val="36"/>
          <w:szCs w:val="36"/>
        </w:rPr>
        <w:t>（示范文本仅供参考）</w:t>
      </w:r>
    </w:p>
    <w:p w14:paraId="24B8059C">
      <w:pPr>
        <w:jc w:val="center"/>
        <w:rPr>
          <w:rFonts w:ascii="仿宋" w:hAnsi="仿宋" w:eastAsia="仿宋" w:cs="仿宋"/>
          <w:b/>
          <w:sz w:val="36"/>
          <w:szCs w:val="36"/>
        </w:rPr>
      </w:pPr>
    </w:p>
    <w:p w14:paraId="61CDE713">
      <w:pPr>
        <w:rPr>
          <w:rFonts w:ascii="仿宋" w:hAnsi="仿宋" w:eastAsia="仿宋" w:cs="仿宋"/>
          <w:b/>
          <w:sz w:val="36"/>
          <w:szCs w:val="36"/>
        </w:rPr>
      </w:pPr>
    </w:p>
    <w:p w14:paraId="26C2B801">
      <w:pPr>
        <w:jc w:val="center"/>
        <w:rPr>
          <w:rFonts w:ascii="仿宋" w:hAnsi="仿宋" w:eastAsia="仿宋" w:cs="仿宋"/>
          <w:b/>
          <w:sz w:val="36"/>
          <w:szCs w:val="36"/>
        </w:rPr>
      </w:pPr>
    </w:p>
    <w:p w14:paraId="00913BA0">
      <w:pPr>
        <w:spacing w:before="156" w:beforeLines="50" w:line="360" w:lineRule="auto"/>
        <w:ind w:firstLine="1584" w:firstLineChars="493"/>
        <w:jc w:val="left"/>
        <w:rPr>
          <w:rFonts w:ascii="仿宋" w:hAnsi="仿宋" w:eastAsia="仿宋" w:cs="仿宋"/>
          <w:sz w:val="32"/>
          <w:szCs w:val="32"/>
          <w:u w:val="single"/>
        </w:rPr>
      </w:pPr>
      <w:r>
        <w:rPr>
          <w:rFonts w:hint="eastAsia" w:ascii="仿宋" w:hAnsi="仿宋" w:eastAsia="仿宋" w:cs="仿宋"/>
          <w:b/>
          <w:bCs/>
          <w:sz w:val="32"/>
          <w:szCs w:val="32"/>
        </w:rPr>
        <w:t>采购人：</w:t>
      </w:r>
      <w:r>
        <w:rPr>
          <w:rFonts w:hint="eastAsia" w:ascii="仿宋" w:hAnsi="仿宋" w:eastAsia="仿宋" w:cs="仿宋"/>
          <w:sz w:val="32"/>
          <w:szCs w:val="32"/>
          <w:u w:val="single"/>
        </w:rPr>
        <w:t xml:space="preserve">                     </w:t>
      </w:r>
    </w:p>
    <w:p w14:paraId="7C3D886E">
      <w:pPr>
        <w:spacing w:before="156" w:beforeLines="50" w:line="360" w:lineRule="auto"/>
        <w:ind w:firstLine="1584" w:firstLineChars="493"/>
        <w:jc w:val="left"/>
        <w:rPr>
          <w:rFonts w:ascii="仿宋" w:hAnsi="仿宋" w:eastAsia="仿宋" w:cs="仿宋"/>
          <w:b/>
          <w:bCs/>
          <w:sz w:val="32"/>
          <w:szCs w:val="32"/>
        </w:rPr>
      </w:pPr>
      <w:r>
        <w:rPr>
          <w:rFonts w:hint="eastAsia" w:ascii="仿宋" w:hAnsi="仿宋" w:eastAsia="仿宋" w:cs="仿宋"/>
          <w:b/>
          <w:bCs/>
          <w:sz w:val="32"/>
          <w:szCs w:val="32"/>
        </w:rPr>
        <w:t>供应商：</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w:t>
      </w:r>
      <w:r>
        <w:rPr>
          <w:rFonts w:hint="eastAsia" w:ascii="仿宋" w:hAnsi="仿宋" w:eastAsia="仿宋" w:cs="仿宋"/>
          <w:b/>
          <w:bCs/>
          <w:sz w:val="32"/>
          <w:szCs w:val="32"/>
        </w:rPr>
        <w:t xml:space="preserve">        </w:t>
      </w:r>
    </w:p>
    <w:p w14:paraId="7A061D8B">
      <w:pPr>
        <w:pStyle w:val="10"/>
        <w:ind w:firstLine="643"/>
        <w:jc w:val="center"/>
        <w:rPr>
          <w:lang w:eastAsia="zh-CN"/>
        </w:rPr>
      </w:pPr>
      <w:r>
        <w:rPr>
          <w:rFonts w:hint="eastAsia"/>
          <w:b/>
          <w:bCs/>
          <w:sz w:val="32"/>
          <w:szCs w:val="32"/>
          <w:lang w:eastAsia="zh-CN"/>
        </w:rPr>
        <w:t>二〇二五年  月</w:t>
      </w:r>
    </w:p>
    <w:p w14:paraId="07C16E38">
      <w:pPr>
        <w:pStyle w:val="10"/>
        <w:ind w:firstLine="480"/>
        <w:rPr>
          <w:lang w:eastAsia="zh-CN"/>
        </w:rPr>
      </w:pPr>
    </w:p>
    <w:p w14:paraId="5E43262F">
      <w:pPr>
        <w:pStyle w:val="10"/>
        <w:ind w:firstLine="480"/>
        <w:rPr>
          <w:lang w:eastAsia="zh-CN"/>
        </w:rPr>
      </w:pPr>
    </w:p>
    <w:p w14:paraId="009E18C1">
      <w:pPr>
        <w:rPr>
          <w:rFonts w:ascii="仿宋" w:hAnsi="仿宋" w:eastAsia="仿宋" w:cs="仿宋"/>
          <w:b/>
          <w:bCs/>
          <w:sz w:val="32"/>
          <w:szCs w:val="40"/>
        </w:rPr>
      </w:pPr>
      <w:r>
        <w:rPr>
          <w:rFonts w:hint="eastAsia" w:ascii="仿宋" w:hAnsi="仿宋" w:eastAsia="仿宋" w:cs="仿宋"/>
          <w:b/>
          <w:bCs/>
          <w:sz w:val="32"/>
          <w:szCs w:val="40"/>
        </w:rPr>
        <w:br w:type="page"/>
      </w:r>
    </w:p>
    <w:p w14:paraId="7B29873F">
      <w:pPr>
        <w:snapToGrid w:val="0"/>
        <w:spacing w:line="360" w:lineRule="auto"/>
        <w:rPr>
          <w:rFonts w:ascii="仿宋" w:hAnsi="仿宋" w:eastAsia="仿宋" w:cs="仿宋"/>
          <w:b/>
          <w:bCs/>
          <w:sz w:val="24"/>
        </w:rPr>
      </w:pPr>
      <w:r>
        <w:rPr>
          <w:rFonts w:hint="eastAsia" w:ascii="仿宋" w:hAnsi="仿宋" w:eastAsia="仿宋" w:cs="仿宋"/>
          <w:b/>
          <w:bCs/>
          <w:sz w:val="24"/>
        </w:rPr>
        <w:t>甲方：陕西省交通医院</w:t>
      </w:r>
    </w:p>
    <w:p w14:paraId="052430AA">
      <w:pPr>
        <w:snapToGrid w:val="0"/>
        <w:spacing w:line="360" w:lineRule="auto"/>
        <w:rPr>
          <w:rFonts w:ascii="仿宋" w:hAnsi="仿宋" w:eastAsia="仿宋" w:cs="仿宋"/>
          <w:b/>
          <w:bCs/>
          <w:sz w:val="24"/>
        </w:rPr>
      </w:pPr>
      <w:r>
        <w:rPr>
          <w:rFonts w:hint="eastAsia" w:ascii="仿宋" w:hAnsi="仿宋" w:eastAsia="仿宋" w:cs="仿宋"/>
          <w:b/>
          <w:bCs/>
          <w:sz w:val="24"/>
        </w:rPr>
        <w:t>住所地：西安市大学南路276号</w:t>
      </w:r>
    </w:p>
    <w:p w14:paraId="3D4A25E7">
      <w:pPr>
        <w:snapToGrid w:val="0"/>
        <w:spacing w:line="360" w:lineRule="auto"/>
        <w:rPr>
          <w:rFonts w:ascii="仿宋" w:hAnsi="仿宋" w:eastAsia="仿宋" w:cs="仿宋"/>
          <w:b/>
          <w:bCs/>
          <w:sz w:val="24"/>
        </w:rPr>
      </w:pPr>
      <w:r>
        <w:rPr>
          <w:rFonts w:hint="eastAsia" w:ascii="仿宋" w:hAnsi="仿宋" w:eastAsia="仿宋" w:cs="仿宋"/>
          <w:b/>
          <w:bCs/>
          <w:sz w:val="24"/>
        </w:rPr>
        <w:t>法定代表人：杜建革</w:t>
      </w:r>
    </w:p>
    <w:p w14:paraId="6FB5E01A">
      <w:pPr>
        <w:snapToGrid w:val="0"/>
        <w:spacing w:line="360" w:lineRule="auto"/>
        <w:rPr>
          <w:rFonts w:ascii="仿宋" w:hAnsi="仿宋" w:eastAsia="仿宋" w:cs="仿宋"/>
          <w:b/>
          <w:bCs/>
          <w:sz w:val="24"/>
        </w:rPr>
      </w:pPr>
      <w:r>
        <w:rPr>
          <w:rFonts w:hint="eastAsia" w:ascii="仿宋" w:hAnsi="仿宋" w:eastAsia="仿宋" w:cs="仿宋"/>
          <w:b/>
          <w:bCs/>
          <w:sz w:val="24"/>
        </w:rPr>
        <w:t>乙方：</w:t>
      </w:r>
    </w:p>
    <w:p w14:paraId="77CA829B">
      <w:pPr>
        <w:snapToGrid w:val="0"/>
        <w:spacing w:line="360" w:lineRule="auto"/>
        <w:rPr>
          <w:rFonts w:ascii="仿宋" w:hAnsi="仿宋" w:eastAsia="仿宋" w:cs="仿宋"/>
          <w:b/>
          <w:bCs/>
          <w:sz w:val="24"/>
        </w:rPr>
      </w:pPr>
      <w:r>
        <w:rPr>
          <w:rFonts w:hint="eastAsia" w:ascii="仿宋" w:hAnsi="仿宋" w:eastAsia="仿宋" w:cs="仿宋"/>
          <w:b/>
          <w:bCs/>
          <w:sz w:val="24"/>
        </w:rPr>
        <w:t>住所地：</w:t>
      </w:r>
    </w:p>
    <w:p w14:paraId="5E24010F">
      <w:pPr>
        <w:snapToGrid w:val="0"/>
        <w:spacing w:line="360" w:lineRule="auto"/>
        <w:rPr>
          <w:rFonts w:ascii="仿宋" w:hAnsi="仿宋" w:eastAsia="仿宋" w:cs="仿宋"/>
          <w:b/>
          <w:bCs/>
          <w:sz w:val="24"/>
        </w:rPr>
      </w:pPr>
      <w:r>
        <w:rPr>
          <w:rFonts w:hint="eastAsia" w:ascii="仿宋" w:hAnsi="仿宋" w:eastAsia="仿宋" w:cs="仿宋"/>
          <w:b/>
          <w:bCs/>
          <w:sz w:val="24"/>
        </w:rPr>
        <w:t>法定代表人：</w:t>
      </w:r>
    </w:p>
    <w:p w14:paraId="4864C9FB">
      <w:pPr>
        <w:tabs>
          <w:tab w:val="left" w:pos="900"/>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为了保证甲方医院</w:t>
      </w:r>
      <w:r>
        <w:rPr>
          <w:rFonts w:hint="eastAsia" w:ascii="仿宋" w:hAnsi="仿宋" w:eastAsia="仿宋" w:cs="仿宋"/>
          <w:sz w:val="24"/>
          <w:u w:val="single"/>
        </w:rPr>
        <w:t>XX</w:t>
      </w:r>
      <w:r>
        <w:rPr>
          <w:rFonts w:hint="eastAsia" w:ascii="仿宋" w:hAnsi="仿宋" w:eastAsia="仿宋" w:cs="仿宋"/>
          <w:sz w:val="24"/>
        </w:rPr>
        <w:t>软件系统稳定、可靠的运行,并能及时解决系统运行中可能出现的故障，甲乙双方依据国家有关法律规定，经过平等协商，就甲方医院</w:t>
      </w:r>
      <w:r>
        <w:rPr>
          <w:rFonts w:hint="eastAsia" w:ascii="仿宋" w:hAnsi="仿宋" w:eastAsia="仿宋" w:cs="仿宋"/>
          <w:sz w:val="24"/>
          <w:u w:val="single"/>
        </w:rPr>
        <w:t>XX</w:t>
      </w:r>
      <w:r>
        <w:rPr>
          <w:rFonts w:hint="eastAsia" w:ascii="仿宋" w:hAnsi="仿宋" w:eastAsia="仿宋" w:cs="仿宋"/>
          <w:sz w:val="24"/>
        </w:rPr>
        <w:t>软件售后服务达成如下协议。</w:t>
      </w:r>
    </w:p>
    <w:p w14:paraId="57DA9B7F">
      <w:pPr>
        <w:snapToGrid w:val="0"/>
        <w:spacing w:line="360" w:lineRule="auto"/>
        <w:rPr>
          <w:rFonts w:ascii="仿宋" w:hAnsi="仿宋" w:eastAsia="仿宋" w:cs="仿宋"/>
          <w:b/>
          <w:bCs/>
          <w:sz w:val="24"/>
        </w:rPr>
      </w:pPr>
      <w:r>
        <w:rPr>
          <w:rFonts w:hint="eastAsia" w:ascii="仿宋" w:hAnsi="仿宋" w:eastAsia="仿宋" w:cs="仿宋"/>
          <w:b/>
          <w:bCs/>
          <w:sz w:val="24"/>
        </w:rPr>
        <w:t>第一条  售后服务内容</w:t>
      </w:r>
    </w:p>
    <w:p w14:paraId="6AE710B2">
      <w:pPr>
        <w:tabs>
          <w:tab w:val="left" w:pos="900"/>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乙方负责甲方在用的</w:t>
      </w:r>
      <w:r>
        <w:rPr>
          <w:rFonts w:hint="eastAsia" w:ascii="仿宋" w:hAnsi="仿宋" w:eastAsia="仿宋" w:cs="仿宋"/>
          <w:sz w:val="24"/>
          <w:u w:val="single"/>
        </w:rPr>
        <w:t>XX</w:t>
      </w:r>
      <w:r>
        <w:rPr>
          <w:rFonts w:hint="eastAsia" w:ascii="仿宋" w:hAnsi="仿宋" w:eastAsia="仿宋" w:cs="仿宋"/>
          <w:sz w:val="24"/>
        </w:rPr>
        <w:t>软件系统（详见附件：</w:t>
      </w:r>
      <w:r>
        <w:rPr>
          <w:rFonts w:hint="eastAsia" w:ascii="仿宋" w:hAnsi="仿宋" w:eastAsia="仿宋" w:cs="仿宋"/>
          <w:sz w:val="24"/>
          <w:u w:val="single"/>
        </w:rPr>
        <w:t>XX</w:t>
      </w:r>
      <w:r>
        <w:rPr>
          <w:rFonts w:hint="eastAsia" w:ascii="仿宋" w:hAnsi="仿宋" w:eastAsia="仿宋" w:cs="仿宋"/>
          <w:sz w:val="24"/>
        </w:rPr>
        <w:t>软件系统维护范围清单，以下简称：已有软件系统）的维护工作， 具体服务内容如下：</w:t>
      </w:r>
    </w:p>
    <w:tbl>
      <w:tblPr>
        <w:tblStyle w:val="2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5"/>
        <w:gridCol w:w="1215"/>
        <w:gridCol w:w="4862"/>
        <w:gridCol w:w="1215"/>
        <w:gridCol w:w="1248"/>
      </w:tblGrid>
      <w:tr w14:paraId="4940E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479" w:type="pct"/>
            <w:vAlign w:val="center"/>
          </w:tcPr>
          <w:p w14:paraId="00099FAA">
            <w:pPr>
              <w:snapToGrid w:val="0"/>
              <w:spacing w:line="360" w:lineRule="auto"/>
              <w:jc w:val="center"/>
              <w:rPr>
                <w:rFonts w:ascii="仿宋" w:hAnsi="仿宋" w:eastAsia="仿宋" w:cs="仿宋"/>
                <w:b/>
                <w:sz w:val="24"/>
              </w:rPr>
            </w:pPr>
            <w:r>
              <w:rPr>
                <w:rFonts w:hint="eastAsia" w:ascii="仿宋" w:hAnsi="仿宋" w:eastAsia="仿宋" w:cs="仿宋"/>
                <w:b/>
                <w:sz w:val="24"/>
              </w:rPr>
              <w:t>序号</w:t>
            </w:r>
          </w:p>
        </w:tc>
        <w:tc>
          <w:tcPr>
            <w:tcW w:w="643" w:type="pct"/>
            <w:vAlign w:val="center"/>
          </w:tcPr>
          <w:p w14:paraId="4C15B6AA">
            <w:pPr>
              <w:snapToGrid w:val="0"/>
              <w:spacing w:line="360" w:lineRule="auto"/>
              <w:jc w:val="center"/>
              <w:rPr>
                <w:rFonts w:ascii="仿宋" w:hAnsi="仿宋" w:eastAsia="仿宋" w:cs="仿宋"/>
                <w:b/>
                <w:sz w:val="24"/>
              </w:rPr>
            </w:pPr>
            <w:r>
              <w:rPr>
                <w:rFonts w:hint="eastAsia" w:ascii="仿宋" w:hAnsi="仿宋" w:eastAsia="仿宋" w:cs="仿宋"/>
                <w:b/>
                <w:sz w:val="24"/>
              </w:rPr>
              <w:t>服务</w:t>
            </w:r>
          </w:p>
          <w:p w14:paraId="4AB343AE">
            <w:pPr>
              <w:snapToGrid w:val="0"/>
              <w:spacing w:line="360" w:lineRule="auto"/>
              <w:jc w:val="center"/>
              <w:rPr>
                <w:rFonts w:ascii="仿宋" w:hAnsi="仿宋" w:eastAsia="仿宋" w:cs="仿宋"/>
                <w:b/>
                <w:sz w:val="24"/>
              </w:rPr>
            </w:pPr>
            <w:r>
              <w:rPr>
                <w:rFonts w:hint="eastAsia" w:ascii="仿宋" w:hAnsi="仿宋" w:eastAsia="仿宋" w:cs="仿宋"/>
                <w:b/>
                <w:sz w:val="24"/>
              </w:rPr>
              <w:t>项目</w:t>
            </w:r>
          </w:p>
        </w:tc>
        <w:tc>
          <w:tcPr>
            <w:tcW w:w="2573" w:type="pct"/>
            <w:vAlign w:val="center"/>
          </w:tcPr>
          <w:p w14:paraId="32737DB8">
            <w:pPr>
              <w:snapToGrid w:val="0"/>
              <w:spacing w:line="360" w:lineRule="auto"/>
              <w:jc w:val="center"/>
              <w:rPr>
                <w:rFonts w:ascii="仿宋" w:hAnsi="仿宋" w:eastAsia="仿宋" w:cs="仿宋"/>
                <w:b/>
                <w:sz w:val="24"/>
              </w:rPr>
            </w:pPr>
            <w:r>
              <w:rPr>
                <w:rFonts w:hint="eastAsia" w:ascii="仿宋" w:hAnsi="仿宋" w:eastAsia="仿宋" w:cs="仿宋"/>
                <w:b/>
                <w:sz w:val="24"/>
              </w:rPr>
              <w:t>服务内容</w:t>
            </w:r>
          </w:p>
        </w:tc>
        <w:tc>
          <w:tcPr>
            <w:tcW w:w="643" w:type="pct"/>
            <w:vAlign w:val="center"/>
          </w:tcPr>
          <w:p w14:paraId="0598F7DE">
            <w:pPr>
              <w:snapToGrid w:val="0"/>
              <w:spacing w:line="360" w:lineRule="auto"/>
              <w:jc w:val="center"/>
              <w:rPr>
                <w:rFonts w:ascii="仿宋" w:hAnsi="仿宋" w:eastAsia="仿宋" w:cs="仿宋"/>
                <w:b/>
                <w:sz w:val="24"/>
              </w:rPr>
            </w:pPr>
            <w:r>
              <w:rPr>
                <w:rFonts w:hint="eastAsia" w:ascii="仿宋" w:hAnsi="仿宋" w:eastAsia="仿宋" w:cs="仿宋"/>
                <w:b/>
                <w:sz w:val="24"/>
              </w:rPr>
              <w:t>服务</w:t>
            </w:r>
          </w:p>
          <w:p w14:paraId="5BEBD1CD">
            <w:pPr>
              <w:snapToGrid w:val="0"/>
              <w:spacing w:line="360" w:lineRule="auto"/>
              <w:jc w:val="center"/>
              <w:rPr>
                <w:rFonts w:ascii="仿宋" w:hAnsi="仿宋" w:eastAsia="仿宋" w:cs="仿宋"/>
                <w:b/>
                <w:sz w:val="24"/>
              </w:rPr>
            </w:pPr>
            <w:r>
              <w:rPr>
                <w:rFonts w:hint="eastAsia" w:ascii="仿宋" w:hAnsi="仿宋" w:eastAsia="仿宋" w:cs="仿宋"/>
                <w:b/>
                <w:sz w:val="24"/>
              </w:rPr>
              <w:t>方式</w:t>
            </w:r>
          </w:p>
        </w:tc>
        <w:tc>
          <w:tcPr>
            <w:tcW w:w="660" w:type="pct"/>
            <w:vAlign w:val="center"/>
          </w:tcPr>
          <w:p w14:paraId="07901A4E">
            <w:pPr>
              <w:snapToGrid w:val="0"/>
              <w:spacing w:line="360" w:lineRule="auto"/>
              <w:jc w:val="center"/>
              <w:rPr>
                <w:rFonts w:ascii="仿宋" w:hAnsi="仿宋" w:eastAsia="仿宋" w:cs="仿宋"/>
                <w:b/>
                <w:sz w:val="24"/>
              </w:rPr>
            </w:pPr>
            <w:r>
              <w:rPr>
                <w:rFonts w:hint="eastAsia" w:ascii="仿宋" w:hAnsi="仿宋" w:eastAsia="仿宋" w:cs="仿宋"/>
                <w:b/>
                <w:sz w:val="24"/>
              </w:rPr>
              <w:t>服务次数/服务费用限价</w:t>
            </w:r>
          </w:p>
        </w:tc>
      </w:tr>
      <w:tr w14:paraId="0FB86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479" w:type="pct"/>
            <w:vAlign w:val="center"/>
          </w:tcPr>
          <w:p w14:paraId="48B7654A">
            <w:pPr>
              <w:snapToGrid w:val="0"/>
              <w:spacing w:line="360" w:lineRule="auto"/>
              <w:jc w:val="center"/>
              <w:rPr>
                <w:rFonts w:ascii="仿宋" w:hAnsi="仿宋" w:eastAsia="仿宋" w:cs="仿宋"/>
                <w:sz w:val="24"/>
              </w:rPr>
            </w:pPr>
          </w:p>
        </w:tc>
        <w:tc>
          <w:tcPr>
            <w:tcW w:w="643" w:type="pct"/>
            <w:vAlign w:val="center"/>
          </w:tcPr>
          <w:p w14:paraId="51C3DD2C">
            <w:pPr>
              <w:snapToGrid w:val="0"/>
              <w:spacing w:line="360" w:lineRule="auto"/>
              <w:rPr>
                <w:rFonts w:ascii="仿宋" w:hAnsi="仿宋" w:eastAsia="仿宋" w:cs="仿宋"/>
                <w:sz w:val="24"/>
              </w:rPr>
            </w:pPr>
          </w:p>
        </w:tc>
        <w:tc>
          <w:tcPr>
            <w:tcW w:w="2573" w:type="pct"/>
          </w:tcPr>
          <w:p w14:paraId="21EF3AD4">
            <w:pPr>
              <w:snapToGrid w:val="0"/>
              <w:spacing w:line="360" w:lineRule="auto"/>
              <w:rPr>
                <w:rFonts w:ascii="仿宋" w:hAnsi="仿宋" w:eastAsia="仿宋" w:cs="仿宋"/>
                <w:sz w:val="24"/>
              </w:rPr>
            </w:pPr>
          </w:p>
        </w:tc>
        <w:tc>
          <w:tcPr>
            <w:tcW w:w="643" w:type="pct"/>
            <w:vAlign w:val="center"/>
          </w:tcPr>
          <w:p w14:paraId="5E02FEC8">
            <w:pPr>
              <w:snapToGrid w:val="0"/>
              <w:spacing w:line="360" w:lineRule="auto"/>
              <w:jc w:val="center"/>
              <w:rPr>
                <w:rFonts w:ascii="仿宋" w:hAnsi="仿宋" w:eastAsia="仿宋" w:cs="仿宋"/>
                <w:sz w:val="24"/>
              </w:rPr>
            </w:pPr>
          </w:p>
        </w:tc>
        <w:tc>
          <w:tcPr>
            <w:tcW w:w="660" w:type="pct"/>
            <w:vAlign w:val="center"/>
          </w:tcPr>
          <w:p w14:paraId="335F3EED">
            <w:pPr>
              <w:snapToGrid w:val="0"/>
              <w:spacing w:line="360" w:lineRule="auto"/>
              <w:jc w:val="center"/>
              <w:rPr>
                <w:rFonts w:ascii="仿宋" w:hAnsi="仿宋" w:eastAsia="仿宋" w:cs="仿宋"/>
                <w:sz w:val="24"/>
              </w:rPr>
            </w:pPr>
          </w:p>
        </w:tc>
      </w:tr>
    </w:tbl>
    <w:p w14:paraId="7586135F">
      <w:pPr>
        <w:pStyle w:val="10"/>
        <w:snapToGrid w:val="0"/>
        <w:spacing w:line="360" w:lineRule="auto"/>
        <w:ind w:firstLine="480"/>
        <w:rPr>
          <w:rFonts w:ascii="仿宋" w:hAnsi="仿宋" w:eastAsia="仿宋" w:cs="仿宋"/>
          <w:szCs w:val="24"/>
          <w:lang w:eastAsia="zh-CN"/>
        </w:rPr>
      </w:pPr>
    </w:p>
    <w:p w14:paraId="5F27A89D">
      <w:pPr>
        <w:snapToGrid w:val="0"/>
        <w:spacing w:line="360" w:lineRule="auto"/>
        <w:ind w:left="723" w:hanging="723" w:hangingChars="300"/>
        <w:rPr>
          <w:rFonts w:ascii="仿宋" w:hAnsi="仿宋" w:eastAsia="仿宋" w:cs="仿宋"/>
          <w:b/>
          <w:bCs/>
          <w:sz w:val="24"/>
        </w:rPr>
      </w:pPr>
      <w:r>
        <w:rPr>
          <w:rFonts w:hint="eastAsia" w:ascii="仿宋" w:hAnsi="仿宋" w:eastAsia="仿宋" w:cs="仿宋"/>
          <w:b/>
          <w:bCs/>
          <w:sz w:val="24"/>
        </w:rPr>
        <w:t>第二条  甲方责任及义务</w:t>
      </w:r>
    </w:p>
    <w:p w14:paraId="29FE5117">
      <w:pPr>
        <w:pStyle w:val="44"/>
        <w:snapToGrid w:val="0"/>
        <w:spacing w:line="360" w:lineRule="auto"/>
        <w:ind w:firstLine="480"/>
        <w:rPr>
          <w:rFonts w:ascii="仿宋" w:hAnsi="仿宋" w:eastAsia="仿宋" w:cs="仿宋"/>
          <w:sz w:val="24"/>
        </w:rPr>
      </w:pPr>
      <w:r>
        <w:rPr>
          <w:rFonts w:hint="eastAsia" w:ascii="仿宋" w:hAnsi="仿宋" w:eastAsia="仿宋" w:cs="仿宋"/>
          <w:sz w:val="24"/>
        </w:rPr>
        <w:t>1.甲方应按本合同约定及时向乙方支付维护费。</w:t>
      </w:r>
    </w:p>
    <w:p w14:paraId="4DF7E5A4">
      <w:pPr>
        <w:pStyle w:val="44"/>
        <w:snapToGrid w:val="0"/>
        <w:spacing w:line="360" w:lineRule="auto"/>
        <w:ind w:firstLine="480"/>
        <w:rPr>
          <w:rFonts w:ascii="仿宋" w:hAnsi="仿宋" w:eastAsia="仿宋" w:cs="仿宋"/>
          <w:sz w:val="24"/>
        </w:rPr>
      </w:pPr>
      <w:r>
        <w:rPr>
          <w:rFonts w:hint="eastAsia" w:ascii="仿宋" w:hAnsi="仿宋" w:eastAsia="仿宋" w:cs="仿宋"/>
          <w:sz w:val="24"/>
        </w:rPr>
        <w:t>2.甲方应发现故障后及时向乙方发出维护服务要求。</w:t>
      </w:r>
    </w:p>
    <w:p w14:paraId="1B625107">
      <w:pPr>
        <w:pStyle w:val="44"/>
        <w:snapToGrid w:val="0"/>
        <w:spacing w:line="360" w:lineRule="auto"/>
        <w:ind w:firstLine="480"/>
        <w:rPr>
          <w:rFonts w:ascii="仿宋" w:hAnsi="仿宋" w:eastAsia="仿宋" w:cs="仿宋"/>
          <w:sz w:val="24"/>
        </w:rPr>
      </w:pPr>
      <w:r>
        <w:rPr>
          <w:rFonts w:hint="eastAsia" w:ascii="仿宋" w:hAnsi="仿宋" w:eastAsia="仿宋" w:cs="仿宋"/>
          <w:sz w:val="24"/>
        </w:rPr>
        <w:t>3.甲方应向乙方提供相关软件系统正常使用和维护的环境。</w:t>
      </w:r>
    </w:p>
    <w:p w14:paraId="75B0EFED">
      <w:pPr>
        <w:pStyle w:val="44"/>
        <w:snapToGrid w:val="0"/>
        <w:spacing w:line="360" w:lineRule="auto"/>
        <w:ind w:firstLine="480"/>
        <w:rPr>
          <w:rFonts w:ascii="仿宋" w:hAnsi="仿宋" w:eastAsia="仿宋" w:cs="仿宋"/>
          <w:sz w:val="24"/>
        </w:rPr>
      </w:pPr>
      <w:r>
        <w:rPr>
          <w:rFonts w:hint="eastAsia" w:ascii="仿宋" w:hAnsi="仿宋" w:eastAsia="仿宋" w:cs="仿宋"/>
          <w:sz w:val="24"/>
        </w:rPr>
        <w:t>4.甲方所提维护服务需求内容应符合甲方实际业务需求，符合国家相关规定。</w:t>
      </w:r>
    </w:p>
    <w:p w14:paraId="55FB42B9">
      <w:pPr>
        <w:pStyle w:val="44"/>
        <w:snapToGrid w:val="0"/>
        <w:spacing w:line="360" w:lineRule="auto"/>
        <w:ind w:firstLine="480"/>
        <w:rPr>
          <w:rFonts w:ascii="仿宋" w:hAnsi="仿宋" w:eastAsia="仿宋" w:cs="仿宋"/>
          <w:b/>
          <w:bCs/>
          <w:sz w:val="24"/>
        </w:rPr>
      </w:pPr>
      <w:r>
        <w:rPr>
          <w:rFonts w:hint="eastAsia" w:ascii="仿宋" w:hAnsi="仿宋" w:eastAsia="仿宋" w:cs="仿宋"/>
          <w:sz w:val="24"/>
        </w:rPr>
        <w:t>5.甲方应安排专人配合乙方运维工程师的维护工作，协助乙方进行需求调研及分析，向乙方提供维护服务所需的必要支持，并对乙方的维护服务过程、结果进行监督、检查、确认、评价。</w:t>
      </w:r>
    </w:p>
    <w:p w14:paraId="1598EBF3">
      <w:pPr>
        <w:snapToGrid w:val="0"/>
        <w:spacing w:line="360" w:lineRule="auto"/>
        <w:rPr>
          <w:rFonts w:ascii="仿宋" w:hAnsi="仿宋" w:eastAsia="仿宋" w:cs="仿宋"/>
          <w:b/>
          <w:bCs/>
          <w:sz w:val="24"/>
        </w:rPr>
      </w:pPr>
      <w:r>
        <w:rPr>
          <w:rFonts w:hint="eastAsia" w:ascii="仿宋" w:hAnsi="仿宋" w:eastAsia="仿宋" w:cs="仿宋"/>
          <w:b/>
          <w:bCs/>
          <w:sz w:val="24"/>
        </w:rPr>
        <w:t>第三条  乙方责任及义务</w:t>
      </w:r>
    </w:p>
    <w:p w14:paraId="1C5B265B">
      <w:pPr>
        <w:pStyle w:val="44"/>
        <w:snapToGrid w:val="0"/>
        <w:spacing w:line="360" w:lineRule="auto"/>
        <w:ind w:firstLine="480"/>
        <w:rPr>
          <w:rFonts w:ascii="仿宋" w:hAnsi="仿宋" w:eastAsia="仿宋" w:cs="仿宋"/>
          <w:sz w:val="24"/>
        </w:rPr>
      </w:pPr>
      <w:r>
        <w:rPr>
          <w:rFonts w:hint="eastAsia" w:ascii="仿宋" w:hAnsi="仿宋" w:eastAsia="仿宋" w:cs="仿宋"/>
          <w:sz w:val="24"/>
        </w:rPr>
        <w:t>1.专人负责：乙方应指派经验丰富的运维工程师来承担甲方医院信息管理系统的具体维护工作，在本合同约定的维护期限内每周季度驻场服务时间不少于【 】天；乙方服务人员应保证相对固定。</w:t>
      </w:r>
    </w:p>
    <w:p w14:paraId="2992CFDD">
      <w:pPr>
        <w:pStyle w:val="44"/>
        <w:snapToGrid w:val="0"/>
        <w:spacing w:line="360" w:lineRule="auto"/>
        <w:ind w:firstLine="480"/>
        <w:rPr>
          <w:rFonts w:ascii="仿宋" w:hAnsi="仿宋" w:eastAsia="仿宋" w:cs="仿宋"/>
          <w:sz w:val="24"/>
        </w:rPr>
      </w:pPr>
      <w:r>
        <w:rPr>
          <w:rFonts w:hint="eastAsia" w:ascii="仿宋" w:hAnsi="仿宋" w:eastAsia="仿宋" w:cs="仿宋"/>
          <w:sz w:val="24"/>
        </w:rPr>
        <w:t>指定联系人：乙方指定【 】为联系人，全权负责日常服务合作事宜，乙方指定联系人发生变化时，应提前【 】个工作日内书面通知甲方。</w:t>
      </w:r>
    </w:p>
    <w:p w14:paraId="289C935D">
      <w:pPr>
        <w:pStyle w:val="44"/>
        <w:snapToGrid w:val="0"/>
        <w:spacing w:line="360" w:lineRule="auto"/>
        <w:ind w:firstLine="480"/>
        <w:rPr>
          <w:rFonts w:ascii="仿宋" w:hAnsi="仿宋" w:eastAsia="仿宋" w:cs="仿宋"/>
          <w:sz w:val="24"/>
        </w:rPr>
      </w:pPr>
      <w:r>
        <w:rPr>
          <w:rFonts w:hint="eastAsia" w:ascii="仿宋" w:hAnsi="仿宋" w:eastAsia="仿宋" w:cs="仿宋"/>
          <w:sz w:val="24"/>
        </w:rPr>
        <w:t>2.运维响应：乙方应为甲方提供全年7*24小时的电话技术支持、远程网络协助及现场服务；电话服务专线：【  】。乙方在合同服务期内按附件2：《医院信息系统故障分级标准及响应时间明细表》为甲方信息系统提供维护或故障维修，直至系统恢复正常运营。</w:t>
      </w:r>
    </w:p>
    <w:p w14:paraId="7F9D744B">
      <w:pPr>
        <w:pStyle w:val="44"/>
        <w:snapToGrid w:val="0"/>
        <w:spacing w:line="360" w:lineRule="auto"/>
        <w:ind w:firstLine="480"/>
        <w:rPr>
          <w:rFonts w:ascii="仿宋" w:hAnsi="仿宋" w:eastAsia="仿宋" w:cs="仿宋"/>
          <w:sz w:val="24"/>
        </w:rPr>
      </w:pPr>
      <w:r>
        <w:rPr>
          <w:rFonts w:hint="eastAsia" w:ascii="仿宋" w:hAnsi="仿宋" w:eastAsia="仿宋" w:cs="仿宋"/>
          <w:sz w:val="24"/>
        </w:rPr>
        <w:t>3.维护记录：在本合同约定的维护期限内，乙方应建立完善的维护记录管理体系，对于任何维护任务，乙方服务人员应严格填写维护记录单并交由甲方相关负责人审批，每次服务还应由甲方进行评价；服务产生的相关文件应及时归档且双方同时备案。</w:t>
      </w:r>
    </w:p>
    <w:p w14:paraId="7C11A062">
      <w:pPr>
        <w:pStyle w:val="44"/>
        <w:snapToGrid w:val="0"/>
        <w:spacing w:line="360" w:lineRule="auto"/>
        <w:ind w:firstLine="480"/>
        <w:rPr>
          <w:rFonts w:ascii="仿宋" w:hAnsi="仿宋" w:eastAsia="仿宋" w:cs="仿宋"/>
          <w:sz w:val="24"/>
        </w:rPr>
      </w:pPr>
      <w:r>
        <w:rPr>
          <w:rFonts w:hint="eastAsia" w:ascii="仿宋" w:hAnsi="仿宋" w:eastAsia="仿宋" w:cs="仿宋"/>
          <w:sz w:val="24"/>
        </w:rPr>
        <w:t>4.巡检：乙方应每季度至少【 】次到达甲方现场对相关软件系统进行检查，优化软件系统运行，同时做好相关软件系统运行使用情况的记录；对可能存在的隐患及出现的故障提出解决方案，在征得甲方同意后现场进行软件系统优化；另外，乙方应根据实际需要，现场对甲方信息中心工作人员进行维护方案的培训及实际操作的指导。</w:t>
      </w:r>
    </w:p>
    <w:p w14:paraId="2C336FA1">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5.数据安全及保密：乙方在软件系统维护过程中，应协助甲方提前做好相关数据的备份工作，保证数据安全，并且做好相关数据及资料的保密工作；未经甲方允许，乙方不得将相关数据及资料带走、传播或它用。</w:t>
      </w:r>
    </w:p>
    <w:p w14:paraId="038340FF">
      <w:pPr>
        <w:snapToGrid w:val="0"/>
        <w:spacing w:line="360" w:lineRule="auto"/>
        <w:rPr>
          <w:rFonts w:ascii="仿宋" w:hAnsi="仿宋" w:eastAsia="仿宋" w:cs="仿宋"/>
          <w:b/>
          <w:bCs/>
          <w:sz w:val="24"/>
        </w:rPr>
      </w:pPr>
      <w:r>
        <w:rPr>
          <w:rFonts w:hint="eastAsia" w:ascii="仿宋" w:hAnsi="仿宋" w:eastAsia="仿宋" w:cs="仿宋"/>
          <w:b/>
          <w:bCs/>
          <w:sz w:val="24"/>
        </w:rPr>
        <w:t>第四条  不可抗力条款</w:t>
      </w:r>
    </w:p>
    <w:p w14:paraId="43811CD7">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乙方对甲方在使用相关软件系统的过程中，因设备故障、病毒等造成的系统故障、数据丢失，以及因相关软件系统误用、毁损、遗失、被盗或其他不可抗力造成的损失双方均不承担责任，乙方积极协助甲方处理此类问题。</w:t>
      </w:r>
    </w:p>
    <w:p w14:paraId="34CEF4E9">
      <w:pPr>
        <w:pStyle w:val="44"/>
        <w:snapToGrid w:val="0"/>
        <w:spacing w:line="360" w:lineRule="auto"/>
        <w:ind w:firstLine="480" w:firstLineChars="0"/>
        <w:rPr>
          <w:rFonts w:ascii="仿宋" w:hAnsi="仿宋" w:eastAsia="仿宋" w:cs="仿宋"/>
          <w:sz w:val="24"/>
        </w:rPr>
      </w:pPr>
      <w:r>
        <w:rPr>
          <w:rFonts w:hint="eastAsia" w:ascii="仿宋" w:hAnsi="仿宋" w:eastAsia="仿宋" w:cs="仿宋"/>
          <w:bCs/>
          <w:sz w:val="24"/>
        </w:rPr>
        <w:t>2.由于特殊情况（非乙方原因所致）及不可抗力造成维护服务拖延或不能正常进行，甲乙双方应按实际情况重新调整维护服务时间和内容，双方同意后执行。</w:t>
      </w:r>
    </w:p>
    <w:p w14:paraId="07EB3D7E">
      <w:pPr>
        <w:tabs>
          <w:tab w:val="left" w:pos="900"/>
        </w:tabs>
        <w:snapToGrid w:val="0"/>
        <w:spacing w:line="360" w:lineRule="auto"/>
        <w:ind w:left="723" w:hanging="723" w:hangingChars="300"/>
        <w:rPr>
          <w:rFonts w:ascii="仿宋" w:hAnsi="仿宋" w:eastAsia="仿宋" w:cs="仿宋"/>
          <w:b/>
          <w:bCs/>
          <w:sz w:val="24"/>
        </w:rPr>
      </w:pPr>
      <w:r>
        <w:rPr>
          <w:rFonts w:hint="eastAsia" w:ascii="仿宋" w:hAnsi="仿宋" w:eastAsia="仿宋" w:cs="仿宋"/>
          <w:b/>
          <w:bCs/>
          <w:sz w:val="24"/>
        </w:rPr>
        <w:t>第五条  保密条款</w:t>
      </w:r>
    </w:p>
    <w:p w14:paraId="635BFBAC">
      <w:pPr>
        <w:tabs>
          <w:tab w:val="left" w:pos="360"/>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1.乙方负责对甲方的所有业务及软件系统数据进行保密，不得以任何形式泄露给第三方；保密时效和机密性质认定应参照同行业有关规定。</w:t>
      </w:r>
    </w:p>
    <w:p w14:paraId="50517DBB">
      <w:pPr>
        <w:tabs>
          <w:tab w:val="left" w:pos="360"/>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2.本协议所述之保密信息系指本协议条款的全部内容，本协议签订及履行情况，以及甲、乙双方通过签订及履行本协议而获知的对方或对方关联公司尚未公开的任何信息，包括但不限于：甲方医疗信息、经营信息、患者信息、相关知识产权内容、业务规划与计划、生产经营业绩与财务数据、现有及预期的客户和供应商信息、财务信息、人力资源资料、业务运作文件，技术资料与创意、设计、处理流程、技术与集成方案、实施计划、咨询报告、计算机程序（包括源程序与目标代码），以及其他类似的信息。如乙方泄露甲方以上信息，需承担全部法律责任。</w:t>
      </w:r>
    </w:p>
    <w:p w14:paraId="71273831">
      <w:pPr>
        <w:tabs>
          <w:tab w:val="left" w:pos="360"/>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3.甲、乙双方均有义务对上述保密信息履行保密义务，未经对方同意，另一方不得向任何第三方披露或者透露任何保密信息，以及将任何保密信息用于与本协议无关的其他任何用途，亦不得依据披露方提供的任何保密信息向本协议以外的任何第三方做出任何建议，但双方向各自的外部顾问，如律师事务所、会计事务所、审计事务所或公司披露以及根据各级有管辖权的立法、司法、行政机关或证券市场主管机构的要求披露除外。</w:t>
      </w:r>
    </w:p>
    <w:p w14:paraId="618F5BAF">
      <w:pPr>
        <w:tabs>
          <w:tab w:val="left" w:pos="360"/>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4.任何一方违反保密义务，应向守约方赔偿由此造成的一切损失，并承担相应法律责任。</w:t>
      </w:r>
    </w:p>
    <w:p w14:paraId="31CDE598">
      <w:pPr>
        <w:tabs>
          <w:tab w:val="left" w:pos="360"/>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5.本条款不因本协议的无效、解除、终止而失效。</w:t>
      </w:r>
    </w:p>
    <w:p w14:paraId="469626E2">
      <w:pPr>
        <w:snapToGrid w:val="0"/>
        <w:spacing w:line="360" w:lineRule="auto"/>
        <w:rPr>
          <w:rFonts w:ascii="仿宋" w:hAnsi="仿宋" w:eastAsia="仿宋" w:cs="仿宋"/>
          <w:b/>
          <w:bCs/>
          <w:sz w:val="24"/>
        </w:rPr>
      </w:pPr>
      <w:r>
        <w:rPr>
          <w:rFonts w:hint="eastAsia" w:ascii="仿宋" w:hAnsi="仿宋" w:eastAsia="仿宋" w:cs="仿宋"/>
          <w:b/>
          <w:bCs/>
          <w:sz w:val="24"/>
        </w:rPr>
        <w:t>第六条  维保期限及地点</w:t>
      </w:r>
    </w:p>
    <w:p w14:paraId="5DBAD556">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日至</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 xml:space="preserve">月 </w:t>
      </w:r>
      <w:r>
        <w:rPr>
          <w:rFonts w:hint="eastAsia" w:ascii="仿宋" w:hAnsi="仿宋" w:eastAsia="仿宋" w:cs="仿宋"/>
          <w:sz w:val="24"/>
          <w:u w:val="single"/>
        </w:rPr>
        <w:t xml:space="preserve"> </w:t>
      </w:r>
      <w:r>
        <w:rPr>
          <w:rFonts w:hint="eastAsia" w:ascii="仿宋" w:hAnsi="仿宋" w:eastAsia="仿宋" w:cs="仿宋"/>
          <w:sz w:val="24"/>
        </w:rPr>
        <w:t>日，为期【1】年。（本合同约定的维护期）</w:t>
      </w:r>
    </w:p>
    <w:p w14:paraId="6BBFF7D5">
      <w:pPr>
        <w:snapToGrid w:val="0"/>
        <w:spacing w:line="360" w:lineRule="auto"/>
        <w:ind w:firstLine="480" w:firstLineChars="200"/>
        <w:rPr>
          <w:rFonts w:ascii="仿宋" w:hAnsi="仿宋" w:eastAsia="仿宋" w:cs="仿宋"/>
          <w:bCs/>
          <w:sz w:val="24"/>
        </w:rPr>
      </w:pPr>
      <w:r>
        <w:rPr>
          <w:rFonts w:hint="eastAsia" w:ascii="仿宋" w:hAnsi="仿宋" w:eastAsia="仿宋" w:cs="仿宋"/>
          <w:bCs/>
          <w:sz w:val="24"/>
        </w:rPr>
        <w:t>2.合同部履行地点：陕西省交通医院指定地点。</w:t>
      </w:r>
    </w:p>
    <w:p w14:paraId="65CB2A58">
      <w:pPr>
        <w:tabs>
          <w:tab w:val="left" w:pos="2910"/>
        </w:tabs>
        <w:snapToGrid w:val="0"/>
        <w:spacing w:line="360" w:lineRule="auto"/>
        <w:rPr>
          <w:rFonts w:ascii="仿宋" w:hAnsi="仿宋" w:eastAsia="仿宋" w:cs="仿宋"/>
          <w:b/>
          <w:bCs/>
          <w:sz w:val="24"/>
        </w:rPr>
      </w:pPr>
      <w:r>
        <w:rPr>
          <w:rFonts w:hint="eastAsia" w:ascii="仿宋" w:hAnsi="仿宋" w:eastAsia="仿宋" w:cs="仿宋"/>
          <w:b/>
          <w:bCs/>
          <w:sz w:val="24"/>
        </w:rPr>
        <w:t>第七条  服务费及付款方式</w:t>
      </w:r>
    </w:p>
    <w:p w14:paraId="3737049F">
      <w:pPr>
        <w:pStyle w:val="30"/>
        <w:snapToGrid w:val="0"/>
        <w:spacing w:line="360" w:lineRule="auto"/>
        <w:ind w:firstLine="720" w:firstLineChars="300"/>
        <w:rPr>
          <w:rFonts w:ascii="仿宋" w:hAnsi="仿宋" w:eastAsia="仿宋" w:cs="仿宋"/>
          <w:b/>
          <w:sz w:val="24"/>
          <w:szCs w:val="24"/>
        </w:rPr>
      </w:pPr>
      <w:r>
        <w:rPr>
          <w:rFonts w:hint="eastAsia" w:ascii="仿宋" w:hAnsi="仿宋" w:eastAsia="仿宋" w:cs="仿宋"/>
          <w:sz w:val="24"/>
          <w:szCs w:val="24"/>
        </w:rPr>
        <w:t>服务费（每年）：</w:t>
      </w:r>
      <w:r>
        <w:rPr>
          <w:rFonts w:hint="eastAsia" w:ascii="仿宋" w:hAnsi="仿宋" w:eastAsia="仿宋" w:cs="仿宋"/>
          <w:sz w:val="24"/>
          <w:szCs w:val="24"/>
          <w:u w:val="single"/>
        </w:rPr>
        <w:t>（大写）:</w:t>
      </w:r>
      <w:r>
        <w:rPr>
          <w:rFonts w:hint="eastAsia" w:ascii="仿宋" w:hAnsi="仿宋" w:eastAsia="仿宋" w:cs="仿宋"/>
          <w:sz w:val="24"/>
          <w:szCs w:val="24"/>
        </w:rPr>
        <w:t xml:space="preserve">   </w:t>
      </w:r>
      <w:r>
        <w:rPr>
          <w:rFonts w:hint="eastAsia" w:ascii="仿宋" w:hAnsi="仿宋" w:eastAsia="仿宋" w:cs="仿宋"/>
          <w:sz w:val="24"/>
          <w:szCs w:val="24"/>
          <w:u w:val="single"/>
        </w:rPr>
        <w:t>（小写:</w:t>
      </w:r>
      <w:r>
        <w:rPr>
          <w:rFonts w:hint="eastAsia" w:ascii="仿宋" w:hAnsi="仿宋" w:eastAsia="仿宋" w:cs="仿宋"/>
          <w:sz w:val="24"/>
          <w:szCs w:val="24"/>
        </w:rPr>
        <w:t xml:space="preserve"> </w:t>
      </w:r>
      <w:r>
        <w:rPr>
          <w:rFonts w:hint="eastAsia" w:ascii="仿宋" w:hAnsi="仿宋" w:eastAsia="仿宋" w:cs="仿宋"/>
          <w:sz w:val="24"/>
          <w:szCs w:val="24"/>
          <w:u w:val="single"/>
        </w:rPr>
        <w:t>¥    元）</w:t>
      </w:r>
      <w:r>
        <w:rPr>
          <w:rFonts w:hint="eastAsia" w:ascii="仿宋" w:hAnsi="仿宋" w:eastAsia="仿宋" w:cs="仿宋"/>
          <w:sz w:val="24"/>
          <w:szCs w:val="24"/>
        </w:rPr>
        <w:t>。合同签订生效后，共计分为以下两次进行付款：</w:t>
      </w:r>
    </w:p>
    <w:p w14:paraId="26892D9B">
      <w:pPr>
        <w:pStyle w:val="30"/>
        <w:snapToGrid w:val="0"/>
        <w:spacing w:line="360" w:lineRule="auto"/>
        <w:ind w:firstLine="480"/>
        <w:rPr>
          <w:rFonts w:ascii="仿宋" w:hAnsi="仿宋" w:eastAsia="仿宋" w:cs="仿宋"/>
          <w:sz w:val="24"/>
          <w:szCs w:val="24"/>
          <w:u w:val="single"/>
        </w:rPr>
      </w:pPr>
      <w:r>
        <w:rPr>
          <w:rFonts w:hint="eastAsia" w:ascii="仿宋" w:hAnsi="仿宋" w:eastAsia="仿宋" w:cs="仿宋"/>
          <w:sz w:val="24"/>
          <w:szCs w:val="24"/>
        </w:rPr>
        <w:t>1、第一笔款项：；</w:t>
      </w:r>
      <w:r>
        <w:rPr>
          <w:rFonts w:hint="eastAsia" w:ascii="仿宋" w:hAnsi="仿宋" w:eastAsia="仿宋" w:cs="仿宋"/>
          <w:sz w:val="24"/>
          <w:szCs w:val="24"/>
          <w:u w:val="single"/>
        </w:rPr>
        <w:t xml:space="preserve">                       </w:t>
      </w:r>
    </w:p>
    <w:p w14:paraId="759FAFE4">
      <w:pPr>
        <w:pStyle w:val="30"/>
        <w:snapToGrid w:val="0"/>
        <w:spacing w:line="360" w:lineRule="auto"/>
        <w:ind w:firstLine="480"/>
        <w:rPr>
          <w:rFonts w:ascii="仿宋" w:hAnsi="仿宋" w:eastAsia="仿宋" w:cs="仿宋"/>
          <w:sz w:val="24"/>
          <w:szCs w:val="24"/>
        </w:rPr>
      </w:pPr>
      <w:r>
        <w:rPr>
          <w:rFonts w:hint="eastAsia" w:ascii="仿宋" w:hAnsi="仿宋" w:eastAsia="仿宋" w:cs="仿宋"/>
          <w:sz w:val="24"/>
          <w:szCs w:val="24"/>
        </w:rPr>
        <w:t>2、第二笔款项：：</w:t>
      </w:r>
      <w:r>
        <w:rPr>
          <w:rFonts w:hint="eastAsia" w:ascii="仿宋" w:hAnsi="仿宋" w:eastAsia="仿宋" w:cs="仿宋"/>
          <w:sz w:val="24"/>
          <w:szCs w:val="24"/>
          <w:u w:val="single"/>
        </w:rPr>
        <w:t xml:space="preserve">                       </w:t>
      </w:r>
    </w:p>
    <w:p w14:paraId="690BF46B">
      <w:pPr>
        <w:pStyle w:val="30"/>
        <w:snapToGrid w:val="0"/>
        <w:spacing w:line="360" w:lineRule="auto"/>
        <w:ind w:firstLine="480"/>
        <w:rPr>
          <w:rFonts w:ascii="仿宋" w:hAnsi="仿宋" w:eastAsia="仿宋" w:cs="仿宋"/>
          <w:sz w:val="24"/>
          <w:szCs w:val="24"/>
        </w:rPr>
      </w:pPr>
      <w:r>
        <w:rPr>
          <w:rFonts w:hint="eastAsia" w:ascii="仿宋" w:hAnsi="仿宋" w:eastAsia="仿宋" w:cs="仿宋"/>
          <w:sz w:val="24"/>
          <w:szCs w:val="24"/>
        </w:rPr>
        <w:t>●年度考核结果为优秀的，支付合同剩余50%价款；</w:t>
      </w:r>
    </w:p>
    <w:p w14:paraId="1464B143">
      <w:pPr>
        <w:pStyle w:val="30"/>
        <w:snapToGrid w:val="0"/>
        <w:spacing w:line="360" w:lineRule="auto"/>
        <w:ind w:firstLine="480"/>
        <w:rPr>
          <w:rFonts w:ascii="仿宋" w:hAnsi="仿宋" w:eastAsia="仿宋" w:cs="仿宋"/>
          <w:sz w:val="24"/>
          <w:szCs w:val="24"/>
        </w:rPr>
      </w:pPr>
      <w:r>
        <w:rPr>
          <w:rFonts w:hint="eastAsia" w:ascii="仿宋" w:hAnsi="仿宋" w:eastAsia="仿宋" w:cs="仿宋"/>
          <w:sz w:val="24"/>
          <w:szCs w:val="24"/>
        </w:rPr>
        <w:t>●年度考核结果为合格的，扣除合同总价款的10%作为违约金，支付合同剩余40%价款；</w:t>
      </w:r>
    </w:p>
    <w:p w14:paraId="5F549660">
      <w:pPr>
        <w:pStyle w:val="30"/>
        <w:snapToGrid w:val="0"/>
        <w:spacing w:line="360" w:lineRule="auto"/>
        <w:ind w:firstLine="480"/>
        <w:rPr>
          <w:rFonts w:ascii="仿宋" w:hAnsi="仿宋" w:eastAsia="仿宋" w:cs="仿宋"/>
          <w:sz w:val="24"/>
          <w:szCs w:val="24"/>
        </w:rPr>
      </w:pPr>
      <w:r>
        <w:rPr>
          <w:rFonts w:hint="eastAsia" w:ascii="仿宋" w:hAnsi="仿宋" w:eastAsia="仿宋" w:cs="仿宋"/>
          <w:sz w:val="24"/>
          <w:szCs w:val="24"/>
        </w:rPr>
        <w:t>●年度考核结果为不合格的，采购人有权不予支付合同剩余50%价款，同时保留追究供应商违约责任的权利。</w:t>
      </w:r>
    </w:p>
    <w:p w14:paraId="40FD02AA">
      <w:pPr>
        <w:pStyle w:val="30"/>
        <w:snapToGrid w:val="0"/>
        <w:spacing w:line="360" w:lineRule="auto"/>
        <w:ind w:firstLine="480"/>
        <w:rPr>
          <w:rFonts w:ascii="仿宋" w:hAnsi="仿宋" w:eastAsia="仿宋" w:cs="仿宋"/>
          <w:sz w:val="24"/>
          <w:szCs w:val="24"/>
        </w:rPr>
      </w:pPr>
      <w:r>
        <w:rPr>
          <w:rFonts w:hint="eastAsia" w:ascii="仿宋" w:hAnsi="仿宋" w:eastAsia="仿宋" w:cs="仿宋"/>
          <w:sz w:val="24"/>
          <w:szCs w:val="24"/>
        </w:rPr>
        <w:t>3.若乙方在甲方付款前未能提供全额合规发票的，甲方有权拒付合同款项，且不承担任何责任，乙方亦不得以此为由拒绝履行任意合同义务。</w:t>
      </w:r>
    </w:p>
    <w:p w14:paraId="4DF21005">
      <w:pPr>
        <w:snapToGrid w:val="0"/>
        <w:spacing w:line="360" w:lineRule="auto"/>
        <w:ind w:left="1"/>
        <w:rPr>
          <w:rFonts w:ascii="仿宋" w:hAnsi="仿宋" w:eastAsia="仿宋" w:cs="仿宋"/>
          <w:b/>
          <w:bCs/>
          <w:sz w:val="24"/>
        </w:rPr>
      </w:pPr>
      <w:r>
        <w:rPr>
          <w:rFonts w:hint="eastAsia" w:ascii="仿宋" w:hAnsi="仿宋" w:eastAsia="仿宋" w:cs="仿宋"/>
          <w:b/>
          <w:bCs/>
          <w:sz w:val="24"/>
        </w:rPr>
        <w:t>第八条 违约责任</w:t>
      </w:r>
    </w:p>
    <w:p w14:paraId="79FB3289">
      <w:pPr>
        <w:pStyle w:val="30"/>
        <w:snapToGrid w:val="0"/>
        <w:spacing w:line="360" w:lineRule="auto"/>
        <w:ind w:firstLine="480"/>
        <w:rPr>
          <w:rFonts w:ascii="仿宋" w:hAnsi="仿宋" w:eastAsia="仿宋" w:cs="仿宋"/>
          <w:sz w:val="24"/>
          <w:szCs w:val="24"/>
        </w:rPr>
      </w:pPr>
      <w:r>
        <w:rPr>
          <w:rFonts w:hint="eastAsia" w:ascii="仿宋" w:hAnsi="仿宋" w:eastAsia="仿宋" w:cs="仿宋"/>
          <w:sz w:val="24"/>
          <w:szCs w:val="24"/>
        </w:rPr>
        <w:t>1.除不可抗力因素外，因乙方原因造成无法在本合同第三条第2款约定的时限内及时响应并排除故障的，逾期责任由乙方承担，每逾期一天乙方按合同总价的【0.5】%向甲方支付违约金，累计逾期超过【  】天或合同期内逾期情形累计出现【  】次的，视为乙方根本违约，甲方有权单方解除本协议，乙方应按合同总价的【30】%向甲方支付违约金，并承担因此造成的甲方损失。</w:t>
      </w:r>
    </w:p>
    <w:p w14:paraId="356FCC07">
      <w:pPr>
        <w:pStyle w:val="30"/>
        <w:snapToGrid w:val="0"/>
        <w:spacing w:line="360" w:lineRule="auto"/>
        <w:ind w:firstLine="480"/>
        <w:rPr>
          <w:rFonts w:ascii="仿宋" w:hAnsi="仿宋" w:eastAsia="仿宋" w:cs="仿宋"/>
          <w:sz w:val="24"/>
          <w:szCs w:val="24"/>
        </w:rPr>
      </w:pPr>
      <w:r>
        <w:rPr>
          <w:rFonts w:hint="eastAsia" w:ascii="仿宋" w:hAnsi="仿宋" w:eastAsia="仿宋" w:cs="仿宋"/>
          <w:sz w:val="24"/>
          <w:szCs w:val="24"/>
        </w:rPr>
        <w:t>2.在合同期限内，由于乙方服务人员工作而导致甲方数据库受损、数据错误、丢失等，视为乙方严重违约，乙方应按合同总价的【30】%向甲方支付违约金，并承担因此造成的甲方损失。</w:t>
      </w:r>
    </w:p>
    <w:p w14:paraId="5B0B7946">
      <w:pPr>
        <w:pStyle w:val="30"/>
        <w:snapToGrid w:val="0"/>
        <w:spacing w:line="360" w:lineRule="auto"/>
        <w:ind w:firstLine="480"/>
        <w:rPr>
          <w:rFonts w:ascii="仿宋" w:hAnsi="仿宋" w:eastAsia="仿宋" w:cs="仿宋"/>
          <w:sz w:val="24"/>
          <w:szCs w:val="24"/>
        </w:rPr>
      </w:pPr>
      <w:r>
        <w:rPr>
          <w:rFonts w:hint="eastAsia" w:ascii="仿宋" w:hAnsi="仿宋" w:eastAsia="仿宋" w:cs="仿宋"/>
          <w:sz w:val="24"/>
          <w:szCs w:val="24"/>
        </w:rPr>
        <w:t xml:space="preserve">3.在合同期限内，未经甲方同意，乙方不得转包、分包本合同项下的合同义务，否则甲方有权解除本协议，乙方需按合同总价的【30】%向甲方支付违约金。 </w:t>
      </w:r>
    </w:p>
    <w:p w14:paraId="789A6B97">
      <w:pPr>
        <w:pStyle w:val="30"/>
        <w:snapToGrid w:val="0"/>
        <w:spacing w:line="360" w:lineRule="auto"/>
        <w:ind w:firstLine="480"/>
        <w:rPr>
          <w:rFonts w:ascii="仿宋" w:hAnsi="仿宋" w:eastAsia="仿宋" w:cs="仿宋"/>
          <w:sz w:val="24"/>
          <w:szCs w:val="24"/>
        </w:rPr>
      </w:pPr>
      <w:r>
        <w:rPr>
          <w:rFonts w:hint="eastAsia" w:ascii="仿宋" w:hAnsi="仿宋" w:eastAsia="仿宋" w:cs="仿宋"/>
          <w:sz w:val="24"/>
          <w:szCs w:val="24"/>
        </w:rPr>
        <w:t>4.乙方在上门维护期间发生任何人身事故或造成甲方设备损坏的，由乙方承担全部赔偿责任，给甲方造成其他损失的，甲方有权向乙方追偿。</w:t>
      </w:r>
    </w:p>
    <w:p w14:paraId="009E0973">
      <w:pPr>
        <w:pStyle w:val="30"/>
        <w:snapToGrid w:val="0"/>
        <w:spacing w:line="360" w:lineRule="auto"/>
        <w:ind w:firstLine="480"/>
        <w:rPr>
          <w:rFonts w:ascii="仿宋" w:hAnsi="仿宋" w:eastAsia="仿宋" w:cs="仿宋"/>
          <w:sz w:val="24"/>
          <w:szCs w:val="24"/>
        </w:rPr>
      </w:pPr>
      <w:r>
        <w:rPr>
          <w:rFonts w:hint="eastAsia" w:ascii="仿宋" w:hAnsi="仿宋" w:eastAsia="仿宋" w:cs="仿宋"/>
          <w:sz w:val="24"/>
          <w:szCs w:val="24"/>
        </w:rPr>
        <w:t>5.乙方对系统维护或升级期间，应保证甲方的正常使用，因乙方原因中断服务的，最长不得超过【5】天，否则甲方有权单方解除合同，合同自甲方书面解除通知送达乙方之日解除，乙方应按合同总价的【30】%支付违约金，违约金不足以弥补甲方损失的，乙方另行承担。</w:t>
      </w:r>
    </w:p>
    <w:p w14:paraId="085D0F09">
      <w:pPr>
        <w:pStyle w:val="30"/>
        <w:snapToGrid w:val="0"/>
        <w:spacing w:line="360" w:lineRule="auto"/>
        <w:ind w:firstLine="480"/>
        <w:rPr>
          <w:rFonts w:ascii="仿宋" w:hAnsi="仿宋" w:eastAsia="仿宋" w:cs="仿宋"/>
          <w:sz w:val="24"/>
          <w:szCs w:val="24"/>
        </w:rPr>
      </w:pPr>
      <w:r>
        <w:rPr>
          <w:rFonts w:hint="eastAsia" w:ascii="仿宋" w:hAnsi="仿宋" w:eastAsia="仿宋" w:cs="仿宋"/>
          <w:sz w:val="24"/>
          <w:szCs w:val="24"/>
        </w:rPr>
        <w:t>6.对于本合同中需乙方支付的违约金，甲方均有权从服未付合同款中直接扣除。</w:t>
      </w:r>
    </w:p>
    <w:p w14:paraId="1F8B81A1">
      <w:pPr>
        <w:snapToGrid w:val="0"/>
        <w:spacing w:line="360" w:lineRule="auto"/>
        <w:ind w:left="1"/>
        <w:rPr>
          <w:rFonts w:ascii="仿宋" w:hAnsi="仿宋" w:eastAsia="仿宋" w:cs="仿宋"/>
          <w:b/>
          <w:bCs/>
          <w:sz w:val="24"/>
        </w:rPr>
      </w:pPr>
      <w:r>
        <w:rPr>
          <w:rFonts w:hint="eastAsia" w:ascii="仿宋" w:hAnsi="仿宋" w:eastAsia="仿宋" w:cs="仿宋"/>
          <w:b/>
          <w:bCs/>
          <w:sz w:val="24"/>
        </w:rPr>
        <w:t>第九条  争议解决</w:t>
      </w:r>
    </w:p>
    <w:p w14:paraId="43D0F468">
      <w:pPr>
        <w:snapToGrid w:val="0"/>
        <w:spacing w:line="360" w:lineRule="auto"/>
        <w:ind w:firstLine="480"/>
        <w:rPr>
          <w:rFonts w:ascii="仿宋" w:hAnsi="仿宋" w:eastAsia="仿宋" w:cs="仿宋"/>
          <w:sz w:val="24"/>
        </w:rPr>
      </w:pPr>
      <w:r>
        <w:rPr>
          <w:rFonts w:hint="eastAsia" w:ascii="仿宋" w:hAnsi="仿宋" w:eastAsia="仿宋" w:cs="仿宋"/>
          <w:sz w:val="24"/>
        </w:rPr>
        <w:t>甲乙双方在发生合同纠纷时，应本着互谅互让的原则友好协商解决。若协商不成，双方均可向甲方所在地有管辖权的人民法院提起诉讼。</w:t>
      </w:r>
    </w:p>
    <w:p w14:paraId="254E8313">
      <w:pPr>
        <w:snapToGrid w:val="0"/>
        <w:spacing w:line="360" w:lineRule="auto"/>
        <w:ind w:left="1"/>
        <w:rPr>
          <w:rFonts w:ascii="仿宋" w:hAnsi="仿宋" w:eastAsia="仿宋" w:cs="仿宋"/>
          <w:b/>
          <w:bCs/>
          <w:sz w:val="24"/>
        </w:rPr>
      </w:pPr>
      <w:r>
        <w:rPr>
          <w:rFonts w:hint="eastAsia" w:ascii="仿宋" w:hAnsi="仿宋" w:eastAsia="仿宋" w:cs="仿宋"/>
          <w:b/>
          <w:bCs/>
          <w:sz w:val="24"/>
        </w:rPr>
        <w:t>第十条 通知及送达</w:t>
      </w:r>
    </w:p>
    <w:p w14:paraId="4EA78F69">
      <w:pPr>
        <w:snapToGrid w:val="0"/>
        <w:spacing w:line="360" w:lineRule="auto"/>
        <w:ind w:firstLine="480"/>
        <w:rPr>
          <w:rFonts w:ascii="仿宋" w:hAnsi="仿宋" w:eastAsia="仿宋" w:cs="仿宋"/>
          <w:sz w:val="24"/>
        </w:rPr>
      </w:pPr>
      <w:r>
        <w:rPr>
          <w:rFonts w:hint="eastAsia" w:ascii="仿宋" w:hAnsi="仿宋" w:eastAsia="仿宋" w:cs="仿宋"/>
          <w:sz w:val="24"/>
        </w:rPr>
        <w:t>1.甲乙双方因履行本协议而相互发出或者提供的所有通知、文件、资料，均应以本协议所列明的联系方式送达，当面交付文件的，在交付之时视为送达；以邮寄方式的，以实际收到日为送达，实际送达日超出7日或无法查询投递结果的，均将视为在将通知交寄之后的7日按期送达；以电子邮件发送的，邮件发出并到达对方服务器之时视为送达。有关本协议的通知，任何一方向双方在本协议所填写的地址、手机号码、电话号码、电子邮件、微信号等发送的通知，即视为送达。</w:t>
      </w:r>
    </w:p>
    <w:p w14:paraId="056F822E">
      <w:pPr>
        <w:snapToGrid w:val="0"/>
        <w:spacing w:line="360" w:lineRule="auto"/>
        <w:ind w:firstLine="480"/>
        <w:rPr>
          <w:rFonts w:ascii="仿宋" w:hAnsi="仿宋" w:eastAsia="仿宋" w:cs="仿宋"/>
          <w:sz w:val="24"/>
        </w:rPr>
      </w:pPr>
      <w:r>
        <w:rPr>
          <w:rFonts w:hint="eastAsia" w:ascii="仿宋" w:hAnsi="仿宋" w:eastAsia="仿宋" w:cs="仿宋"/>
          <w:sz w:val="24"/>
        </w:rPr>
        <w:t>2.双方一致认可，在本协议签订后，双方之间的书面通知等文件通过递送、挂号、传真、特快专递等方式发送至协议记载的双方的通讯地址视为送达，且该通讯地址适用争议解决阶段；如果一方故意拒收、找他人代收、邮件被退回或以其他理由逃避接收文件的，所有书面文书自发出之日视为送达。</w:t>
      </w:r>
    </w:p>
    <w:p w14:paraId="38A0F06A">
      <w:pPr>
        <w:snapToGrid w:val="0"/>
        <w:spacing w:line="360" w:lineRule="auto"/>
        <w:ind w:firstLine="480"/>
        <w:rPr>
          <w:rFonts w:ascii="仿宋" w:hAnsi="仿宋" w:eastAsia="仿宋" w:cs="仿宋"/>
          <w:sz w:val="24"/>
        </w:rPr>
      </w:pPr>
      <w:r>
        <w:rPr>
          <w:rFonts w:hint="eastAsia" w:ascii="仿宋" w:hAnsi="仿宋" w:eastAsia="仿宋" w:cs="仿宋"/>
          <w:sz w:val="24"/>
        </w:rPr>
        <w:t>3.任何一方的联络方法发生变更的，应在变更之日起3个工作日内书面通知对方。在被通知方收到有关通知之前，被通知方根据变更前的联络方法所做出的联络和通讯应视为有效，未及时通知变更情况的一方自行承担由此产生的法律后果。</w:t>
      </w:r>
    </w:p>
    <w:p w14:paraId="631CF327">
      <w:pPr>
        <w:snapToGrid w:val="0"/>
        <w:spacing w:line="360" w:lineRule="auto"/>
        <w:ind w:left="1"/>
        <w:rPr>
          <w:rFonts w:ascii="仿宋" w:hAnsi="仿宋" w:eastAsia="仿宋" w:cs="仿宋"/>
          <w:b/>
          <w:bCs/>
          <w:sz w:val="24"/>
        </w:rPr>
      </w:pPr>
      <w:r>
        <w:rPr>
          <w:rFonts w:hint="eastAsia" w:ascii="仿宋" w:hAnsi="仿宋" w:eastAsia="仿宋" w:cs="仿宋"/>
          <w:b/>
          <w:bCs/>
          <w:sz w:val="24"/>
        </w:rPr>
        <w:t>第十一条  附则</w:t>
      </w:r>
    </w:p>
    <w:p w14:paraId="79C3D5A2">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1.未经双方书面确认，任何一方不得变更或修改本合同。</w:t>
      </w:r>
    </w:p>
    <w:p w14:paraId="7569D9B7">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2.对于本合同未尽事宜，双方可随时签订补充协议或以附件的形式对本合同中的有关问题作出补充、说明、解释。本合同的补充协议和附件为其不可分的部分，与本合同具有同等法律效力。</w:t>
      </w:r>
    </w:p>
    <w:p w14:paraId="6E7E8526">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3.本合同须加盖“骑缝章”，以确保合同的完整。</w:t>
      </w:r>
    </w:p>
    <w:p w14:paraId="0DD975DC">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4.服务期限满，甲方若需乙方继续提供日常运行维护服务，甲方需与乙方续签技术服务合同，并支付年服务费。</w:t>
      </w:r>
    </w:p>
    <w:p w14:paraId="15D3C607">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4.本合同共</w:t>
      </w:r>
      <w:r>
        <w:rPr>
          <w:rFonts w:hint="eastAsia" w:ascii="仿宋" w:hAnsi="仿宋" w:eastAsia="仿宋" w:cs="仿宋"/>
          <w:sz w:val="24"/>
          <w:u w:val="single"/>
        </w:rPr>
        <w:t xml:space="preserve">    </w:t>
      </w:r>
      <w:r>
        <w:rPr>
          <w:rFonts w:hint="eastAsia" w:ascii="仿宋" w:hAnsi="仿宋" w:eastAsia="仿宋" w:cs="仿宋"/>
          <w:sz w:val="24"/>
        </w:rPr>
        <w:t>页一式</w:t>
      </w:r>
      <w:r>
        <w:rPr>
          <w:rFonts w:hint="eastAsia" w:ascii="仿宋" w:hAnsi="仿宋" w:eastAsia="仿宋" w:cs="仿宋"/>
          <w:sz w:val="24"/>
          <w:u w:val="single"/>
        </w:rPr>
        <w:t xml:space="preserve">   </w:t>
      </w:r>
      <w:r>
        <w:rPr>
          <w:rFonts w:hint="eastAsia" w:ascii="仿宋" w:hAnsi="仿宋" w:eastAsia="仿宋" w:cs="仿宋"/>
          <w:sz w:val="24"/>
        </w:rPr>
        <w:t>份，双方各执</w:t>
      </w:r>
      <w:r>
        <w:rPr>
          <w:rFonts w:hint="eastAsia" w:ascii="仿宋" w:hAnsi="仿宋" w:eastAsia="仿宋" w:cs="仿宋"/>
          <w:sz w:val="24"/>
          <w:u w:val="single"/>
        </w:rPr>
        <w:t xml:space="preserve">   </w:t>
      </w:r>
      <w:r>
        <w:rPr>
          <w:rFonts w:hint="eastAsia" w:ascii="仿宋" w:hAnsi="仿宋" w:eastAsia="仿宋" w:cs="仿宋"/>
          <w:sz w:val="24"/>
        </w:rPr>
        <w:t>份，甲、乙双方法定代表人或授权代表签字并加盖公章后，方可生效，均具有同等法律效力。</w:t>
      </w:r>
    </w:p>
    <w:p w14:paraId="640C8A5A">
      <w:pPr>
        <w:pStyle w:val="23"/>
        <w:snapToGrid w:val="0"/>
        <w:spacing w:line="360" w:lineRule="auto"/>
        <w:ind w:firstLine="240"/>
        <w:rPr>
          <w:rFonts w:ascii="仿宋" w:hAnsi="仿宋" w:eastAsia="仿宋" w:cs="仿宋"/>
          <w:szCs w:val="24"/>
        </w:rPr>
      </w:pPr>
      <w:r>
        <w:rPr>
          <w:rFonts w:hint="eastAsia" w:ascii="仿宋" w:hAnsi="仿宋" w:eastAsia="仿宋" w:cs="仿宋"/>
          <w:szCs w:val="24"/>
        </w:rPr>
        <w:t>（以下无正文）</w:t>
      </w:r>
    </w:p>
    <w:p w14:paraId="77D15399">
      <w:pPr>
        <w:rPr>
          <w:rFonts w:ascii="仿宋" w:hAnsi="仿宋" w:eastAsia="仿宋" w:cs="仿宋"/>
          <w:sz w:val="24"/>
        </w:rPr>
      </w:pPr>
      <w:r>
        <w:rPr>
          <w:rFonts w:hint="eastAsia" w:ascii="仿宋" w:hAnsi="仿宋" w:eastAsia="仿宋" w:cs="仿宋"/>
          <w:sz w:val="24"/>
        </w:rPr>
        <w:br w:type="page"/>
      </w:r>
    </w:p>
    <w:tbl>
      <w:tblPr>
        <w:tblStyle w:val="25"/>
        <w:tblpPr w:leftFromText="180" w:rightFromText="180" w:vertAnchor="text" w:horzAnchor="page" w:tblpXSpec="center" w:tblpY="396"/>
        <w:tblOverlap w:val="neve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2"/>
        <w:gridCol w:w="3171"/>
        <w:gridCol w:w="1410"/>
        <w:gridCol w:w="3415"/>
      </w:tblGrid>
      <w:tr w14:paraId="370CF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68" w:type="pct"/>
          </w:tcPr>
          <w:p w14:paraId="53712D4E">
            <w:pPr>
              <w:snapToGrid w:val="0"/>
              <w:spacing w:line="360" w:lineRule="auto"/>
              <w:rPr>
                <w:rFonts w:ascii="仿宋" w:hAnsi="仿宋" w:eastAsia="仿宋" w:cs="仿宋"/>
                <w:color w:val="000000"/>
                <w:sz w:val="24"/>
              </w:rPr>
            </w:pPr>
            <w:r>
              <w:rPr>
                <w:rFonts w:hint="eastAsia" w:ascii="仿宋" w:hAnsi="仿宋" w:eastAsia="仿宋" w:cs="仿宋"/>
                <w:b/>
                <w:color w:val="000000"/>
                <w:sz w:val="24"/>
              </w:rPr>
              <w:t>甲    方：</w:t>
            </w:r>
            <w:r>
              <w:rPr>
                <w:rFonts w:hint="eastAsia" w:ascii="仿宋" w:hAnsi="仿宋" w:eastAsia="仿宋" w:cs="仿宋"/>
                <w:color w:val="000000"/>
                <w:sz w:val="24"/>
              </w:rPr>
              <w:t xml:space="preserve"> </w:t>
            </w:r>
          </w:p>
        </w:tc>
        <w:tc>
          <w:tcPr>
            <w:tcW w:w="1678" w:type="pct"/>
          </w:tcPr>
          <w:p w14:paraId="1E765D85">
            <w:pPr>
              <w:snapToGrid w:val="0"/>
              <w:spacing w:line="360" w:lineRule="auto"/>
              <w:rPr>
                <w:rFonts w:ascii="仿宋" w:hAnsi="仿宋" w:eastAsia="仿宋" w:cs="仿宋"/>
                <w:color w:val="000000"/>
                <w:sz w:val="24"/>
              </w:rPr>
            </w:pPr>
            <w:r>
              <w:rPr>
                <w:rFonts w:hint="eastAsia" w:ascii="仿宋" w:hAnsi="仿宋" w:eastAsia="仿宋" w:cs="仿宋"/>
                <w:b/>
                <w:bCs/>
                <w:color w:val="000000"/>
                <w:sz w:val="24"/>
              </w:rPr>
              <w:t>陕西省交通医院（公章）</w:t>
            </w:r>
          </w:p>
        </w:tc>
        <w:tc>
          <w:tcPr>
            <w:tcW w:w="746" w:type="pct"/>
          </w:tcPr>
          <w:p w14:paraId="2883188F">
            <w:pPr>
              <w:snapToGrid w:val="0"/>
              <w:spacing w:line="360" w:lineRule="auto"/>
              <w:rPr>
                <w:rFonts w:ascii="仿宋" w:hAnsi="仿宋" w:eastAsia="仿宋" w:cs="仿宋"/>
                <w:color w:val="000000"/>
                <w:sz w:val="24"/>
              </w:rPr>
            </w:pPr>
            <w:r>
              <w:rPr>
                <w:rFonts w:hint="eastAsia" w:ascii="仿宋" w:hAnsi="仿宋" w:eastAsia="仿宋" w:cs="仿宋"/>
                <w:b/>
                <w:color w:val="000000"/>
                <w:sz w:val="24"/>
              </w:rPr>
              <w:t>乙    方：</w:t>
            </w:r>
            <w:r>
              <w:rPr>
                <w:rFonts w:hint="eastAsia" w:ascii="仿宋" w:hAnsi="仿宋" w:eastAsia="仿宋" w:cs="仿宋"/>
                <w:color w:val="000000"/>
                <w:sz w:val="24"/>
              </w:rPr>
              <w:t xml:space="preserve"> </w:t>
            </w:r>
          </w:p>
        </w:tc>
        <w:tc>
          <w:tcPr>
            <w:tcW w:w="1807" w:type="pct"/>
          </w:tcPr>
          <w:p w14:paraId="0680B3DD">
            <w:pPr>
              <w:snapToGrid w:val="0"/>
              <w:spacing w:line="360" w:lineRule="auto"/>
              <w:rPr>
                <w:rFonts w:ascii="仿宋" w:hAnsi="仿宋" w:eastAsia="仿宋" w:cs="仿宋"/>
                <w:color w:val="000000"/>
                <w:sz w:val="24"/>
              </w:rPr>
            </w:pPr>
          </w:p>
        </w:tc>
      </w:tr>
      <w:tr w14:paraId="0E195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68" w:type="pct"/>
          </w:tcPr>
          <w:p w14:paraId="60F91C3D">
            <w:pPr>
              <w:snapToGrid w:val="0"/>
              <w:spacing w:line="360" w:lineRule="auto"/>
              <w:rPr>
                <w:rFonts w:ascii="仿宋" w:hAnsi="仿宋" w:eastAsia="仿宋" w:cs="仿宋"/>
                <w:color w:val="000000"/>
                <w:sz w:val="24"/>
              </w:rPr>
            </w:pPr>
            <w:r>
              <w:rPr>
                <w:rFonts w:hint="eastAsia" w:ascii="仿宋" w:hAnsi="仿宋" w:eastAsia="仿宋" w:cs="仿宋"/>
                <w:color w:val="000000"/>
                <w:sz w:val="24"/>
              </w:rPr>
              <w:t>单位税号：</w:t>
            </w:r>
          </w:p>
        </w:tc>
        <w:tc>
          <w:tcPr>
            <w:tcW w:w="1678" w:type="pct"/>
          </w:tcPr>
          <w:p w14:paraId="0DA0A32E">
            <w:pPr>
              <w:snapToGrid w:val="0"/>
              <w:spacing w:line="360" w:lineRule="auto"/>
              <w:rPr>
                <w:rFonts w:ascii="仿宋" w:hAnsi="仿宋" w:eastAsia="仿宋" w:cs="仿宋"/>
                <w:color w:val="000000"/>
                <w:sz w:val="24"/>
              </w:rPr>
            </w:pPr>
            <w:r>
              <w:rPr>
                <w:rFonts w:hint="eastAsia" w:ascii="仿宋" w:hAnsi="仿宋" w:eastAsia="仿宋" w:cs="仿宋"/>
                <w:color w:val="000000"/>
                <w:sz w:val="24"/>
              </w:rPr>
              <w:t>12610000435201944P</w:t>
            </w:r>
          </w:p>
        </w:tc>
        <w:tc>
          <w:tcPr>
            <w:tcW w:w="746" w:type="pct"/>
          </w:tcPr>
          <w:p w14:paraId="0C53BF8D">
            <w:pPr>
              <w:snapToGrid w:val="0"/>
              <w:spacing w:line="360" w:lineRule="auto"/>
              <w:rPr>
                <w:rFonts w:ascii="仿宋" w:hAnsi="仿宋" w:eastAsia="仿宋" w:cs="仿宋"/>
                <w:color w:val="000000"/>
                <w:sz w:val="24"/>
              </w:rPr>
            </w:pPr>
            <w:r>
              <w:rPr>
                <w:rFonts w:hint="eastAsia" w:ascii="仿宋" w:hAnsi="仿宋" w:eastAsia="仿宋" w:cs="仿宋"/>
                <w:color w:val="000000"/>
                <w:sz w:val="24"/>
              </w:rPr>
              <w:t>单位税号：</w:t>
            </w:r>
          </w:p>
        </w:tc>
        <w:tc>
          <w:tcPr>
            <w:tcW w:w="1807" w:type="pct"/>
          </w:tcPr>
          <w:p w14:paraId="6F56CBAC">
            <w:pPr>
              <w:snapToGrid w:val="0"/>
              <w:spacing w:line="360" w:lineRule="auto"/>
              <w:rPr>
                <w:rFonts w:ascii="仿宋" w:hAnsi="仿宋" w:eastAsia="仿宋" w:cs="仿宋"/>
                <w:color w:val="000000"/>
                <w:sz w:val="24"/>
              </w:rPr>
            </w:pPr>
          </w:p>
        </w:tc>
      </w:tr>
      <w:tr w14:paraId="79986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68" w:type="pct"/>
            <w:vAlign w:val="center"/>
          </w:tcPr>
          <w:p w14:paraId="105DB3D5">
            <w:pPr>
              <w:snapToGrid w:val="0"/>
              <w:spacing w:line="360" w:lineRule="auto"/>
              <w:rPr>
                <w:rFonts w:ascii="仿宋" w:hAnsi="仿宋" w:eastAsia="仿宋" w:cs="仿宋"/>
                <w:color w:val="000000"/>
                <w:sz w:val="24"/>
              </w:rPr>
            </w:pPr>
            <w:r>
              <w:rPr>
                <w:rFonts w:hint="eastAsia" w:ascii="仿宋" w:hAnsi="仿宋" w:eastAsia="仿宋" w:cs="仿宋"/>
                <w:color w:val="000000"/>
                <w:sz w:val="24"/>
              </w:rPr>
              <w:t>单位地址：</w:t>
            </w:r>
          </w:p>
        </w:tc>
        <w:tc>
          <w:tcPr>
            <w:tcW w:w="1678" w:type="pct"/>
          </w:tcPr>
          <w:p w14:paraId="76E4813B">
            <w:pPr>
              <w:snapToGrid w:val="0"/>
              <w:spacing w:line="360" w:lineRule="auto"/>
              <w:rPr>
                <w:rFonts w:ascii="仿宋" w:hAnsi="仿宋" w:eastAsia="仿宋" w:cs="仿宋"/>
                <w:color w:val="000000"/>
                <w:sz w:val="24"/>
              </w:rPr>
            </w:pPr>
            <w:r>
              <w:rPr>
                <w:rFonts w:hint="eastAsia" w:ascii="仿宋" w:hAnsi="仿宋" w:eastAsia="仿宋" w:cs="仿宋"/>
                <w:color w:val="000000"/>
                <w:sz w:val="24"/>
              </w:rPr>
              <w:t>西安市大学南路276号</w:t>
            </w:r>
          </w:p>
        </w:tc>
        <w:tc>
          <w:tcPr>
            <w:tcW w:w="746" w:type="pct"/>
            <w:vAlign w:val="center"/>
          </w:tcPr>
          <w:p w14:paraId="7238044B">
            <w:pPr>
              <w:snapToGrid w:val="0"/>
              <w:spacing w:line="360" w:lineRule="auto"/>
              <w:rPr>
                <w:rFonts w:ascii="仿宋" w:hAnsi="仿宋" w:eastAsia="仿宋" w:cs="仿宋"/>
                <w:color w:val="000000"/>
                <w:sz w:val="24"/>
              </w:rPr>
            </w:pPr>
            <w:r>
              <w:rPr>
                <w:rFonts w:hint="eastAsia" w:ascii="仿宋" w:hAnsi="仿宋" w:eastAsia="仿宋" w:cs="仿宋"/>
                <w:color w:val="000000"/>
                <w:sz w:val="24"/>
              </w:rPr>
              <w:t>单位地址：</w:t>
            </w:r>
          </w:p>
        </w:tc>
        <w:tc>
          <w:tcPr>
            <w:tcW w:w="1807" w:type="pct"/>
            <w:vAlign w:val="center"/>
          </w:tcPr>
          <w:p w14:paraId="5B97C09F">
            <w:pPr>
              <w:snapToGrid w:val="0"/>
              <w:spacing w:line="360" w:lineRule="auto"/>
              <w:rPr>
                <w:rFonts w:ascii="仿宋" w:hAnsi="仿宋" w:eastAsia="仿宋" w:cs="仿宋"/>
                <w:color w:val="000000"/>
                <w:sz w:val="24"/>
              </w:rPr>
            </w:pPr>
          </w:p>
        </w:tc>
      </w:tr>
      <w:tr w14:paraId="606AE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68" w:type="pct"/>
          </w:tcPr>
          <w:p w14:paraId="302F8AC4">
            <w:pPr>
              <w:snapToGrid w:val="0"/>
              <w:spacing w:line="360" w:lineRule="auto"/>
              <w:rPr>
                <w:rFonts w:ascii="仿宋" w:hAnsi="仿宋" w:eastAsia="仿宋" w:cs="仿宋"/>
                <w:color w:val="000000"/>
                <w:sz w:val="24"/>
              </w:rPr>
            </w:pPr>
            <w:r>
              <w:rPr>
                <w:rFonts w:hint="eastAsia" w:ascii="仿宋" w:hAnsi="仿宋" w:eastAsia="仿宋" w:cs="仿宋"/>
                <w:color w:val="000000"/>
                <w:sz w:val="24"/>
              </w:rPr>
              <w:t>电    话：</w:t>
            </w:r>
          </w:p>
        </w:tc>
        <w:tc>
          <w:tcPr>
            <w:tcW w:w="1678" w:type="pct"/>
          </w:tcPr>
          <w:p w14:paraId="3E6F3E73">
            <w:pPr>
              <w:snapToGrid w:val="0"/>
              <w:spacing w:line="360" w:lineRule="auto"/>
              <w:rPr>
                <w:rFonts w:ascii="仿宋" w:hAnsi="仿宋" w:eastAsia="仿宋" w:cs="仿宋"/>
                <w:color w:val="000000"/>
                <w:sz w:val="24"/>
              </w:rPr>
            </w:pPr>
            <w:r>
              <w:rPr>
                <w:rFonts w:hint="eastAsia" w:ascii="仿宋" w:hAnsi="仿宋" w:eastAsia="仿宋" w:cs="仿宋"/>
                <w:color w:val="000000"/>
                <w:sz w:val="24"/>
              </w:rPr>
              <w:t>029-88490077</w:t>
            </w:r>
          </w:p>
        </w:tc>
        <w:tc>
          <w:tcPr>
            <w:tcW w:w="746" w:type="pct"/>
          </w:tcPr>
          <w:p w14:paraId="0D071859">
            <w:pPr>
              <w:snapToGrid w:val="0"/>
              <w:spacing w:line="360" w:lineRule="auto"/>
              <w:rPr>
                <w:rFonts w:ascii="仿宋" w:hAnsi="仿宋" w:eastAsia="仿宋" w:cs="仿宋"/>
                <w:color w:val="000000"/>
                <w:sz w:val="24"/>
              </w:rPr>
            </w:pPr>
            <w:r>
              <w:rPr>
                <w:rFonts w:hint="eastAsia" w:ascii="仿宋" w:hAnsi="仿宋" w:eastAsia="仿宋" w:cs="仿宋"/>
                <w:color w:val="000000"/>
                <w:sz w:val="24"/>
              </w:rPr>
              <w:t>电    话：</w:t>
            </w:r>
          </w:p>
        </w:tc>
        <w:tc>
          <w:tcPr>
            <w:tcW w:w="1807" w:type="pct"/>
          </w:tcPr>
          <w:p w14:paraId="78BBA5CD">
            <w:pPr>
              <w:snapToGrid w:val="0"/>
              <w:spacing w:line="360" w:lineRule="auto"/>
              <w:rPr>
                <w:rFonts w:ascii="仿宋" w:hAnsi="仿宋" w:eastAsia="仿宋" w:cs="仿宋"/>
                <w:color w:val="000000"/>
                <w:sz w:val="24"/>
              </w:rPr>
            </w:pPr>
          </w:p>
        </w:tc>
      </w:tr>
      <w:tr w14:paraId="593D7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68" w:type="pct"/>
          </w:tcPr>
          <w:p w14:paraId="27E9F8D1">
            <w:pPr>
              <w:snapToGrid w:val="0"/>
              <w:spacing w:line="360" w:lineRule="auto"/>
              <w:rPr>
                <w:rFonts w:ascii="仿宋" w:hAnsi="仿宋" w:eastAsia="仿宋" w:cs="仿宋"/>
                <w:color w:val="000000"/>
                <w:sz w:val="24"/>
              </w:rPr>
            </w:pPr>
            <w:r>
              <w:rPr>
                <w:rFonts w:hint="eastAsia" w:ascii="仿宋" w:hAnsi="仿宋" w:eastAsia="仿宋" w:cs="仿宋"/>
                <w:color w:val="000000"/>
                <w:sz w:val="24"/>
              </w:rPr>
              <w:t>银    行：</w:t>
            </w:r>
          </w:p>
        </w:tc>
        <w:tc>
          <w:tcPr>
            <w:tcW w:w="1678" w:type="pct"/>
          </w:tcPr>
          <w:p w14:paraId="654D56FA">
            <w:pPr>
              <w:snapToGrid w:val="0"/>
              <w:spacing w:line="360" w:lineRule="auto"/>
              <w:rPr>
                <w:rFonts w:ascii="仿宋" w:hAnsi="仿宋" w:eastAsia="仿宋" w:cs="仿宋"/>
                <w:color w:val="000000"/>
                <w:sz w:val="24"/>
              </w:rPr>
            </w:pPr>
            <w:r>
              <w:rPr>
                <w:rFonts w:hint="eastAsia" w:ascii="仿宋" w:hAnsi="仿宋" w:eastAsia="仿宋" w:cs="仿宋"/>
                <w:color w:val="000000"/>
                <w:sz w:val="24"/>
              </w:rPr>
              <w:t>中国农业银行西安昆明路支行</w:t>
            </w:r>
          </w:p>
        </w:tc>
        <w:tc>
          <w:tcPr>
            <w:tcW w:w="746" w:type="pct"/>
          </w:tcPr>
          <w:p w14:paraId="4C63D6F5">
            <w:pPr>
              <w:snapToGrid w:val="0"/>
              <w:spacing w:line="360" w:lineRule="auto"/>
              <w:rPr>
                <w:rFonts w:ascii="仿宋" w:hAnsi="仿宋" w:eastAsia="仿宋" w:cs="仿宋"/>
                <w:color w:val="000000"/>
                <w:sz w:val="24"/>
              </w:rPr>
            </w:pPr>
            <w:r>
              <w:rPr>
                <w:rFonts w:hint="eastAsia" w:ascii="仿宋" w:hAnsi="仿宋" w:eastAsia="仿宋" w:cs="仿宋"/>
                <w:color w:val="000000"/>
                <w:sz w:val="24"/>
              </w:rPr>
              <w:t xml:space="preserve">开户银行： </w:t>
            </w:r>
          </w:p>
        </w:tc>
        <w:tc>
          <w:tcPr>
            <w:tcW w:w="1807" w:type="pct"/>
          </w:tcPr>
          <w:p w14:paraId="754F356F">
            <w:pPr>
              <w:snapToGrid w:val="0"/>
              <w:spacing w:line="360" w:lineRule="auto"/>
              <w:rPr>
                <w:rFonts w:ascii="仿宋" w:hAnsi="仿宋" w:eastAsia="仿宋" w:cs="仿宋"/>
                <w:color w:val="000000"/>
                <w:sz w:val="24"/>
              </w:rPr>
            </w:pPr>
          </w:p>
        </w:tc>
      </w:tr>
      <w:tr w14:paraId="3A886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68" w:type="pct"/>
          </w:tcPr>
          <w:p w14:paraId="06617885">
            <w:pPr>
              <w:snapToGrid w:val="0"/>
              <w:spacing w:line="360" w:lineRule="auto"/>
              <w:rPr>
                <w:rFonts w:ascii="仿宋" w:hAnsi="仿宋" w:eastAsia="仿宋" w:cs="仿宋"/>
                <w:color w:val="000000"/>
                <w:sz w:val="24"/>
              </w:rPr>
            </w:pPr>
            <w:r>
              <w:rPr>
                <w:rFonts w:hint="eastAsia" w:ascii="仿宋" w:hAnsi="仿宋" w:eastAsia="仿宋" w:cs="仿宋"/>
                <w:color w:val="000000"/>
                <w:sz w:val="24"/>
              </w:rPr>
              <w:t>账    号：</w:t>
            </w:r>
          </w:p>
        </w:tc>
        <w:tc>
          <w:tcPr>
            <w:tcW w:w="1678" w:type="pct"/>
          </w:tcPr>
          <w:p w14:paraId="24575D7B">
            <w:pPr>
              <w:snapToGrid w:val="0"/>
              <w:spacing w:line="360" w:lineRule="auto"/>
              <w:rPr>
                <w:rFonts w:ascii="仿宋" w:hAnsi="仿宋" w:eastAsia="仿宋" w:cs="仿宋"/>
                <w:color w:val="000000"/>
                <w:sz w:val="24"/>
              </w:rPr>
            </w:pPr>
            <w:r>
              <w:rPr>
                <w:rFonts w:hint="eastAsia" w:ascii="仿宋" w:hAnsi="仿宋" w:eastAsia="仿宋" w:cs="仿宋"/>
                <w:color w:val="000000"/>
                <w:sz w:val="24"/>
              </w:rPr>
              <w:t>2614 2601 0400 17869</w:t>
            </w:r>
          </w:p>
        </w:tc>
        <w:tc>
          <w:tcPr>
            <w:tcW w:w="746" w:type="pct"/>
          </w:tcPr>
          <w:p w14:paraId="79B4F400">
            <w:pPr>
              <w:snapToGrid w:val="0"/>
              <w:spacing w:line="360" w:lineRule="auto"/>
              <w:rPr>
                <w:rFonts w:ascii="仿宋" w:hAnsi="仿宋" w:eastAsia="仿宋" w:cs="仿宋"/>
                <w:color w:val="000000"/>
                <w:sz w:val="24"/>
              </w:rPr>
            </w:pPr>
            <w:r>
              <w:rPr>
                <w:rFonts w:hint="eastAsia" w:ascii="仿宋" w:hAnsi="仿宋" w:eastAsia="仿宋" w:cs="仿宋"/>
                <w:color w:val="000000"/>
                <w:sz w:val="24"/>
              </w:rPr>
              <w:t>账    号：</w:t>
            </w:r>
          </w:p>
        </w:tc>
        <w:tc>
          <w:tcPr>
            <w:tcW w:w="1807" w:type="pct"/>
          </w:tcPr>
          <w:p w14:paraId="5B954470">
            <w:pPr>
              <w:snapToGrid w:val="0"/>
              <w:spacing w:line="360" w:lineRule="auto"/>
              <w:rPr>
                <w:rFonts w:ascii="仿宋" w:hAnsi="仿宋" w:eastAsia="仿宋" w:cs="仿宋"/>
                <w:color w:val="000000"/>
                <w:sz w:val="24"/>
              </w:rPr>
            </w:pPr>
          </w:p>
        </w:tc>
      </w:tr>
      <w:tr w14:paraId="45E20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68" w:type="pct"/>
          </w:tcPr>
          <w:p w14:paraId="40198CB8">
            <w:pPr>
              <w:snapToGrid w:val="0"/>
              <w:spacing w:line="360" w:lineRule="auto"/>
              <w:rPr>
                <w:rFonts w:ascii="仿宋" w:hAnsi="仿宋" w:eastAsia="仿宋" w:cs="仿宋"/>
                <w:color w:val="000000"/>
                <w:sz w:val="24"/>
              </w:rPr>
            </w:pPr>
            <w:r>
              <w:rPr>
                <w:rFonts w:hint="eastAsia" w:ascii="仿宋" w:hAnsi="仿宋" w:eastAsia="仿宋" w:cs="仿宋"/>
                <w:color w:val="000000"/>
                <w:sz w:val="24"/>
              </w:rPr>
              <w:t>法定代表人或委托代理人：</w:t>
            </w:r>
          </w:p>
        </w:tc>
        <w:tc>
          <w:tcPr>
            <w:tcW w:w="1678" w:type="pct"/>
          </w:tcPr>
          <w:p w14:paraId="6EA5A436">
            <w:pPr>
              <w:snapToGrid w:val="0"/>
              <w:spacing w:line="360" w:lineRule="auto"/>
              <w:rPr>
                <w:rFonts w:ascii="仿宋" w:hAnsi="仿宋" w:eastAsia="仿宋" w:cs="仿宋"/>
                <w:color w:val="000000"/>
                <w:sz w:val="24"/>
              </w:rPr>
            </w:pPr>
          </w:p>
        </w:tc>
        <w:tc>
          <w:tcPr>
            <w:tcW w:w="746" w:type="pct"/>
          </w:tcPr>
          <w:p w14:paraId="0319D931">
            <w:pPr>
              <w:snapToGrid w:val="0"/>
              <w:spacing w:line="360" w:lineRule="auto"/>
              <w:rPr>
                <w:rFonts w:ascii="仿宋" w:hAnsi="仿宋" w:eastAsia="仿宋" w:cs="仿宋"/>
                <w:color w:val="000000"/>
                <w:sz w:val="24"/>
              </w:rPr>
            </w:pPr>
            <w:r>
              <w:rPr>
                <w:rFonts w:hint="eastAsia" w:ascii="仿宋" w:hAnsi="仿宋" w:eastAsia="仿宋" w:cs="仿宋"/>
                <w:color w:val="000000"/>
                <w:sz w:val="24"/>
              </w:rPr>
              <w:t>法定代表人或委托代理人：</w:t>
            </w:r>
          </w:p>
        </w:tc>
        <w:tc>
          <w:tcPr>
            <w:tcW w:w="1807" w:type="pct"/>
          </w:tcPr>
          <w:p w14:paraId="662C774D">
            <w:pPr>
              <w:snapToGrid w:val="0"/>
              <w:spacing w:line="360" w:lineRule="auto"/>
              <w:rPr>
                <w:rFonts w:ascii="仿宋" w:hAnsi="仿宋" w:eastAsia="仿宋" w:cs="仿宋"/>
                <w:color w:val="000000"/>
                <w:sz w:val="24"/>
              </w:rPr>
            </w:pPr>
          </w:p>
          <w:p w14:paraId="0FCA46CD">
            <w:pPr>
              <w:snapToGrid w:val="0"/>
              <w:spacing w:line="360" w:lineRule="auto"/>
              <w:rPr>
                <w:rFonts w:ascii="仿宋" w:hAnsi="仿宋" w:eastAsia="仿宋" w:cs="仿宋"/>
                <w:color w:val="000000"/>
                <w:sz w:val="24"/>
              </w:rPr>
            </w:pPr>
          </w:p>
        </w:tc>
      </w:tr>
      <w:tr w14:paraId="54E9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68" w:type="pct"/>
          </w:tcPr>
          <w:p w14:paraId="0A03537F">
            <w:pPr>
              <w:snapToGrid w:val="0"/>
              <w:spacing w:line="360" w:lineRule="auto"/>
              <w:rPr>
                <w:rFonts w:ascii="仿宋" w:hAnsi="仿宋" w:eastAsia="仿宋" w:cs="仿宋"/>
                <w:color w:val="000000"/>
                <w:sz w:val="24"/>
              </w:rPr>
            </w:pPr>
            <w:r>
              <w:rPr>
                <w:rFonts w:hint="eastAsia" w:ascii="仿宋" w:hAnsi="仿宋" w:eastAsia="仿宋" w:cs="仿宋"/>
                <w:color w:val="000000"/>
                <w:sz w:val="24"/>
              </w:rPr>
              <w:t>签订日期：</w:t>
            </w:r>
          </w:p>
        </w:tc>
        <w:tc>
          <w:tcPr>
            <w:tcW w:w="1678" w:type="pct"/>
          </w:tcPr>
          <w:p w14:paraId="6BF5BE3E">
            <w:pPr>
              <w:snapToGrid w:val="0"/>
              <w:spacing w:line="360" w:lineRule="auto"/>
              <w:rPr>
                <w:rFonts w:ascii="仿宋" w:hAnsi="仿宋" w:eastAsia="仿宋" w:cs="仿宋"/>
                <w:color w:val="000000"/>
                <w:sz w:val="24"/>
              </w:rPr>
            </w:pPr>
            <w:r>
              <w:rPr>
                <w:rFonts w:hint="eastAsia" w:ascii="仿宋" w:hAnsi="仿宋" w:eastAsia="仿宋" w:cs="仿宋"/>
                <w:sz w:val="24"/>
              </w:rPr>
              <w:t xml:space="preserve">      年  月  日</w:t>
            </w:r>
          </w:p>
        </w:tc>
        <w:tc>
          <w:tcPr>
            <w:tcW w:w="746" w:type="pct"/>
          </w:tcPr>
          <w:p w14:paraId="58C14F62">
            <w:pPr>
              <w:snapToGrid w:val="0"/>
              <w:spacing w:line="360" w:lineRule="auto"/>
              <w:rPr>
                <w:rFonts w:ascii="仿宋" w:hAnsi="仿宋" w:eastAsia="仿宋" w:cs="仿宋"/>
                <w:color w:val="000000"/>
                <w:sz w:val="24"/>
              </w:rPr>
            </w:pPr>
            <w:r>
              <w:rPr>
                <w:rFonts w:hint="eastAsia" w:ascii="仿宋" w:hAnsi="仿宋" w:eastAsia="仿宋" w:cs="仿宋"/>
                <w:color w:val="000000"/>
                <w:sz w:val="24"/>
              </w:rPr>
              <w:t>签订日期：</w:t>
            </w:r>
          </w:p>
        </w:tc>
        <w:tc>
          <w:tcPr>
            <w:tcW w:w="1807" w:type="pct"/>
          </w:tcPr>
          <w:p w14:paraId="4BCAD62E">
            <w:pPr>
              <w:snapToGrid w:val="0"/>
              <w:spacing w:line="360" w:lineRule="auto"/>
              <w:rPr>
                <w:rFonts w:ascii="仿宋" w:hAnsi="仿宋" w:eastAsia="仿宋" w:cs="仿宋"/>
                <w:color w:val="000000"/>
                <w:sz w:val="24"/>
              </w:rPr>
            </w:pPr>
            <w:r>
              <w:rPr>
                <w:rFonts w:hint="eastAsia" w:ascii="仿宋" w:hAnsi="仿宋" w:eastAsia="仿宋" w:cs="仿宋"/>
                <w:sz w:val="24"/>
              </w:rPr>
              <w:t xml:space="preserve">      年  月  日</w:t>
            </w:r>
          </w:p>
        </w:tc>
      </w:tr>
    </w:tbl>
    <w:p w14:paraId="2F6DF056">
      <w:pPr>
        <w:adjustRightInd w:val="0"/>
        <w:spacing w:line="360" w:lineRule="auto"/>
        <w:rPr>
          <w:rFonts w:ascii="仿宋" w:hAnsi="仿宋" w:eastAsia="仿宋" w:cs="仿宋"/>
          <w:sz w:val="24"/>
          <w:lang w:eastAsia="zh-Hans"/>
        </w:rPr>
      </w:pPr>
    </w:p>
    <w:p w14:paraId="284373E6">
      <w:pPr>
        <w:rPr>
          <w:rFonts w:eastAsia="仿宋"/>
          <w:sz w:val="32"/>
          <w:szCs w:val="20"/>
        </w:rPr>
      </w:pPr>
      <w:r>
        <w:rPr>
          <w:rFonts w:eastAsia="仿宋"/>
          <w:sz w:val="32"/>
          <w:szCs w:val="20"/>
        </w:rPr>
        <w:br w:type="page"/>
      </w:r>
    </w:p>
    <w:p w14:paraId="59981AF0">
      <w:pPr>
        <w:adjustRightInd w:val="0"/>
        <w:spacing w:line="360" w:lineRule="auto"/>
        <w:rPr>
          <w:rFonts w:eastAsia="仿宋"/>
          <w:b/>
          <w:bCs/>
          <w:sz w:val="32"/>
          <w:szCs w:val="20"/>
        </w:rPr>
      </w:pPr>
      <w:r>
        <w:rPr>
          <w:rFonts w:hint="eastAsia" w:ascii="仿宋" w:hAnsi="仿宋" w:eastAsia="仿宋" w:cs="仿宋"/>
          <w:b/>
          <w:bCs/>
          <w:sz w:val="24"/>
        </w:rPr>
        <w:t>附件1：</w:t>
      </w:r>
      <w:r>
        <w:rPr>
          <w:rFonts w:hint="eastAsia" w:ascii="仿宋" w:hAnsi="仿宋" w:eastAsia="仿宋" w:cs="仿宋"/>
          <w:b/>
          <w:bCs/>
          <w:sz w:val="24"/>
          <w:u w:val="single"/>
        </w:rPr>
        <w:t>XX</w:t>
      </w:r>
      <w:r>
        <w:rPr>
          <w:rFonts w:hint="eastAsia" w:ascii="仿宋" w:hAnsi="仿宋" w:eastAsia="仿宋" w:cs="仿宋"/>
          <w:b/>
          <w:bCs/>
          <w:sz w:val="24"/>
        </w:rPr>
        <w:t>软件系统维护范围清单</w:t>
      </w:r>
    </w:p>
    <w:p w14:paraId="1250380F">
      <w:pPr>
        <w:rPr>
          <w:rFonts w:eastAsia="仿宋"/>
          <w:sz w:val="32"/>
          <w:szCs w:val="20"/>
        </w:rPr>
      </w:pPr>
      <w:r>
        <w:rPr>
          <w:rFonts w:eastAsia="仿宋"/>
          <w:sz w:val="32"/>
          <w:szCs w:val="20"/>
        </w:rPr>
        <w:br w:type="page"/>
      </w:r>
    </w:p>
    <w:p w14:paraId="53EBB1B9">
      <w:pPr>
        <w:adjustRightInd w:val="0"/>
        <w:spacing w:line="360" w:lineRule="auto"/>
        <w:rPr>
          <w:rFonts w:ascii="仿宋" w:hAnsi="仿宋" w:eastAsia="仿宋" w:cs="仿宋"/>
          <w:b/>
          <w:bCs/>
          <w:sz w:val="24"/>
        </w:rPr>
      </w:pPr>
      <w:r>
        <w:rPr>
          <w:rFonts w:hint="eastAsia" w:ascii="仿宋" w:hAnsi="仿宋" w:eastAsia="仿宋" w:cs="仿宋"/>
          <w:b/>
          <w:bCs/>
          <w:sz w:val="24"/>
        </w:rPr>
        <w:t>附件2：信息系统售后运维服务质量评价标准</w:t>
      </w:r>
    </w:p>
    <w:p w14:paraId="09ECD56A">
      <w:pPr>
        <w:snapToGrid w:val="0"/>
        <w:spacing w:line="240" w:lineRule="auto"/>
        <w:jc w:val="left"/>
        <w:rPr>
          <w:rFonts w:ascii="仿宋" w:hAnsi="仿宋" w:eastAsia="仿宋" w:cs="仿宋"/>
          <w:sz w:val="24"/>
        </w:rPr>
      </w:pPr>
      <w:r>
        <w:rPr>
          <w:rFonts w:hint="eastAsia" w:ascii="仿宋" w:hAnsi="仿宋" w:eastAsia="仿宋" w:cs="仿宋"/>
          <w:sz w:val="24"/>
        </w:rPr>
        <w:t>本标准为项目考核验收的唯一依据，满分100分，具体评分规则如下：</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584"/>
        <w:gridCol w:w="1312"/>
        <w:gridCol w:w="1896"/>
        <w:gridCol w:w="874"/>
        <w:gridCol w:w="874"/>
        <w:gridCol w:w="3936"/>
      </w:tblGrid>
      <w:tr w14:paraId="2D05F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tcMar>
              <w:top w:w="60" w:type="dxa"/>
              <w:left w:w="120" w:type="dxa"/>
              <w:bottom w:w="30" w:type="dxa"/>
              <w:right w:w="120" w:type="dxa"/>
            </w:tcMar>
            <w:vAlign w:val="center"/>
          </w:tcPr>
          <w:p w14:paraId="1B1B3711">
            <w:pPr>
              <w:snapToGrid w:val="0"/>
              <w:spacing w:line="240" w:lineRule="auto"/>
              <w:jc w:val="center"/>
              <w:rPr>
                <w:rFonts w:ascii="仿宋" w:hAnsi="仿宋" w:eastAsia="仿宋" w:cs="仿宋"/>
                <w:b/>
                <w:sz w:val="24"/>
              </w:rPr>
            </w:pPr>
            <w:r>
              <w:rPr>
                <w:rFonts w:hint="eastAsia" w:ascii="仿宋" w:hAnsi="仿宋" w:eastAsia="仿宋" w:cs="仿宋"/>
                <w:b/>
                <w:sz w:val="24"/>
              </w:rPr>
              <w:t>序号</w:t>
            </w:r>
          </w:p>
        </w:tc>
        <w:tc>
          <w:tcPr>
            <w:tcW w:w="692" w:type="pct"/>
            <w:tcMar>
              <w:top w:w="60" w:type="dxa"/>
              <w:left w:w="120" w:type="dxa"/>
              <w:bottom w:w="30" w:type="dxa"/>
              <w:right w:w="120" w:type="dxa"/>
            </w:tcMar>
            <w:vAlign w:val="center"/>
          </w:tcPr>
          <w:p w14:paraId="23E0F28F">
            <w:pPr>
              <w:snapToGrid w:val="0"/>
              <w:spacing w:line="240" w:lineRule="auto"/>
              <w:jc w:val="center"/>
              <w:rPr>
                <w:rFonts w:ascii="仿宋" w:hAnsi="仿宋" w:eastAsia="仿宋" w:cs="仿宋"/>
                <w:b/>
                <w:sz w:val="24"/>
              </w:rPr>
            </w:pPr>
            <w:r>
              <w:rPr>
                <w:rFonts w:hint="eastAsia" w:ascii="仿宋" w:hAnsi="仿宋" w:eastAsia="仿宋" w:cs="仿宋"/>
                <w:b/>
                <w:sz w:val="24"/>
              </w:rPr>
              <w:t>一级评价项目</w:t>
            </w:r>
          </w:p>
        </w:tc>
        <w:tc>
          <w:tcPr>
            <w:tcW w:w="1000" w:type="pct"/>
            <w:tcMar>
              <w:top w:w="60" w:type="dxa"/>
              <w:left w:w="120" w:type="dxa"/>
              <w:bottom w:w="30" w:type="dxa"/>
              <w:right w:w="120" w:type="dxa"/>
            </w:tcMar>
            <w:vAlign w:val="center"/>
          </w:tcPr>
          <w:p w14:paraId="731642F1">
            <w:pPr>
              <w:snapToGrid w:val="0"/>
              <w:spacing w:line="240" w:lineRule="auto"/>
              <w:jc w:val="center"/>
              <w:rPr>
                <w:rFonts w:ascii="仿宋" w:hAnsi="仿宋" w:eastAsia="仿宋" w:cs="仿宋"/>
                <w:b/>
                <w:sz w:val="24"/>
              </w:rPr>
            </w:pPr>
            <w:r>
              <w:rPr>
                <w:rFonts w:hint="eastAsia" w:ascii="仿宋" w:hAnsi="仿宋" w:eastAsia="仿宋" w:cs="仿宋"/>
                <w:b/>
                <w:sz w:val="24"/>
              </w:rPr>
              <w:t>二级评价项目</w:t>
            </w:r>
          </w:p>
        </w:tc>
        <w:tc>
          <w:tcPr>
            <w:tcW w:w="461" w:type="pct"/>
            <w:tcMar>
              <w:top w:w="60" w:type="dxa"/>
              <w:left w:w="120" w:type="dxa"/>
              <w:bottom w:w="30" w:type="dxa"/>
              <w:right w:w="120" w:type="dxa"/>
            </w:tcMar>
            <w:vAlign w:val="center"/>
          </w:tcPr>
          <w:p w14:paraId="533BC457">
            <w:pPr>
              <w:snapToGrid w:val="0"/>
              <w:spacing w:line="240" w:lineRule="auto"/>
              <w:jc w:val="center"/>
              <w:rPr>
                <w:rFonts w:ascii="仿宋" w:hAnsi="仿宋" w:eastAsia="仿宋" w:cs="仿宋"/>
                <w:b/>
                <w:sz w:val="24"/>
              </w:rPr>
            </w:pPr>
            <w:r>
              <w:rPr>
                <w:rFonts w:hint="eastAsia" w:ascii="仿宋" w:hAnsi="仿宋" w:eastAsia="仿宋" w:cs="仿宋"/>
                <w:b/>
                <w:sz w:val="24"/>
              </w:rPr>
              <w:t>分项分值</w:t>
            </w:r>
          </w:p>
        </w:tc>
        <w:tc>
          <w:tcPr>
            <w:tcW w:w="461" w:type="pct"/>
            <w:tcMar>
              <w:top w:w="60" w:type="dxa"/>
              <w:left w:w="120" w:type="dxa"/>
              <w:bottom w:w="30" w:type="dxa"/>
              <w:right w:w="120" w:type="dxa"/>
            </w:tcMar>
            <w:vAlign w:val="center"/>
          </w:tcPr>
          <w:p w14:paraId="42E91AE9">
            <w:pPr>
              <w:snapToGrid w:val="0"/>
              <w:spacing w:line="240" w:lineRule="auto"/>
              <w:jc w:val="center"/>
              <w:rPr>
                <w:rFonts w:ascii="仿宋" w:hAnsi="仿宋" w:eastAsia="仿宋" w:cs="仿宋"/>
                <w:b/>
                <w:sz w:val="24"/>
              </w:rPr>
            </w:pPr>
            <w:r>
              <w:rPr>
                <w:rFonts w:hint="eastAsia" w:ascii="仿宋" w:hAnsi="仿宋" w:eastAsia="仿宋" w:cs="仿宋"/>
                <w:b/>
                <w:sz w:val="24"/>
              </w:rPr>
              <w:t>明细分值</w:t>
            </w:r>
          </w:p>
        </w:tc>
        <w:tc>
          <w:tcPr>
            <w:tcW w:w="2076" w:type="pct"/>
            <w:tcMar>
              <w:top w:w="60" w:type="dxa"/>
              <w:left w:w="120" w:type="dxa"/>
              <w:bottom w:w="30" w:type="dxa"/>
              <w:right w:w="120" w:type="dxa"/>
            </w:tcMar>
            <w:vAlign w:val="center"/>
          </w:tcPr>
          <w:p w14:paraId="71D46986">
            <w:pPr>
              <w:snapToGrid w:val="0"/>
              <w:spacing w:line="240" w:lineRule="auto"/>
              <w:jc w:val="center"/>
              <w:rPr>
                <w:rFonts w:ascii="仿宋" w:hAnsi="仿宋" w:eastAsia="仿宋" w:cs="仿宋"/>
                <w:b/>
                <w:sz w:val="24"/>
              </w:rPr>
            </w:pPr>
            <w:r>
              <w:rPr>
                <w:rFonts w:hint="eastAsia" w:ascii="仿宋" w:hAnsi="仿宋" w:eastAsia="仿宋" w:cs="仿宋"/>
                <w:b/>
                <w:sz w:val="24"/>
              </w:rPr>
              <w:t>评分标准</w:t>
            </w:r>
          </w:p>
        </w:tc>
      </w:tr>
      <w:tr w14:paraId="364B9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restart"/>
            <w:tcMar>
              <w:top w:w="60" w:type="dxa"/>
              <w:left w:w="120" w:type="dxa"/>
              <w:bottom w:w="30" w:type="dxa"/>
              <w:right w:w="120" w:type="dxa"/>
            </w:tcMar>
            <w:vAlign w:val="center"/>
          </w:tcPr>
          <w:p w14:paraId="52CCA5FA">
            <w:pPr>
              <w:snapToGrid w:val="0"/>
              <w:spacing w:line="240" w:lineRule="auto"/>
              <w:jc w:val="center"/>
              <w:rPr>
                <w:rFonts w:ascii="仿宋" w:hAnsi="仿宋" w:eastAsia="仿宋" w:cs="仿宋"/>
                <w:sz w:val="24"/>
              </w:rPr>
            </w:pPr>
            <w:r>
              <w:rPr>
                <w:rFonts w:hint="eastAsia" w:ascii="仿宋" w:hAnsi="仿宋" w:eastAsia="仿宋" w:cs="仿宋"/>
                <w:sz w:val="24"/>
              </w:rPr>
              <w:t>1</w:t>
            </w:r>
          </w:p>
        </w:tc>
        <w:tc>
          <w:tcPr>
            <w:tcW w:w="692" w:type="pct"/>
            <w:vMerge w:val="restart"/>
            <w:tcMar>
              <w:top w:w="60" w:type="dxa"/>
              <w:left w:w="120" w:type="dxa"/>
              <w:bottom w:w="30" w:type="dxa"/>
              <w:right w:w="120" w:type="dxa"/>
            </w:tcMar>
            <w:vAlign w:val="center"/>
          </w:tcPr>
          <w:p w14:paraId="1B9FD38F">
            <w:pPr>
              <w:snapToGrid w:val="0"/>
              <w:spacing w:line="240" w:lineRule="auto"/>
              <w:jc w:val="center"/>
              <w:rPr>
                <w:rFonts w:ascii="仿宋" w:hAnsi="仿宋" w:eastAsia="仿宋" w:cs="仿宋"/>
                <w:sz w:val="24"/>
              </w:rPr>
            </w:pPr>
            <w:r>
              <w:rPr>
                <w:rFonts w:hint="eastAsia" w:ascii="仿宋" w:hAnsi="仿宋" w:eastAsia="仿宋" w:cs="仿宋"/>
                <w:sz w:val="24"/>
              </w:rPr>
              <w:t>日常售后运维服务（25分）</w:t>
            </w:r>
          </w:p>
        </w:tc>
        <w:tc>
          <w:tcPr>
            <w:tcW w:w="1000" w:type="pct"/>
            <w:vMerge w:val="restart"/>
            <w:tcMar>
              <w:top w:w="60" w:type="dxa"/>
              <w:left w:w="120" w:type="dxa"/>
              <w:bottom w:w="30" w:type="dxa"/>
              <w:right w:w="120" w:type="dxa"/>
            </w:tcMar>
            <w:vAlign w:val="center"/>
          </w:tcPr>
          <w:p w14:paraId="5FED7F25">
            <w:pPr>
              <w:snapToGrid w:val="0"/>
              <w:spacing w:line="240" w:lineRule="auto"/>
              <w:jc w:val="center"/>
              <w:rPr>
                <w:rFonts w:ascii="仿宋" w:hAnsi="仿宋" w:eastAsia="仿宋" w:cs="仿宋"/>
                <w:sz w:val="24"/>
              </w:rPr>
            </w:pPr>
            <w:r>
              <w:rPr>
                <w:rFonts w:hint="eastAsia" w:ascii="仿宋" w:hAnsi="仿宋" w:eastAsia="仿宋" w:cs="仿宋"/>
                <w:sz w:val="24"/>
              </w:rPr>
              <w:t>故障响应及时性</w:t>
            </w:r>
          </w:p>
        </w:tc>
        <w:tc>
          <w:tcPr>
            <w:tcW w:w="461" w:type="pct"/>
            <w:vMerge w:val="restart"/>
            <w:tcMar>
              <w:top w:w="60" w:type="dxa"/>
              <w:left w:w="120" w:type="dxa"/>
              <w:bottom w:w="30" w:type="dxa"/>
              <w:right w:w="120" w:type="dxa"/>
            </w:tcMar>
            <w:vAlign w:val="center"/>
          </w:tcPr>
          <w:p w14:paraId="77495F01">
            <w:pPr>
              <w:snapToGrid w:val="0"/>
              <w:spacing w:line="240" w:lineRule="auto"/>
              <w:jc w:val="center"/>
              <w:rPr>
                <w:rFonts w:ascii="仿宋" w:hAnsi="仿宋" w:eastAsia="仿宋" w:cs="仿宋"/>
                <w:sz w:val="24"/>
              </w:rPr>
            </w:pPr>
            <w:r>
              <w:rPr>
                <w:rFonts w:hint="eastAsia" w:ascii="仿宋" w:hAnsi="仿宋" w:eastAsia="仿宋" w:cs="仿宋"/>
                <w:sz w:val="24"/>
              </w:rPr>
              <w:t>10</w:t>
            </w:r>
          </w:p>
        </w:tc>
        <w:tc>
          <w:tcPr>
            <w:tcW w:w="461" w:type="pct"/>
            <w:tcMar>
              <w:top w:w="60" w:type="dxa"/>
              <w:left w:w="120" w:type="dxa"/>
              <w:bottom w:w="30" w:type="dxa"/>
              <w:right w:w="120" w:type="dxa"/>
            </w:tcMar>
            <w:vAlign w:val="center"/>
          </w:tcPr>
          <w:p w14:paraId="3985206B">
            <w:pPr>
              <w:snapToGrid w:val="0"/>
              <w:spacing w:line="240" w:lineRule="auto"/>
              <w:jc w:val="center"/>
              <w:rPr>
                <w:rFonts w:ascii="仿宋" w:hAnsi="仿宋" w:eastAsia="仿宋" w:cs="仿宋"/>
                <w:sz w:val="24"/>
              </w:rPr>
            </w:pPr>
            <w:r>
              <w:rPr>
                <w:rFonts w:hint="eastAsia" w:ascii="仿宋" w:hAnsi="仿宋" w:eastAsia="仿宋" w:cs="仿宋"/>
                <w:sz w:val="24"/>
              </w:rPr>
              <w:t>3</w:t>
            </w:r>
          </w:p>
        </w:tc>
        <w:tc>
          <w:tcPr>
            <w:tcW w:w="2076" w:type="pct"/>
            <w:tcMar>
              <w:top w:w="60" w:type="dxa"/>
              <w:left w:w="120" w:type="dxa"/>
              <w:bottom w:w="30" w:type="dxa"/>
              <w:right w:w="120" w:type="dxa"/>
            </w:tcMar>
            <w:vAlign w:val="center"/>
          </w:tcPr>
          <w:p w14:paraId="1C5A5E2C">
            <w:pPr>
              <w:snapToGrid w:val="0"/>
              <w:spacing w:line="240" w:lineRule="auto"/>
              <w:rPr>
                <w:rFonts w:ascii="仿宋" w:hAnsi="仿宋" w:eastAsia="仿宋" w:cs="仿宋"/>
                <w:sz w:val="24"/>
              </w:rPr>
            </w:pPr>
            <w:r>
              <w:rPr>
                <w:rFonts w:hint="eastAsia" w:ascii="仿宋" w:hAnsi="仿宋" w:eastAsia="仿宋" w:cs="仿宋"/>
                <w:sz w:val="24"/>
              </w:rPr>
              <w:t>服务期内一级故障响应时间超时（＞10分钟），扣3分/次</w:t>
            </w:r>
          </w:p>
        </w:tc>
      </w:tr>
      <w:tr w14:paraId="05960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5933BB78">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620BF189">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442EA205">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0A6C411B">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14AF935C">
            <w:pPr>
              <w:snapToGrid w:val="0"/>
              <w:spacing w:line="240" w:lineRule="auto"/>
              <w:jc w:val="center"/>
              <w:rPr>
                <w:rFonts w:ascii="仿宋" w:hAnsi="仿宋" w:eastAsia="仿宋" w:cs="仿宋"/>
                <w:sz w:val="24"/>
              </w:rPr>
            </w:pPr>
            <w:r>
              <w:rPr>
                <w:rFonts w:hint="eastAsia" w:ascii="仿宋" w:hAnsi="仿宋" w:eastAsia="仿宋" w:cs="仿宋"/>
                <w:sz w:val="24"/>
              </w:rPr>
              <w:t>2</w:t>
            </w:r>
          </w:p>
        </w:tc>
        <w:tc>
          <w:tcPr>
            <w:tcW w:w="2076" w:type="pct"/>
            <w:tcMar>
              <w:top w:w="60" w:type="dxa"/>
              <w:left w:w="120" w:type="dxa"/>
              <w:bottom w:w="30" w:type="dxa"/>
              <w:right w:w="120" w:type="dxa"/>
            </w:tcMar>
            <w:vAlign w:val="center"/>
          </w:tcPr>
          <w:p w14:paraId="695CBB8F">
            <w:pPr>
              <w:snapToGrid w:val="0"/>
              <w:spacing w:line="240" w:lineRule="auto"/>
              <w:rPr>
                <w:rFonts w:ascii="仿宋" w:hAnsi="仿宋" w:eastAsia="仿宋" w:cs="仿宋"/>
                <w:sz w:val="24"/>
              </w:rPr>
            </w:pPr>
            <w:r>
              <w:rPr>
                <w:rFonts w:hint="eastAsia" w:ascii="仿宋" w:hAnsi="仿宋" w:eastAsia="仿宋" w:cs="仿宋"/>
                <w:sz w:val="24"/>
              </w:rPr>
              <w:t>服务期内二级故障响应时间超时（＞30分钟），扣1分/次</w:t>
            </w:r>
          </w:p>
        </w:tc>
      </w:tr>
      <w:tr w14:paraId="4F7B4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19A7DB9C">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1BA57D54">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5A5F3C5B">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31C37F60">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30C795E3">
            <w:pPr>
              <w:snapToGrid w:val="0"/>
              <w:spacing w:line="240" w:lineRule="auto"/>
              <w:jc w:val="center"/>
              <w:rPr>
                <w:rFonts w:ascii="仿宋" w:hAnsi="仿宋" w:eastAsia="仿宋" w:cs="仿宋"/>
                <w:sz w:val="24"/>
              </w:rPr>
            </w:pPr>
            <w:r>
              <w:rPr>
                <w:rFonts w:hint="eastAsia" w:ascii="仿宋" w:hAnsi="仿宋" w:eastAsia="仿宋" w:cs="仿宋"/>
                <w:sz w:val="24"/>
              </w:rPr>
              <w:t>2</w:t>
            </w:r>
          </w:p>
        </w:tc>
        <w:tc>
          <w:tcPr>
            <w:tcW w:w="2076" w:type="pct"/>
            <w:tcMar>
              <w:top w:w="60" w:type="dxa"/>
              <w:left w:w="120" w:type="dxa"/>
              <w:bottom w:w="30" w:type="dxa"/>
              <w:right w:w="120" w:type="dxa"/>
            </w:tcMar>
            <w:vAlign w:val="center"/>
          </w:tcPr>
          <w:p w14:paraId="2FAA28D0">
            <w:pPr>
              <w:snapToGrid w:val="0"/>
              <w:spacing w:line="240" w:lineRule="auto"/>
              <w:rPr>
                <w:rFonts w:ascii="仿宋" w:hAnsi="仿宋" w:eastAsia="仿宋" w:cs="仿宋"/>
                <w:sz w:val="24"/>
              </w:rPr>
            </w:pPr>
            <w:r>
              <w:rPr>
                <w:rFonts w:hint="eastAsia" w:ascii="仿宋" w:hAnsi="仿宋" w:eastAsia="仿宋" w:cs="仿宋"/>
                <w:sz w:val="24"/>
              </w:rPr>
              <w:t>服务期内三级故障响应时间超时（＞30分钟），扣0.5分/次</w:t>
            </w:r>
          </w:p>
        </w:tc>
      </w:tr>
      <w:tr w14:paraId="66358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792B37EA">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08E3F2C5">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60E4FEDA">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296A48D8">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14672D9B">
            <w:pPr>
              <w:snapToGrid w:val="0"/>
              <w:spacing w:line="240" w:lineRule="auto"/>
              <w:jc w:val="center"/>
              <w:rPr>
                <w:rFonts w:ascii="仿宋" w:hAnsi="仿宋" w:eastAsia="仿宋" w:cs="仿宋"/>
                <w:sz w:val="24"/>
              </w:rPr>
            </w:pPr>
            <w:r>
              <w:rPr>
                <w:rFonts w:hint="eastAsia" w:ascii="仿宋" w:hAnsi="仿宋" w:eastAsia="仿宋" w:cs="仿宋"/>
                <w:sz w:val="24"/>
              </w:rPr>
              <w:t>3</w:t>
            </w:r>
          </w:p>
        </w:tc>
        <w:tc>
          <w:tcPr>
            <w:tcW w:w="2076" w:type="pct"/>
            <w:tcMar>
              <w:top w:w="60" w:type="dxa"/>
              <w:left w:w="120" w:type="dxa"/>
              <w:bottom w:w="30" w:type="dxa"/>
              <w:right w:w="120" w:type="dxa"/>
            </w:tcMar>
            <w:vAlign w:val="center"/>
          </w:tcPr>
          <w:p w14:paraId="6D111E9F">
            <w:pPr>
              <w:snapToGrid w:val="0"/>
              <w:spacing w:line="240" w:lineRule="auto"/>
              <w:rPr>
                <w:rFonts w:ascii="仿宋" w:hAnsi="仿宋" w:eastAsia="仿宋" w:cs="仿宋"/>
                <w:sz w:val="24"/>
              </w:rPr>
            </w:pPr>
            <w:r>
              <w:rPr>
                <w:rFonts w:hint="eastAsia" w:ascii="仿宋" w:hAnsi="仿宋" w:eastAsia="仿宋" w:cs="仿宋"/>
                <w:sz w:val="24"/>
              </w:rPr>
              <w:t>服务期内四级故障响应时间超时（＞30分钟），扣0.3分/次</w:t>
            </w:r>
          </w:p>
        </w:tc>
      </w:tr>
      <w:tr w14:paraId="0E64B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61659510">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440A35E0">
            <w:pPr>
              <w:snapToGrid w:val="0"/>
              <w:spacing w:line="240" w:lineRule="auto"/>
              <w:jc w:val="center"/>
              <w:rPr>
                <w:rFonts w:ascii="仿宋" w:hAnsi="仿宋" w:eastAsia="仿宋" w:cs="仿宋"/>
                <w:sz w:val="24"/>
              </w:rPr>
            </w:pPr>
          </w:p>
        </w:tc>
        <w:tc>
          <w:tcPr>
            <w:tcW w:w="1000" w:type="pct"/>
            <w:vMerge w:val="restart"/>
            <w:tcMar>
              <w:top w:w="60" w:type="dxa"/>
              <w:left w:w="120" w:type="dxa"/>
              <w:bottom w:w="30" w:type="dxa"/>
              <w:right w:w="120" w:type="dxa"/>
            </w:tcMar>
            <w:vAlign w:val="center"/>
          </w:tcPr>
          <w:p w14:paraId="64E9F01B">
            <w:pPr>
              <w:snapToGrid w:val="0"/>
              <w:spacing w:line="240" w:lineRule="auto"/>
              <w:jc w:val="center"/>
              <w:rPr>
                <w:rFonts w:ascii="仿宋" w:hAnsi="仿宋" w:eastAsia="仿宋" w:cs="仿宋"/>
                <w:sz w:val="24"/>
              </w:rPr>
            </w:pPr>
            <w:r>
              <w:rPr>
                <w:rFonts w:hint="eastAsia" w:ascii="仿宋" w:hAnsi="仿宋" w:eastAsia="仿宋" w:cs="仿宋"/>
                <w:sz w:val="24"/>
              </w:rPr>
              <w:t>故障处置与解决时效性</w:t>
            </w:r>
          </w:p>
        </w:tc>
        <w:tc>
          <w:tcPr>
            <w:tcW w:w="461" w:type="pct"/>
            <w:vMerge w:val="restart"/>
            <w:tcMar>
              <w:top w:w="60" w:type="dxa"/>
              <w:left w:w="120" w:type="dxa"/>
              <w:bottom w:w="30" w:type="dxa"/>
              <w:right w:w="120" w:type="dxa"/>
            </w:tcMar>
            <w:vAlign w:val="center"/>
          </w:tcPr>
          <w:p w14:paraId="5250E5AF">
            <w:pPr>
              <w:snapToGrid w:val="0"/>
              <w:spacing w:line="240" w:lineRule="auto"/>
              <w:jc w:val="center"/>
              <w:rPr>
                <w:rFonts w:ascii="仿宋" w:hAnsi="仿宋" w:eastAsia="仿宋" w:cs="仿宋"/>
                <w:sz w:val="24"/>
              </w:rPr>
            </w:pPr>
            <w:r>
              <w:rPr>
                <w:rFonts w:hint="eastAsia" w:ascii="仿宋" w:hAnsi="仿宋" w:eastAsia="仿宋" w:cs="仿宋"/>
                <w:sz w:val="24"/>
              </w:rPr>
              <w:t>15</w:t>
            </w:r>
          </w:p>
        </w:tc>
        <w:tc>
          <w:tcPr>
            <w:tcW w:w="461" w:type="pct"/>
            <w:tcMar>
              <w:top w:w="60" w:type="dxa"/>
              <w:left w:w="120" w:type="dxa"/>
              <w:bottom w:w="30" w:type="dxa"/>
              <w:right w:w="120" w:type="dxa"/>
            </w:tcMar>
            <w:vAlign w:val="center"/>
          </w:tcPr>
          <w:p w14:paraId="04F3045D">
            <w:pPr>
              <w:snapToGrid w:val="0"/>
              <w:spacing w:line="240" w:lineRule="auto"/>
              <w:jc w:val="center"/>
              <w:rPr>
                <w:rFonts w:ascii="仿宋" w:hAnsi="仿宋" w:eastAsia="仿宋" w:cs="仿宋"/>
                <w:sz w:val="24"/>
              </w:rPr>
            </w:pPr>
            <w:r>
              <w:rPr>
                <w:rFonts w:hint="eastAsia" w:ascii="仿宋" w:hAnsi="仿宋" w:eastAsia="仿宋" w:cs="仿宋"/>
                <w:sz w:val="24"/>
              </w:rPr>
              <w:t>5</w:t>
            </w:r>
          </w:p>
        </w:tc>
        <w:tc>
          <w:tcPr>
            <w:tcW w:w="2076" w:type="pct"/>
            <w:tcMar>
              <w:top w:w="60" w:type="dxa"/>
              <w:left w:w="120" w:type="dxa"/>
              <w:bottom w:w="30" w:type="dxa"/>
              <w:right w:w="120" w:type="dxa"/>
            </w:tcMar>
            <w:vAlign w:val="center"/>
          </w:tcPr>
          <w:p w14:paraId="7E9E6F1D">
            <w:pPr>
              <w:snapToGrid w:val="0"/>
              <w:spacing w:line="240" w:lineRule="auto"/>
              <w:rPr>
                <w:rFonts w:ascii="仿宋" w:hAnsi="仿宋" w:eastAsia="仿宋" w:cs="仿宋"/>
                <w:sz w:val="24"/>
              </w:rPr>
            </w:pPr>
            <w:r>
              <w:rPr>
                <w:rFonts w:hint="eastAsia" w:ascii="仿宋" w:hAnsi="仿宋" w:eastAsia="仿宋" w:cs="仿宋"/>
                <w:sz w:val="24"/>
              </w:rPr>
              <w:t>服务期内一级故障解决时间超时（＞6小时），扣5分/次</w:t>
            </w:r>
          </w:p>
        </w:tc>
      </w:tr>
      <w:tr w14:paraId="54828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16082D36">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73140581">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6412A3B5">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5FDCEBFC">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04ECA23F">
            <w:pPr>
              <w:snapToGrid w:val="0"/>
              <w:spacing w:line="240" w:lineRule="auto"/>
              <w:jc w:val="center"/>
              <w:rPr>
                <w:rFonts w:ascii="仿宋" w:hAnsi="仿宋" w:eastAsia="仿宋" w:cs="仿宋"/>
                <w:sz w:val="24"/>
              </w:rPr>
            </w:pPr>
            <w:r>
              <w:rPr>
                <w:rFonts w:hint="eastAsia" w:ascii="仿宋" w:hAnsi="仿宋" w:eastAsia="仿宋" w:cs="仿宋"/>
                <w:sz w:val="24"/>
              </w:rPr>
              <w:t>4</w:t>
            </w:r>
          </w:p>
        </w:tc>
        <w:tc>
          <w:tcPr>
            <w:tcW w:w="2076" w:type="pct"/>
            <w:tcMar>
              <w:top w:w="60" w:type="dxa"/>
              <w:left w:w="120" w:type="dxa"/>
              <w:bottom w:w="30" w:type="dxa"/>
              <w:right w:w="120" w:type="dxa"/>
            </w:tcMar>
            <w:vAlign w:val="center"/>
          </w:tcPr>
          <w:p w14:paraId="49F593C6">
            <w:pPr>
              <w:snapToGrid w:val="0"/>
              <w:spacing w:line="240" w:lineRule="auto"/>
              <w:rPr>
                <w:rFonts w:ascii="仿宋" w:hAnsi="仿宋" w:eastAsia="仿宋" w:cs="仿宋"/>
                <w:sz w:val="24"/>
              </w:rPr>
            </w:pPr>
            <w:r>
              <w:rPr>
                <w:rFonts w:hint="eastAsia" w:ascii="仿宋" w:hAnsi="仿宋" w:eastAsia="仿宋" w:cs="仿宋"/>
                <w:sz w:val="24"/>
              </w:rPr>
              <w:t>服务期内二级故障解决时间超时（＞12小时），扣2分/次</w:t>
            </w:r>
          </w:p>
        </w:tc>
      </w:tr>
      <w:tr w14:paraId="08785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2CE62683">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2559598B">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7219F271">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6BF8AE44">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7D1976A2">
            <w:pPr>
              <w:snapToGrid w:val="0"/>
              <w:spacing w:line="240" w:lineRule="auto"/>
              <w:jc w:val="center"/>
              <w:rPr>
                <w:rFonts w:ascii="仿宋" w:hAnsi="仿宋" w:eastAsia="仿宋" w:cs="仿宋"/>
                <w:sz w:val="24"/>
              </w:rPr>
            </w:pPr>
            <w:r>
              <w:rPr>
                <w:rFonts w:hint="eastAsia" w:ascii="仿宋" w:hAnsi="仿宋" w:eastAsia="仿宋" w:cs="仿宋"/>
                <w:sz w:val="24"/>
              </w:rPr>
              <w:t>3</w:t>
            </w:r>
          </w:p>
        </w:tc>
        <w:tc>
          <w:tcPr>
            <w:tcW w:w="2076" w:type="pct"/>
            <w:tcMar>
              <w:top w:w="60" w:type="dxa"/>
              <w:left w:w="120" w:type="dxa"/>
              <w:bottom w:w="30" w:type="dxa"/>
              <w:right w:w="120" w:type="dxa"/>
            </w:tcMar>
            <w:vAlign w:val="center"/>
          </w:tcPr>
          <w:p w14:paraId="06CB36FD">
            <w:pPr>
              <w:snapToGrid w:val="0"/>
              <w:spacing w:line="240" w:lineRule="auto"/>
              <w:rPr>
                <w:rFonts w:ascii="仿宋" w:hAnsi="仿宋" w:eastAsia="仿宋" w:cs="仿宋"/>
                <w:sz w:val="24"/>
              </w:rPr>
            </w:pPr>
            <w:r>
              <w:rPr>
                <w:rFonts w:hint="eastAsia" w:ascii="仿宋" w:hAnsi="仿宋" w:eastAsia="仿宋" w:cs="仿宋"/>
                <w:sz w:val="24"/>
              </w:rPr>
              <w:t>服务期内三级故障解决时间超时（＞24小时），扣0.5分/次</w:t>
            </w:r>
          </w:p>
        </w:tc>
      </w:tr>
      <w:tr w14:paraId="60B96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68212A3E">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0C303B59">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3F0D554D">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18728F0F">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19AD0DAA">
            <w:pPr>
              <w:snapToGrid w:val="0"/>
              <w:spacing w:line="240" w:lineRule="auto"/>
              <w:jc w:val="center"/>
              <w:rPr>
                <w:rFonts w:ascii="仿宋" w:hAnsi="仿宋" w:eastAsia="仿宋" w:cs="仿宋"/>
                <w:sz w:val="24"/>
              </w:rPr>
            </w:pPr>
            <w:r>
              <w:rPr>
                <w:rFonts w:hint="eastAsia" w:ascii="仿宋" w:hAnsi="仿宋" w:eastAsia="仿宋" w:cs="仿宋"/>
                <w:sz w:val="24"/>
              </w:rPr>
              <w:t>3</w:t>
            </w:r>
          </w:p>
        </w:tc>
        <w:tc>
          <w:tcPr>
            <w:tcW w:w="2076" w:type="pct"/>
            <w:tcMar>
              <w:top w:w="60" w:type="dxa"/>
              <w:left w:w="120" w:type="dxa"/>
              <w:bottom w:w="30" w:type="dxa"/>
              <w:right w:w="120" w:type="dxa"/>
            </w:tcMar>
            <w:vAlign w:val="center"/>
          </w:tcPr>
          <w:p w14:paraId="0E88A85F">
            <w:pPr>
              <w:snapToGrid w:val="0"/>
              <w:spacing w:line="240" w:lineRule="auto"/>
              <w:rPr>
                <w:rFonts w:ascii="仿宋" w:hAnsi="仿宋" w:eastAsia="仿宋" w:cs="仿宋"/>
                <w:sz w:val="24"/>
              </w:rPr>
            </w:pPr>
            <w:r>
              <w:rPr>
                <w:rFonts w:hint="eastAsia" w:ascii="仿宋" w:hAnsi="仿宋" w:eastAsia="仿宋" w:cs="仿宋"/>
                <w:sz w:val="24"/>
              </w:rPr>
              <w:t>服务期内四级故障解决时间超时（＞48小时），扣0.3分/次</w:t>
            </w:r>
          </w:p>
        </w:tc>
      </w:tr>
      <w:tr w14:paraId="7DD7D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restart"/>
            <w:tcMar>
              <w:top w:w="60" w:type="dxa"/>
              <w:left w:w="120" w:type="dxa"/>
              <w:bottom w:w="30" w:type="dxa"/>
              <w:right w:w="120" w:type="dxa"/>
            </w:tcMar>
            <w:vAlign w:val="center"/>
          </w:tcPr>
          <w:p w14:paraId="52C2C7E7">
            <w:pPr>
              <w:snapToGrid w:val="0"/>
              <w:spacing w:line="240" w:lineRule="auto"/>
              <w:jc w:val="center"/>
              <w:rPr>
                <w:rFonts w:ascii="仿宋" w:hAnsi="仿宋" w:eastAsia="仿宋" w:cs="仿宋"/>
                <w:sz w:val="24"/>
              </w:rPr>
            </w:pPr>
            <w:r>
              <w:rPr>
                <w:rFonts w:hint="eastAsia" w:ascii="仿宋" w:hAnsi="仿宋" w:eastAsia="仿宋" w:cs="仿宋"/>
                <w:sz w:val="24"/>
              </w:rPr>
              <w:t>2</w:t>
            </w:r>
          </w:p>
        </w:tc>
        <w:tc>
          <w:tcPr>
            <w:tcW w:w="692" w:type="pct"/>
            <w:vMerge w:val="restart"/>
            <w:tcMar>
              <w:top w:w="60" w:type="dxa"/>
              <w:left w:w="120" w:type="dxa"/>
              <w:bottom w:w="30" w:type="dxa"/>
              <w:right w:w="120" w:type="dxa"/>
            </w:tcMar>
            <w:vAlign w:val="center"/>
          </w:tcPr>
          <w:p w14:paraId="1CC3ACAE">
            <w:pPr>
              <w:snapToGrid w:val="0"/>
              <w:spacing w:line="240" w:lineRule="auto"/>
              <w:jc w:val="center"/>
              <w:rPr>
                <w:rFonts w:ascii="仿宋" w:hAnsi="仿宋" w:eastAsia="仿宋" w:cs="仿宋"/>
                <w:sz w:val="24"/>
              </w:rPr>
            </w:pPr>
            <w:r>
              <w:rPr>
                <w:rFonts w:hint="eastAsia" w:ascii="仿宋" w:hAnsi="仿宋" w:eastAsia="仿宋" w:cs="仿宋"/>
                <w:sz w:val="24"/>
              </w:rPr>
              <w:t>运维服务质量与履约情况（30分）</w:t>
            </w:r>
          </w:p>
        </w:tc>
        <w:tc>
          <w:tcPr>
            <w:tcW w:w="1000" w:type="pct"/>
            <w:vMerge w:val="restart"/>
            <w:tcMar>
              <w:top w:w="60" w:type="dxa"/>
              <w:left w:w="120" w:type="dxa"/>
              <w:bottom w:w="30" w:type="dxa"/>
              <w:right w:w="120" w:type="dxa"/>
            </w:tcMar>
            <w:vAlign w:val="center"/>
          </w:tcPr>
          <w:p w14:paraId="57517204">
            <w:pPr>
              <w:snapToGrid w:val="0"/>
              <w:spacing w:line="240" w:lineRule="auto"/>
              <w:jc w:val="center"/>
              <w:rPr>
                <w:rFonts w:ascii="仿宋" w:hAnsi="仿宋" w:eastAsia="仿宋" w:cs="仿宋"/>
                <w:sz w:val="24"/>
              </w:rPr>
            </w:pPr>
            <w:r>
              <w:rPr>
                <w:rFonts w:hint="eastAsia" w:ascii="仿宋" w:hAnsi="仿宋" w:eastAsia="仿宋" w:cs="仿宋"/>
                <w:sz w:val="24"/>
              </w:rPr>
              <w:t>基础运维服务履约情况</w:t>
            </w:r>
          </w:p>
        </w:tc>
        <w:tc>
          <w:tcPr>
            <w:tcW w:w="461" w:type="pct"/>
            <w:vMerge w:val="restart"/>
            <w:tcMar>
              <w:top w:w="60" w:type="dxa"/>
              <w:left w:w="120" w:type="dxa"/>
              <w:bottom w:w="30" w:type="dxa"/>
              <w:right w:w="120" w:type="dxa"/>
            </w:tcMar>
            <w:vAlign w:val="center"/>
          </w:tcPr>
          <w:p w14:paraId="535B5FAE">
            <w:pPr>
              <w:snapToGrid w:val="0"/>
              <w:spacing w:line="240" w:lineRule="auto"/>
              <w:jc w:val="center"/>
              <w:rPr>
                <w:rFonts w:ascii="仿宋" w:hAnsi="仿宋" w:eastAsia="仿宋" w:cs="仿宋"/>
                <w:sz w:val="24"/>
              </w:rPr>
            </w:pPr>
            <w:r>
              <w:rPr>
                <w:rFonts w:hint="eastAsia" w:ascii="仿宋" w:hAnsi="仿宋" w:eastAsia="仿宋" w:cs="仿宋"/>
                <w:sz w:val="24"/>
              </w:rPr>
              <w:t>15</w:t>
            </w:r>
          </w:p>
        </w:tc>
        <w:tc>
          <w:tcPr>
            <w:tcW w:w="461" w:type="pct"/>
            <w:tcMar>
              <w:top w:w="60" w:type="dxa"/>
              <w:left w:w="120" w:type="dxa"/>
              <w:bottom w:w="30" w:type="dxa"/>
              <w:right w:w="120" w:type="dxa"/>
            </w:tcMar>
            <w:vAlign w:val="center"/>
          </w:tcPr>
          <w:p w14:paraId="4B3A5DE9">
            <w:pPr>
              <w:snapToGrid w:val="0"/>
              <w:spacing w:line="240" w:lineRule="auto"/>
              <w:jc w:val="center"/>
              <w:rPr>
                <w:rFonts w:ascii="仿宋" w:hAnsi="仿宋" w:eastAsia="仿宋" w:cs="仿宋"/>
                <w:sz w:val="24"/>
              </w:rPr>
            </w:pPr>
            <w:r>
              <w:rPr>
                <w:rFonts w:hint="eastAsia" w:ascii="仿宋" w:hAnsi="仿宋" w:eastAsia="仿宋" w:cs="仿宋"/>
                <w:sz w:val="24"/>
              </w:rPr>
              <w:t>5</w:t>
            </w:r>
          </w:p>
        </w:tc>
        <w:tc>
          <w:tcPr>
            <w:tcW w:w="2076" w:type="pct"/>
            <w:tcMar>
              <w:top w:w="60" w:type="dxa"/>
              <w:left w:w="120" w:type="dxa"/>
              <w:bottom w:w="30" w:type="dxa"/>
              <w:right w:w="120" w:type="dxa"/>
            </w:tcMar>
            <w:vAlign w:val="center"/>
          </w:tcPr>
          <w:p w14:paraId="605169E8">
            <w:pPr>
              <w:snapToGrid w:val="0"/>
              <w:spacing w:line="240" w:lineRule="auto"/>
              <w:rPr>
                <w:rFonts w:ascii="仿宋" w:hAnsi="仿宋" w:eastAsia="仿宋" w:cs="仿宋"/>
                <w:sz w:val="24"/>
              </w:rPr>
            </w:pPr>
            <w:r>
              <w:rPr>
                <w:rFonts w:hint="eastAsia" w:ascii="仿宋" w:hAnsi="仿宋" w:eastAsia="仿宋" w:cs="仿宋"/>
                <w:sz w:val="24"/>
              </w:rPr>
              <w:t>未按合同约定提供运维服务，出现推诿、拖延、拒绝服务的情况，扣1分/次，扣完为止</w:t>
            </w:r>
          </w:p>
        </w:tc>
      </w:tr>
      <w:tr w14:paraId="4484C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427AEDC7">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0237DBC3">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00297B0F">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396977FC">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193CADDD">
            <w:pPr>
              <w:snapToGrid w:val="0"/>
              <w:spacing w:line="240" w:lineRule="auto"/>
              <w:jc w:val="center"/>
              <w:rPr>
                <w:rFonts w:ascii="仿宋" w:hAnsi="仿宋" w:eastAsia="仿宋" w:cs="仿宋"/>
                <w:sz w:val="24"/>
              </w:rPr>
            </w:pPr>
            <w:r>
              <w:rPr>
                <w:rFonts w:hint="eastAsia" w:ascii="仿宋" w:hAnsi="仿宋" w:eastAsia="仿宋" w:cs="仿宋"/>
                <w:sz w:val="24"/>
              </w:rPr>
              <w:t>5</w:t>
            </w:r>
          </w:p>
        </w:tc>
        <w:tc>
          <w:tcPr>
            <w:tcW w:w="2076" w:type="pct"/>
            <w:tcMar>
              <w:top w:w="60" w:type="dxa"/>
              <w:left w:w="120" w:type="dxa"/>
              <w:bottom w:w="30" w:type="dxa"/>
              <w:right w:w="120" w:type="dxa"/>
            </w:tcMar>
            <w:vAlign w:val="center"/>
          </w:tcPr>
          <w:p w14:paraId="4FCEF08F">
            <w:pPr>
              <w:snapToGrid w:val="0"/>
              <w:spacing w:line="240" w:lineRule="auto"/>
              <w:rPr>
                <w:rFonts w:ascii="仿宋" w:hAnsi="仿宋" w:eastAsia="仿宋" w:cs="仿宋"/>
                <w:sz w:val="24"/>
              </w:rPr>
            </w:pPr>
            <w:r>
              <w:rPr>
                <w:rFonts w:hint="eastAsia" w:ascii="仿宋" w:hAnsi="仿宋" w:eastAsia="仿宋" w:cs="仿宋"/>
                <w:sz w:val="24"/>
              </w:rPr>
              <w:t>日常运维工作记录、故障处置记录、巡检记录不完整、虚报、篡改的，扣1分/次，扣完为止</w:t>
            </w:r>
          </w:p>
        </w:tc>
      </w:tr>
      <w:tr w14:paraId="0478D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4E094849">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02C0EF26">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35105229">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28FF15F3">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15569350">
            <w:pPr>
              <w:snapToGrid w:val="0"/>
              <w:spacing w:line="240" w:lineRule="auto"/>
              <w:jc w:val="center"/>
              <w:rPr>
                <w:rFonts w:ascii="仿宋" w:hAnsi="仿宋" w:eastAsia="仿宋" w:cs="仿宋"/>
                <w:sz w:val="24"/>
              </w:rPr>
            </w:pPr>
            <w:r>
              <w:rPr>
                <w:rFonts w:hint="eastAsia" w:ascii="仿宋" w:hAnsi="仿宋" w:eastAsia="仿宋" w:cs="仿宋"/>
                <w:sz w:val="24"/>
              </w:rPr>
              <w:t>5</w:t>
            </w:r>
          </w:p>
        </w:tc>
        <w:tc>
          <w:tcPr>
            <w:tcW w:w="2076" w:type="pct"/>
            <w:tcMar>
              <w:top w:w="60" w:type="dxa"/>
              <w:left w:w="120" w:type="dxa"/>
              <w:bottom w:w="30" w:type="dxa"/>
              <w:right w:w="120" w:type="dxa"/>
            </w:tcMar>
            <w:vAlign w:val="center"/>
          </w:tcPr>
          <w:p w14:paraId="14A47BCA">
            <w:pPr>
              <w:snapToGrid w:val="0"/>
              <w:spacing w:line="240" w:lineRule="auto"/>
              <w:rPr>
                <w:rFonts w:ascii="仿宋" w:hAnsi="仿宋" w:eastAsia="仿宋" w:cs="仿宋"/>
                <w:sz w:val="24"/>
              </w:rPr>
            </w:pPr>
            <w:r>
              <w:rPr>
                <w:rFonts w:hint="eastAsia" w:ascii="仿宋" w:hAnsi="仿宋" w:eastAsia="仿宋" w:cs="仿宋"/>
                <w:sz w:val="24"/>
              </w:rPr>
              <w:t>未按时提交运维月报、季报、年报及专项报告的，扣1分/次，扣完为止</w:t>
            </w:r>
          </w:p>
        </w:tc>
      </w:tr>
      <w:tr w14:paraId="66CD4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1BC7BBE5">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3BD647C5">
            <w:pPr>
              <w:snapToGrid w:val="0"/>
              <w:spacing w:line="240" w:lineRule="auto"/>
              <w:jc w:val="center"/>
              <w:rPr>
                <w:rFonts w:ascii="仿宋" w:hAnsi="仿宋" w:eastAsia="仿宋" w:cs="仿宋"/>
                <w:sz w:val="24"/>
              </w:rPr>
            </w:pPr>
          </w:p>
        </w:tc>
        <w:tc>
          <w:tcPr>
            <w:tcW w:w="1000" w:type="pct"/>
            <w:vMerge w:val="restart"/>
            <w:tcMar>
              <w:top w:w="60" w:type="dxa"/>
              <w:left w:w="120" w:type="dxa"/>
              <w:bottom w:w="30" w:type="dxa"/>
              <w:right w:w="120" w:type="dxa"/>
            </w:tcMar>
            <w:vAlign w:val="center"/>
          </w:tcPr>
          <w:p w14:paraId="3E9981C4">
            <w:pPr>
              <w:snapToGrid w:val="0"/>
              <w:spacing w:line="240" w:lineRule="auto"/>
              <w:jc w:val="center"/>
              <w:rPr>
                <w:rFonts w:ascii="仿宋" w:hAnsi="仿宋" w:eastAsia="仿宋" w:cs="仿宋"/>
                <w:sz w:val="24"/>
              </w:rPr>
            </w:pPr>
            <w:r>
              <w:rPr>
                <w:rFonts w:hint="eastAsia" w:ascii="仿宋" w:hAnsi="仿宋" w:eastAsia="仿宋" w:cs="仿宋"/>
                <w:sz w:val="24"/>
              </w:rPr>
              <w:t>数据库专项运维服务质量</w:t>
            </w:r>
          </w:p>
        </w:tc>
        <w:tc>
          <w:tcPr>
            <w:tcW w:w="461" w:type="pct"/>
            <w:vMerge w:val="restart"/>
            <w:tcMar>
              <w:top w:w="60" w:type="dxa"/>
              <w:left w:w="120" w:type="dxa"/>
              <w:bottom w:w="30" w:type="dxa"/>
              <w:right w:w="120" w:type="dxa"/>
            </w:tcMar>
            <w:vAlign w:val="center"/>
          </w:tcPr>
          <w:p w14:paraId="730D61BC">
            <w:pPr>
              <w:snapToGrid w:val="0"/>
              <w:spacing w:line="240" w:lineRule="auto"/>
              <w:jc w:val="center"/>
              <w:rPr>
                <w:rFonts w:ascii="仿宋" w:hAnsi="仿宋" w:eastAsia="仿宋" w:cs="仿宋"/>
                <w:sz w:val="24"/>
              </w:rPr>
            </w:pPr>
            <w:r>
              <w:rPr>
                <w:rFonts w:hint="eastAsia" w:ascii="仿宋" w:hAnsi="仿宋" w:eastAsia="仿宋" w:cs="仿宋"/>
                <w:sz w:val="24"/>
              </w:rPr>
              <w:t>10</w:t>
            </w:r>
          </w:p>
        </w:tc>
        <w:tc>
          <w:tcPr>
            <w:tcW w:w="461" w:type="pct"/>
            <w:tcMar>
              <w:top w:w="60" w:type="dxa"/>
              <w:left w:w="120" w:type="dxa"/>
              <w:bottom w:w="30" w:type="dxa"/>
              <w:right w:w="120" w:type="dxa"/>
            </w:tcMar>
            <w:vAlign w:val="center"/>
          </w:tcPr>
          <w:p w14:paraId="5AFDF112">
            <w:pPr>
              <w:snapToGrid w:val="0"/>
              <w:spacing w:line="240" w:lineRule="auto"/>
              <w:jc w:val="center"/>
              <w:rPr>
                <w:rFonts w:ascii="仿宋" w:hAnsi="仿宋" w:eastAsia="仿宋" w:cs="仿宋"/>
                <w:sz w:val="24"/>
              </w:rPr>
            </w:pPr>
            <w:r>
              <w:rPr>
                <w:rFonts w:hint="eastAsia" w:ascii="仿宋" w:hAnsi="仿宋" w:eastAsia="仿宋" w:cs="仿宋"/>
                <w:sz w:val="24"/>
              </w:rPr>
              <w:t>2</w:t>
            </w:r>
          </w:p>
        </w:tc>
        <w:tc>
          <w:tcPr>
            <w:tcW w:w="2076" w:type="pct"/>
            <w:tcMar>
              <w:top w:w="60" w:type="dxa"/>
              <w:left w:w="120" w:type="dxa"/>
              <w:bottom w:w="30" w:type="dxa"/>
              <w:right w:w="120" w:type="dxa"/>
            </w:tcMar>
            <w:vAlign w:val="center"/>
          </w:tcPr>
          <w:p w14:paraId="1C4B851D">
            <w:pPr>
              <w:snapToGrid w:val="0"/>
              <w:spacing w:line="240" w:lineRule="auto"/>
              <w:rPr>
                <w:rFonts w:ascii="仿宋" w:hAnsi="仿宋" w:eastAsia="仿宋" w:cs="仿宋"/>
                <w:sz w:val="24"/>
              </w:rPr>
            </w:pPr>
            <w:r>
              <w:rPr>
                <w:rFonts w:hint="eastAsia" w:ascii="仿宋" w:hAnsi="仿宋" w:eastAsia="仿宋" w:cs="仿宋"/>
                <w:sz w:val="24"/>
              </w:rPr>
              <w:t>未按要求完成月度数据库巡检，少1次扣0.5分，扣完为止</w:t>
            </w:r>
          </w:p>
        </w:tc>
      </w:tr>
      <w:tr w14:paraId="198B7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28B515FC">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69B2FF8F">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3C801FF3">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54581EFC">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5B03E5D4">
            <w:pPr>
              <w:snapToGrid w:val="0"/>
              <w:spacing w:line="240" w:lineRule="auto"/>
              <w:jc w:val="center"/>
              <w:rPr>
                <w:rFonts w:ascii="仿宋" w:hAnsi="仿宋" w:eastAsia="仿宋" w:cs="仿宋"/>
                <w:sz w:val="24"/>
              </w:rPr>
            </w:pPr>
            <w:r>
              <w:rPr>
                <w:rFonts w:hint="eastAsia" w:ascii="仿宋" w:hAnsi="仿宋" w:eastAsia="仿宋" w:cs="仿宋"/>
                <w:sz w:val="24"/>
              </w:rPr>
              <w:t>2</w:t>
            </w:r>
          </w:p>
        </w:tc>
        <w:tc>
          <w:tcPr>
            <w:tcW w:w="2076" w:type="pct"/>
            <w:tcMar>
              <w:top w:w="60" w:type="dxa"/>
              <w:left w:w="120" w:type="dxa"/>
              <w:bottom w:w="30" w:type="dxa"/>
              <w:right w:w="120" w:type="dxa"/>
            </w:tcMar>
            <w:vAlign w:val="center"/>
          </w:tcPr>
          <w:p w14:paraId="1127E293">
            <w:pPr>
              <w:snapToGrid w:val="0"/>
              <w:spacing w:line="240" w:lineRule="auto"/>
              <w:rPr>
                <w:rFonts w:ascii="仿宋" w:hAnsi="仿宋" w:eastAsia="仿宋" w:cs="仿宋"/>
                <w:sz w:val="24"/>
              </w:rPr>
            </w:pPr>
            <w:r>
              <w:rPr>
                <w:rFonts w:hint="eastAsia" w:ascii="仿宋" w:hAnsi="仿宋" w:eastAsia="仿宋" w:cs="仿宋"/>
                <w:sz w:val="24"/>
              </w:rPr>
              <w:t>未按要求完成数据库优化、备份恢复演练的，扣1分/次，扣完为止</w:t>
            </w:r>
          </w:p>
        </w:tc>
      </w:tr>
      <w:tr w14:paraId="30D92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6352DF47">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5E7B36BC">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3C60A695">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7D4C522E">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638DE4AC">
            <w:pPr>
              <w:snapToGrid w:val="0"/>
              <w:spacing w:line="240" w:lineRule="auto"/>
              <w:jc w:val="center"/>
              <w:rPr>
                <w:rFonts w:ascii="仿宋" w:hAnsi="仿宋" w:eastAsia="仿宋" w:cs="仿宋"/>
                <w:sz w:val="24"/>
              </w:rPr>
            </w:pPr>
            <w:r>
              <w:rPr>
                <w:rFonts w:hint="eastAsia" w:ascii="仿宋" w:hAnsi="仿宋" w:eastAsia="仿宋" w:cs="仿宋"/>
                <w:sz w:val="24"/>
              </w:rPr>
              <w:t>2</w:t>
            </w:r>
          </w:p>
        </w:tc>
        <w:tc>
          <w:tcPr>
            <w:tcW w:w="2076" w:type="pct"/>
            <w:tcMar>
              <w:top w:w="60" w:type="dxa"/>
              <w:left w:w="120" w:type="dxa"/>
              <w:bottom w:w="30" w:type="dxa"/>
              <w:right w:w="120" w:type="dxa"/>
            </w:tcMar>
            <w:vAlign w:val="center"/>
          </w:tcPr>
          <w:p w14:paraId="1B9193B2">
            <w:pPr>
              <w:snapToGrid w:val="0"/>
              <w:spacing w:line="240" w:lineRule="auto"/>
              <w:rPr>
                <w:rFonts w:ascii="仿宋" w:hAnsi="仿宋" w:eastAsia="仿宋" w:cs="仿宋"/>
                <w:sz w:val="24"/>
              </w:rPr>
            </w:pPr>
            <w:r>
              <w:rPr>
                <w:rFonts w:hint="eastAsia" w:ascii="仿宋" w:hAnsi="仿宋" w:eastAsia="仿宋" w:cs="仿宋"/>
                <w:sz w:val="24"/>
              </w:rPr>
              <w:t>未及时修复数据库高危漏洞的，扣1分/次，扣完为止</w:t>
            </w:r>
          </w:p>
        </w:tc>
      </w:tr>
      <w:tr w14:paraId="2B77D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474FC967">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3727D437">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2F8CBFF2">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1216BBE6">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34B4BC71">
            <w:pPr>
              <w:snapToGrid w:val="0"/>
              <w:spacing w:line="240" w:lineRule="auto"/>
              <w:jc w:val="center"/>
              <w:rPr>
                <w:rFonts w:ascii="仿宋" w:hAnsi="仿宋" w:eastAsia="仿宋" w:cs="仿宋"/>
                <w:sz w:val="24"/>
              </w:rPr>
            </w:pPr>
            <w:r>
              <w:rPr>
                <w:rFonts w:hint="eastAsia" w:ascii="仿宋" w:hAnsi="仿宋" w:eastAsia="仿宋" w:cs="仿宋"/>
                <w:sz w:val="24"/>
              </w:rPr>
              <w:t>2</w:t>
            </w:r>
          </w:p>
        </w:tc>
        <w:tc>
          <w:tcPr>
            <w:tcW w:w="2076" w:type="pct"/>
            <w:tcMar>
              <w:top w:w="60" w:type="dxa"/>
              <w:left w:w="120" w:type="dxa"/>
              <w:bottom w:w="30" w:type="dxa"/>
              <w:right w:w="120" w:type="dxa"/>
            </w:tcMar>
            <w:vAlign w:val="center"/>
          </w:tcPr>
          <w:p w14:paraId="38DB4A7D">
            <w:pPr>
              <w:snapToGrid w:val="0"/>
              <w:spacing w:line="240" w:lineRule="auto"/>
              <w:rPr>
                <w:rFonts w:ascii="仿宋" w:hAnsi="仿宋" w:eastAsia="仿宋" w:cs="仿宋"/>
                <w:sz w:val="24"/>
              </w:rPr>
            </w:pPr>
            <w:r>
              <w:rPr>
                <w:rFonts w:hint="eastAsia" w:ascii="仿宋" w:hAnsi="仿宋" w:eastAsia="仿宋" w:cs="仿宋"/>
                <w:sz w:val="24"/>
              </w:rPr>
              <w:t>数据库运维记录不完整、问题处置不及时的，扣0.5分/次，扣完为止</w:t>
            </w:r>
          </w:p>
        </w:tc>
      </w:tr>
      <w:tr w14:paraId="4A40F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5A280E46">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07B6BE83">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61F46780">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46D941AD">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7B33A1EA">
            <w:pPr>
              <w:snapToGrid w:val="0"/>
              <w:spacing w:line="240" w:lineRule="auto"/>
              <w:jc w:val="center"/>
              <w:rPr>
                <w:rFonts w:ascii="仿宋" w:hAnsi="仿宋" w:eastAsia="仿宋" w:cs="仿宋"/>
                <w:sz w:val="24"/>
              </w:rPr>
            </w:pPr>
            <w:r>
              <w:rPr>
                <w:rFonts w:hint="eastAsia" w:ascii="仿宋" w:hAnsi="仿宋" w:eastAsia="仿宋" w:cs="仿宋"/>
                <w:sz w:val="24"/>
              </w:rPr>
              <w:t>2</w:t>
            </w:r>
          </w:p>
        </w:tc>
        <w:tc>
          <w:tcPr>
            <w:tcW w:w="2076" w:type="pct"/>
            <w:tcMar>
              <w:top w:w="60" w:type="dxa"/>
              <w:left w:w="120" w:type="dxa"/>
              <w:bottom w:w="30" w:type="dxa"/>
              <w:right w:w="120" w:type="dxa"/>
            </w:tcMar>
            <w:vAlign w:val="center"/>
          </w:tcPr>
          <w:p w14:paraId="14CF335C">
            <w:pPr>
              <w:snapToGrid w:val="0"/>
              <w:spacing w:line="240" w:lineRule="auto"/>
              <w:rPr>
                <w:rFonts w:ascii="仿宋" w:hAnsi="仿宋" w:eastAsia="仿宋" w:cs="仿宋"/>
                <w:sz w:val="24"/>
              </w:rPr>
            </w:pPr>
            <w:r>
              <w:rPr>
                <w:rFonts w:hint="eastAsia" w:ascii="仿宋" w:hAnsi="仿宋" w:eastAsia="仿宋" w:cs="仿宋"/>
                <w:sz w:val="24"/>
              </w:rPr>
              <w:t>未按要求提供数据库迁移、数据备份服务的，扣0.5分/次，扣完为止</w:t>
            </w:r>
          </w:p>
        </w:tc>
      </w:tr>
      <w:tr w14:paraId="4D8CE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5B6BB959">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514B7562">
            <w:pPr>
              <w:snapToGrid w:val="0"/>
              <w:spacing w:line="240" w:lineRule="auto"/>
              <w:jc w:val="center"/>
              <w:rPr>
                <w:rFonts w:ascii="仿宋" w:hAnsi="仿宋" w:eastAsia="仿宋" w:cs="仿宋"/>
                <w:sz w:val="24"/>
              </w:rPr>
            </w:pPr>
          </w:p>
        </w:tc>
        <w:tc>
          <w:tcPr>
            <w:tcW w:w="1000" w:type="pct"/>
            <w:vMerge w:val="restart"/>
            <w:tcMar>
              <w:top w:w="60" w:type="dxa"/>
              <w:left w:w="120" w:type="dxa"/>
              <w:bottom w:w="30" w:type="dxa"/>
              <w:right w:w="120" w:type="dxa"/>
            </w:tcMar>
            <w:vAlign w:val="center"/>
          </w:tcPr>
          <w:p w14:paraId="092806B1">
            <w:pPr>
              <w:snapToGrid w:val="0"/>
              <w:spacing w:line="240" w:lineRule="auto"/>
              <w:jc w:val="center"/>
              <w:rPr>
                <w:rFonts w:ascii="仿宋" w:hAnsi="仿宋" w:eastAsia="仿宋" w:cs="仿宋"/>
                <w:sz w:val="24"/>
              </w:rPr>
            </w:pPr>
            <w:r>
              <w:rPr>
                <w:rFonts w:hint="eastAsia" w:ascii="仿宋" w:hAnsi="仿宋" w:eastAsia="仿宋" w:cs="仿宋"/>
                <w:sz w:val="24"/>
              </w:rPr>
              <w:t>系统接口与报表服务质量</w:t>
            </w:r>
          </w:p>
        </w:tc>
        <w:tc>
          <w:tcPr>
            <w:tcW w:w="461" w:type="pct"/>
            <w:vMerge w:val="restart"/>
            <w:tcMar>
              <w:top w:w="60" w:type="dxa"/>
              <w:left w:w="120" w:type="dxa"/>
              <w:bottom w:w="30" w:type="dxa"/>
              <w:right w:w="120" w:type="dxa"/>
            </w:tcMar>
            <w:vAlign w:val="center"/>
          </w:tcPr>
          <w:p w14:paraId="177634B5">
            <w:pPr>
              <w:snapToGrid w:val="0"/>
              <w:spacing w:line="240" w:lineRule="auto"/>
              <w:jc w:val="center"/>
              <w:rPr>
                <w:rFonts w:ascii="仿宋" w:hAnsi="仿宋" w:eastAsia="仿宋" w:cs="仿宋"/>
                <w:sz w:val="24"/>
              </w:rPr>
            </w:pPr>
            <w:r>
              <w:rPr>
                <w:rFonts w:hint="eastAsia" w:ascii="仿宋" w:hAnsi="仿宋" w:eastAsia="仿宋" w:cs="仿宋"/>
                <w:sz w:val="24"/>
              </w:rPr>
              <w:t>5</w:t>
            </w:r>
          </w:p>
        </w:tc>
        <w:tc>
          <w:tcPr>
            <w:tcW w:w="461" w:type="pct"/>
            <w:tcMar>
              <w:top w:w="60" w:type="dxa"/>
              <w:left w:w="120" w:type="dxa"/>
              <w:bottom w:w="30" w:type="dxa"/>
              <w:right w:w="120" w:type="dxa"/>
            </w:tcMar>
            <w:vAlign w:val="center"/>
          </w:tcPr>
          <w:p w14:paraId="2DAA7AAE">
            <w:pPr>
              <w:snapToGrid w:val="0"/>
              <w:spacing w:line="240" w:lineRule="auto"/>
              <w:jc w:val="center"/>
              <w:rPr>
                <w:rFonts w:ascii="仿宋" w:hAnsi="仿宋" w:eastAsia="仿宋" w:cs="仿宋"/>
                <w:sz w:val="24"/>
              </w:rPr>
            </w:pPr>
            <w:r>
              <w:rPr>
                <w:rFonts w:hint="eastAsia" w:ascii="仿宋" w:hAnsi="仿宋" w:eastAsia="仿宋" w:cs="仿宋"/>
                <w:sz w:val="24"/>
              </w:rPr>
              <w:t>3</w:t>
            </w:r>
          </w:p>
        </w:tc>
        <w:tc>
          <w:tcPr>
            <w:tcW w:w="2076" w:type="pct"/>
            <w:tcMar>
              <w:top w:w="60" w:type="dxa"/>
              <w:left w:w="120" w:type="dxa"/>
              <w:bottom w:w="30" w:type="dxa"/>
              <w:right w:w="120" w:type="dxa"/>
            </w:tcMar>
            <w:vAlign w:val="center"/>
          </w:tcPr>
          <w:p w14:paraId="682FEB81">
            <w:pPr>
              <w:snapToGrid w:val="0"/>
              <w:spacing w:line="240" w:lineRule="auto"/>
              <w:rPr>
                <w:rFonts w:ascii="仿宋" w:hAnsi="仿宋" w:eastAsia="仿宋" w:cs="仿宋"/>
                <w:sz w:val="24"/>
              </w:rPr>
            </w:pPr>
            <w:r>
              <w:rPr>
                <w:rFonts w:hint="eastAsia" w:ascii="仿宋" w:hAnsi="仿宋" w:eastAsia="仿宋" w:cs="仿宋"/>
                <w:sz w:val="24"/>
              </w:rPr>
              <w:t>系统接口、报表问题响应不及时、处置不到位的，扣1分/次，扣完为止</w:t>
            </w:r>
          </w:p>
        </w:tc>
      </w:tr>
      <w:tr w14:paraId="0BE24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010DF892">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7E297E7C">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7A34A525">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44FB79EA">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525B444D">
            <w:pPr>
              <w:snapToGrid w:val="0"/>
              <w:spacing w:line="240" w:lineRule="auto"/>
              <w:jc w:val="center"/>
              <w:rPr>
                <w:rFonts w:ascii="仿宋" w:hAnsi="仿宋" w:eastAsia="仿宋" w:cs="仿宋"/>
                <w:sz w:val="24"/>
              </w:rPr>
            </w:pPr>
            <w:r>
              <w:rPr>
                <w:rFonts w:hint="eastAsia" w:ascii="仿宋" w:hAnsi="仿宋" w:eastAsia="仿宋" w:cs="仿宋"/>
                <w:sz w:val="24"/>
              </w:rPr>
              <w:t>2</w:t>
            </w:r>
          </w:p>
        </w:tc>
        <w:tc>
          <w:tcPr>
            <w:tcW w:w="2076" w:type="pct"/>
            <w:tcMar>
              <w:top w:w="60" w:type="dxa"/>
              <w:left w:w="120" w:type="dxa"/>
              <w:bottom w:w="30" w:type="dxa"/>
              <w:right w:w="120" w:type="dxa"/>
            </w:tcMar>
            <w:vAlign w:val="center"/>
          </w:tcPr>
          <w:p w14:paraId="0E3BE85D">
            <w:pPr>
              <w:snapToGrid w:val="0"/>
              <w:spacing w:line="240" w:lineRule="auto"/>
              <w:rPr>
                <w:rFonts w:ascii="仿宋" w:hAnsi="仿宋" w:eastAsia="仿宋" w:cs="仿宋"/>
                <w:sz w:val="24"/>
              </w:rPr>
            </w:pPr>
            <w:r>
              <w:rPr>
                <w:rFonts w:hint="eastAsia" w:ascii="仿宋" w:hAnsi="仿宋" w:eastAsia="仿宋" w:cs="仿宋"/>
                <w:sz w:val="24"/>
              </w:rPr>
              <w:t>因政策变化需调整接口、报表、上报规则，未及时完成适配更新的，扣2分/次，扣完为止</w:t>
            </w:r>
          </w:p>
        </w:tc>
      </w:tr>
      <w:tr w14:paraId="3B947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restart"/>
            <w:tcMar>
              <w:top w:w="60" w:type="dxa"/>
              <w:left w:w="120" w:type="dxa"/>
              <w:bottom w:w="30" w:type="dxa"/>
              <w:right w:w="120" w:type="dxa"/>
            </w:tcMar>
            <w:vAlign w:val="center"/>
          </w:tcPr>
          <w:p w14:paraId="37879D6D">
            <w:pPr>
              <w:snapToGrid w:val="0"/>
              <w:spacing w:line="240" w:lineRule="auto"/>
              <w:jc w:val="center"/>
              <w:rPr>
                <w:rFonts w:ascii="仿宋" w:hAnsi="仿宋" w:eastAsia="仿宋" w:cs="仿宋"/>
                <w:sz w:val="24"/>
              </w:rPr>
            </w:pPr>
            <w:r>
              <w:rPr>
                <w:rFonts w:hint="eastAsia" w:ascii="仿宋" w:hAnsi="仿宋" w:eastAsia="仿宋" w:cs="仿宋"/>
                <w:sz w:val="24"/>
              </w:rPr>
              <w:t>3</w:t>
            </w:r>
          </w:p>
        </w:tc>
        <w:tc>
          <w:tcPr>
            <w:tcW w:w="692" w:type="pct"/>
            <w:vMerge w:val="restart"/>
            <w:tcMar>
              <w:top w:w="60" w:type="dxa"/>
              <w:left w:w="120" w:type="dxa"/>
              <w:bottom w:w="30" w:type="dxa"/>
              <w:right w:w="120" w:type="dxa"/>
            </w:tcMar>
            <w:vAlign w:val="center"/>
          </w:tcPr>
          <w:p w14:paraId="0799F9DE">
            <w:pPr>
              <w:snapToGrid w:val="0"/>
              <w:spacing w:line="240" w:lineRule="auto"/>
              <w:jc w:val="center"/>
              <w:rPr>
                <w:rFonts w:ascii="仿宋" w:hAnsi="仿宋" w:eastAsia="仿宋" w:cs="仿宋"/>
                <w:sz w:val="24"/>
              </w:rPr>
            </w:pPr>
            <w:r>
              <w:rPr>
                <w:rFonts w:hint="eastAsia" w:ascii="仿宋" w:hAnsi="仿宋" w:eastAsia="仿宋" w:cs="仿宋"/>
                <w:sz w:val="24"/>
              </w:rPr>
              <w:t>系统升级与合规服务（8分）</w:t>
            </w:r>
          </w:p>
        </w:tc>
        <w:tc>
          <w:tcPr>
            <w:tcW w:w="1000" w:type="pct"/>
            <w:vMerge w:val="restart"/>
            <w:tcMar>
              <w:top w:w="60" w:type="dxa"/>
              <w:left w:w="120" w:type="dxa"/>
              <w:bottom w:w="30" w:type="dxa"/>
              <w:right w:w="120" w:type="dxa"/>
            </w:tcMar>
            <w:vAlign w:val="center"/>
          </w:tcPr>
          <w:p w14:paraId="079E5222">
            <w:pPr>
              <w:snapToGrid w:val="0"/>
              <w:spacing w:line="240" w:lineRule="auto"/>
              <w:jc w:val="center"/>
              <w:rPr>
                <w:rFonts w:ascii="仿宋" w:hAnsi="仿宋" w:eastAsia="仿宋" w:cs="仿宋"/>
                <w:sz w:val="24"/>
              </w:rPr>
            </w:pPr>
            <w:r>
              <w:rPr>
                <w:rFonts w:hint="eastAsia" w:ascii="仿宋" w:hAnsi="仿宋" w:eastAsia="仿宋" w:cs="仿宋"/>
                <w:sz w:val="24"/>
              </w:rPr>
              <w:t>系统升级与补丁更新服务</w:t>
            </w:r>
          </w:p>
        </w:tc>
        <w:tc>
          <w:tcPr>
            <w:tcW w:w="461" w:type="pct"/>
            <w:vMerge w:val="restart"/>
            <w:tcMar>
              <w:top w:w="60" w:type="dxa"/>
              <w:left w:w="120" w:type="dxa"/>
              <w:bottom w:w="30" w:type="dxa"/>
              <w:right w:w="120" w:type="dxa"/>
            </w:tcMar>
            <w:vAlign w:val="center"/>
          </w:tcPr>
          <w:p w14:paraId="4C14AC4D">
            <w:pPr>
              <w:snapToGrid w:val="0"/>
              <w:spacing w:line="240" w:lineRule="auto"/>
              <w:jc w:val="center"/>
              <w:rPr>
                <w:rFonts w:ascii="仿宋" w:hAnsi="仿宋" w:eastAsia="仿宋" w:cs="仿宋"/>
                <w:sz w:val="24"/>
              </w:rPr>
            </w:pPr>
            <w:r>
              <w:rPr>
                <w:rFonts w:hint="eastAsia" w:ascii="仿宋" w:hAnsi="仿宋" w:eastAsia="仿宋" w:cs="仿宋"/>
                <w:sz w:val="24"/>
              </w:rPr>
              <w:t>5</w:t>
            </w:r>
          </w:p>
        </w:tc>
        <w:tc>
          <w:tcPr>
            <w:tcW w:w="461" w:type="pct"/>
            <w:tcMar>
              <w:top w:w="60" w:type="dxa"/>
              <w:left w:w="120" w:type="dxa"/>
              <w:bottom w:w="30" w:type="dxa"/>
              <w:right w:w="120" w:type="dxa"/>
            </w:tcMar>
            <w:vAlign w:val="center"/>
          </w:tcPr>
          <w:p w14:paraId="25120F56">
            <w:pPr>
              <w:snapToGrid w:val="0"/>
              <w:spacing w:line="240" w:lineRule="auto"/>
              <w:jc w:val="center"/>
              <w:rPr>
                <w:rFonts w:ascii="仿宋" w:hAnsi="仿宋" w:eastAsia="仿宋" w:cs="仿宋"/>
                <w:sz w:val="24"/>
              </w:rPr>
            </w:pPr>
            <w:r>
              <w:rPr>
                <w:rFonts w:hint="eastAsia" w:ascii="仿宋" w:hAnsi="仿宋" w:eastAsia="仿宋" w:cs="仿宋"/>
                <w:sz w:val="24"/>
              </w:rPr>
              <w:t>2</w:t>
            </w:r>
          </w:p>
        </w:tc>
        <w:tc>
          <w:tcPr>
            <w:tcW w:w="2076" w:type="pct"/>
            <w:tcMar>
              <w:top w:w="60" w:type="dxa"/>
              <w:left w:w="120" w:type="dxa"/>
              <w:bottom w:w="30" w:type="dxa"/>
              <w:right w:w="120" w:type="dxa"/>
            </w:tcMar>
            <w:vAlign w:val="center"/>
          </w:tcPr>
          <w:p w14:paraId="56C5BC29">
            <w:pPr>
              <w:snapToGrid w:val="0"/>
              <w:spacing w:line="240" w:lineRule="auto"/>
              <w:rPr>
                <w:rFonts w:ascii="仿宋" w:hAnsi="仿宋" w:eastAsia="仿宋" w:cs="仿宋"/>
                <w:sz w:val="24"/>
              </w:rPr>
            </w:pPr>
            <w:r>
              <w:rPr>
                <w:rFonts w:hint="eastAsia" w:ascii="仿宋" w:hAnsi="仿宋" w:eastAsia="仿宋" w:cs="仿宋"/>
                <w:sz w:val="24"/>
              </w:rPr>
              <w:t>未成立升级服务专班、组织架构不合理、技术能力不达标，扣2分</w:t>
            </w:r>
          </w:p>
        </w:tc>
      </w:tr>
      <w:tr w14:paraId="070F9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12C03073">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3040DEB4">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66890F5D">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4324C2A1">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3B0FE71E">
            <w:pPr>
              <w:snapToGrid w:val="0"/>
              <w:spacing w:line="240" w:lineRule="auto"/>
              <w:jc w:val="center"/>
              <w:rPr>
                <w:rFonts w:ascii="仿宋" w:hAnsi="仿宋" w:eastAsia="仿宋" w:cs="仿宋"/>
                <w:sz w:val="24"/>
              </w:rPr>
            </w:pPr>
            <w:r>
              <w:rPr>
                <w:rFonts w:hint="eastAsia" w:ascii="仿宋" w:hAnsi="仿宋" w:eastAsia="仿宋" w:cs="仿宋"/>
                <w:sz w:val="24"/>
              </w:rPr>
              <w:t>3</w:t>
            </w:r>
          </w:p>
        </w:tc>
        <w:tc>
          <w:tcPr>
            <w:tcW w:w="2076" w:type="pct"/>
            <w:tcMar>
              <w:top w:w="60" w:type="dxa"/>
              <w:left w:w="120" w:type="dxa"/>
              <w:bottom w:w="30" w:type="dxa"/>
              <w:right w:w="120" w:type="dxa"/>
            </w:tcMar>
            <w:vAlign w:val="center"/>
          </w:tcPr>
          <w:p w14:paraId="0FE470B3">
            <w:pPr>
              <w:snapToGrid w:val="0"/>
              <w:spacing w:line="240" w:lineRule="auto"/>
              <w:rPr>
                <w:rFonts w:ascii="仿宋" w:hAnsi="仿宋" w:eastAsia="仿宋" w:cs="仿宋"/>
                <w:sz w:val="24"/>
              </w:rPr>
            </w:pPr>
            <w:r>
              <w:rPr>
                <w:rFonts w:hint="eastAsia" w:ascii="仿宋" w:hAnsi="仿宋" w:eastAsia="仿宋" w:cs="仿宋"/>
                <w:sz w:val="24"/>
              </w:rPr>
              <w:t>未按要求完成系统安全补丁更新、政策合规适配升级，升级过程出现重大故障、影响业务的，扣3分</w:t>
            </w:r>
          </w:p>
        </w:tc>
      </w:tr>
      <w:tr w14:paraId="09A1B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79EEDE1E">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431E2F34">
            <w:pPr>
              <w:snapToGrid w:val="0"/>
              <w:spacing w:line="240" w:lineRule="auto"/>
              <w:jc w:val="center"/>
              <w:rPr>
                <w:rFonts w:ascii="仿宋" w:hAnsi="仿宋" w:eastAsia="仿宋" w:cs="仿宋"/>
                <w:sz w:val="24"/>
              </w:rPr>
            </w:pPr>
          </w:p>
        </w:tc>
        <w:tc>
          <w:tcPr>
            <w:tcW w:w="1000" w:type="pct"/>
            <w:vMerge w:val="restart"/>
            <w:tcMar>
              <w:top w:w="60" w:type="dxa"/>
              <w:left w:w="120" w:type="dxa"/>
              <w:bottom w:w="30" w:type="dxa"/>
              <w:right w:w="120" w:type="dxa"/>
            </w:tcMar>
            <w:vAlign w:val="center"/>
          </w:tcPr>
          <w:p w14:paraId="4E724F46">
            <w:pPr>
              <w:snapToGrid w:val="0"/>
              <w:spacing w:line="240" w:lineRule="auto"/>
              <w:jc w:val="center"/>
              <w:rPr>
                <w:rFonts w:ascii="仿宋" w:hAnsi="仿宋" w:eastAsia="仿宋" w:cs="仿宋"/>
                <w:sz w:val="24"/>
              </w:rPr>
            </w:pPr>
            <w:r>
              <w:rPr>
                <w:rFonts w:hint="eastAsia" w:ascii="仿宋" w:hAnsi="仿宋" w:eastAsia="仿宋" w:cs="仿宋"/>
                <w:sz w:val="24"/>
              </w:rPr>
              <w:t>升级服务质量</w:t>
            </w:r>
          </w:p>
        </w:tc>
        <w:tc>
          <w:tcPr>
            <w:tcW w:w="461" w:type="pct"/>
            <w:vMerge w:val="restart"/>
            <w:tcMar>
              <w:top w:w="60" w:type="dxa"/>
              <w:left w:w="120" w:type="dxa"/>
              <w:bottom w:w="30" w:type="dxa"/>
              <w:right w:w="120" w:type="dxa"/>
            </w:tcMar>
            <w:vAlign w:val="center"/>
          </w:tcPr>
          <w:p w14:paraId="5538E3E2">
            <w:pPr>
              <w:snapToGrid w:val="0"/>
              <w:spacing w:line="240" w:lineRule="auto"/>
              <w:jc w:val="center"/>
              <w:rPr>
                <w:rFonts w:ascii="仿宋" w:hAnsi="仿宋" w:eastAsia="仿宋" w:cs="仿宋"/>
                <w:sz w:val="24"/>
              </w:rPr>
            </w:pPr>
            <w:r>
              <w:rPr>
                <w:rFonts w:hint="eastAsia" w:ascii="仿宋" w:hAnsi="仿宋" w:eastAsia="仿宋" w:cs="仿宋"/>
                <w:sz w:val="24"/>
              </w:rPr>
              <w:t>3</w:t>
            </w:r>
          </w:p>
        </w:tc>
        <w:tc>
          <w:tcPr>
            <w:tcW w:w="461" w:type="pct"/>
            <w:tcMar>
              <w:top w:w="60" w:type="dxa"/>
              <w:left w:w="120" w:type="dxa"/>
              <w:bottom w:w="30" w:type="dxa"/>
              <w:right w:w="120" w:type="dxa"/>
            </w:tcMar>
            <w:vAlign w:val="center"/>
          </w:tcPr>
          <w:p w14:paraId="1B0643CC">
            <w:pPr>
              <w:snapToGrid w:val="0"/>
              <w:spacing w:line="240" w:lineRule="auto"/>
              <w:jc w:val="center"/>
              <w:rPr>
                <w:rFonts w:ascii="仿宋" w:hAnsi="仿宋" w:eastAsia="仿宋" w:cs="仿宋"/>
                <w:sz w:val="24"/>
              </w:rPr>
            </w:pPr>
            <w:r>
              <w:rPr>
                <w:rFonts w:hint="eastAsia" w:ascii="仿宋" w:hAnsi="仿宋" w:eastAsia="仿宋" w:cs="仿宋"/>
                <w:sz w:val="24"/>
              </w:rPr>
              <w:t>1</w:t>
            </w:r>
          </w:p>
        </w:tc>
        <w:tc>
          <w:tcPr>
            <w:tcW w:w="2076" w:type="pct"/>
            <w:tcMar>
              <w:top w:w="60" w:type="dxa"/>
              <w:left w:w="120" w:type="dxa"/>
              <w:bottom w:w="30" w:type="dxa"/>
              <w:right w:w="120" w:type="dxa"/>
            </w:tcMar>
            <w:vAlign w:val="center"/>
          </w:tcPr>
          <w:p w14:paraId="4F3CD7A4">
            <w:pPr>
              <w:snapToGrid w:val="0"/>
              <w:spacing w:line="240" w:lineRule="auto"/>
              <w:rPr>
                <w:rFonts w:ascii="仿宋" w:hAnsi="仿宋" w:eastAsia="仿宋" w:cs="仿宋"/>
                <w:sz w:val="24"/>
              </w:rPr>
            </w:pPr>
            <w:r>
              <w:rPr>
                <w:rFonts w:hint="eastAsia" w:ascii="仿宋" w:hAnsi="仿宋" w:eastAsia="仿宋" w:cs="仿宋"/>
                <w:sz w:val="24"/>
              </w:rPr>
              <w:t>升级服务日志、测试报告、实施方案等资料不完整的，扣1分/次，扣完为止</w:t>
            </w:r>
          </w:p>
        </w:tc>
      </w:tr>
      <w:tr w14:paraId="65F80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6F4C8D98">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24101106">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3D820968">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359B1A6F">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0A166E0D">
            <w:pPr>
              <w:snapToGrid w:val="0"/>
              <w:spacing w:line="240" w:lineRule="auto"/>
              <w:jc w:val="center"/>
              <w:rPr>
                <w:rFonts w:ascii="仿宋" w:hAnsi="仿宋" w:eastAsia="仿宋" w:cs="仿宋"/>
                <w:sz w:val="24"/>
              </w:rPr>
            </w:pPr>
            <w:r>
              <w:rPr>
                <w:rFonts w:hint="eastAsia" w:ascii="仿宋" w:hAnsi="仿宋" w:eastAsia="仿宋" w:cs="仿宋"/>
                <w:sz w:val="24"/>
              </w:rPr>
              <w:t>2</w:t>
            </w:r>
          </w:p>
        </w:tc>
        <w:tc>
          <w:tcPr>
            <w:tcW w:w="2076" w:type="pct"/>
            <w:tcMar>
              <w:top w:w="60" w:type="dxa"/>
              <w:left w:w="120" w:type="dxa"/>
              <w:bottom w:w="30" w:type="dxa"/>
              <w:right w:w="120" w:type="dxa"/>
            </w:tcMar>
            <w:vAlign w:val="center"/>
          </w:tcPr>
          <w:p w14:paraId="498DB514">
            <w:pPr>
              <w:snapToGrid w:val="0"/>
              <w:spacing w:line="240" w:lineRule="auto"/>
              <w:rPr>
                <w:rFonts w:ascii="仿宋" w:hAnsi="仿宋" w:eastAsia="仿宋" w:cs="仿宋"/>
                <w:sz w:val="24"/>
              </w:rPr>
            </w:pPr>
            <w:r>
              <w:rPr>
                <w:rFonts w:hint="eastAsia" w:ascii="仿宋" w:hAnsi="仿宋" w:eastAsia="仿宋" w:cs="仿宋"/>
                <w:sz w:val="24"/>
              </w:rPr>
              <w:t>升级后出现遗留问题、使用部门评价达标率＜90%的，扣1分/次，扣完为止</w:t>
            </w:r>
          </w:p>
        </w:tc>
      </w:tr>
      <w:tr w14:paraId="387E6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restart"/>
            <w:tcMar>
              <w:top w:w="60" w:type="dxa"/>
              <w:left w:w="120" w:type="dxa"/>
              <w:bottom w:w="30" w:type="dxa"/>
              <w:right w:w="120" w:type="dxa"/>
            </w:tcMar>
            <w:vAlign w:val="center"/>
          </w:tcPr>
          <w:p w14:paraId="07B36A54">
            <w:pPr>
              <w:snapToGrid w:val="0"/>
              <w:spacing w:line="240" w:lineRule="auto"/>
              <w:jc w:val="center"/>
              <w:rPr>
                <w:rFonts w:ascii="仿宋" w:hAnsi="仿宋" w:eastAsia="仿宋" w:cs="仿宋"/>
                <w:sz w:val="24"/>
              </w:rPr>
            </w:pPr>
            <w:r>
              <w:rPr>
                <w:rFonts w:hint="eastAsia" w:ascii="仿宋" w:hAnsi="仿宋" w:eastAsia="仿宋" w:cs="仿宋"/>
                <w:sz w:val="24"/>
              </w:rPr>
              <w:t>4</w:t>
            </w:r>
          </w:p>
        </w:tc>
        <w:tc>
          <w:tcPr>
            <w:tcW w:w="692" w:type="pct"/>
            <w:vMerge w:val="restart"/>
            <w:tcMar>
              <w:top w:w="60" w:type="dxa"/>
              <w:left w:w="120" w:type="dxa"/>
              <w:bottom w:w="30" w:type="dxa"/>
              <w:right w:w="120" w:type="dxa"/>
            </w:tcMar>
            <w:vAlign w:val="center"/>
          </w:tcPr>
          <w:p w14:paraId="2F72D290">
            <w:pPr>
              <w:snapToGrid w:val="0"/>
              <w:spacing w:line="240" w:lineRule="auto"/>
              <w:jc w:val="center"/>
              <w:rPr>
                <w:rFonts w:ascii="仿宋" w:hAnsi="仿宋" w:eastAsia="仿宋" w:cs="仿宋"/>
                <w:sz w:val="24"/>
              </w:rPr>
            </w:pPr>
            <w:r>
              <w:rPr>
                <w:rFonts w:hint="eastAsia" w:ascii="仿宋" w:hAnsi="仿宋" w:eastAsia="仿宋" w:cs="仿宋"/>
                <w:sz w:val="24"/>
              </w:rPr>
              <w:t>网络与数据安全服务</w:t>
            </w:r>
          </w:p>
          <w:p w14:paraId="377B7467">
            <w:pPr>
              <w:snapToGrid w:val="0"/>
              <w:spacing w:line="240" w:lineRule="auto"/>
              <w:jc w:val="center"/>
              <w:rPr>
                <w:rFonts w:ascii="仿宋" w:hAnsi="仿宋" w:eastAsia="仿宋" w:cs="仿宋"/>
                <w:sz w:val="24"/>
              </w:rPr>
            </w:pPr>
            <w:r>
              <w:rPr>
                <w:rFonts w:hint="eastAsia" w:ascii="仿宋" w:hAnsi="仿宋" w:eastAsia="仿宋" w:cs="仿宋"/>
                <w:sz w:val="24"/>
              </w:rPr>
              <w:t>（25分）</w:t>
            </w:r>
          </w:p>
        </w:tc>
        <w:tc>
          <w:tcPr>
            <w:tcW w:w="1000" w:type="pct"/>
            <w:vMerge w:val="restart"/>
            <w:tcMar>
              <w:top w:w="60" w:type="dxa"/>
              <w:left w:w="120" w:type="dxa"/>
              <w:bottom w:w="30" w:type="dxa"/>
              <w:right w:w="120" w:type="dxa"/>
            </w:tcMar>
            <w:vAlign w:val="center"/>
          </w:tcPr>
          <w:p w14:paraId="66D3AD98">
            <w:pPr>
              <w:snapToGrid w:val="0"/>
              <w:spacing w:line="240" w:lineRule="auto"/>
              <w:jc w:val="center"/>
              <w:rPr>
                <w:rFonts w:ascii="仿宋" w:hAnsi="仿宋" w:eastAsia="仿宋" w:cs="仿宋"/>
                <w:sz w:val="24"/>
              </w:rPr>
            </w:pPr>
            <w:r>
              <w:rPr>
                <w:rFonts w:hint="eastAsia" w:ascii="仿宋" w:hAnsi="仿宋" w:eastAsia="仿宋" w:cs="仿宋"/>
                <w:sz w:val="24"/>
              </w:rPr>
              <w:t>网络安全与等保合规服务</w:t>
            </w:r>
          </w:p>
        </w:tc>
        <w:tc>
          <w:tcPr>
            <w:tcW w:w="461" w:type="pct"/>
            <w:vMerge w:val="restart"/>
            <w:tcMar>
              <w:top w:w="60" w:type="dxa"/>
              <w:left w:w="120" w:type="dxa"/>
              <w:bottom w:w="30" w:type="dxa"/>
              <w:right w:w="120" w:type="dxa"/>
            </w:tcMar>
            <w:vAlign w:val="center"/>
          </w:tcPr>
          <w:p w14:paraId="5B542EAA">
            <w:pPr>
              <w:snapToGrid w:val="0"/>
              <w:spacing w:line="240" w:lineRule="auto"/>
              <w:jc w:val="center"/>
              <w:rPr>
                <w:rFonts w:ascii="仿宋" w:hAnsi="仿宋" w:eastAsia="仿宋" w:cs="仿宋"/>
                <w:sz w:val="24"/>
              </w:rPr>
            </w:pPr>
            <w:r>
              <w:rPr>
                <w:rFonts w:hint="eastAsia" w:ascii="仿宋" w:hAnsi="仿宋" w:eastAsia="仿宋" w:cs="仿宋"/>
                <w:sz w:val="24"/>
              </w:rPr>
              <w:t>10</w:t>
            </w:r>
          </w:p>
        </w:tc>
        <w:tc>
          <w:tcPr>
            <w:tcW w:w="461" w:type="pct"/>
            <w:tcMar>
              <w:top w:w="60" w:type="dxa"/>
              <w:left w:w="120" w:type="dxa"/>
              <w:bottom w:w="30" w:type="dxa"/>
              <w:right w:w="120" w:type="dxa"/>
            </w:tcMar>
            <w:vAlign w:val="center"/>
          </w:tcPr>
          <w:p w14:paraId="01BDE4C9">
            <w:pPr>
              <w:snapToGrid w:val="0"/>
              <w:spacing w:line="240" w:lineRule="auto"/>
              <w:jc w:val="center"/>
              <w:rPr>
                <w:rFonts w:ascii="仿宋" w:hAnsi="仿宋" w:eastAsia="仿宋" w:cs="仿宋"/>
                <w:sz w:val="24"/>
              </w:rPr>
            </w:pPr>
            <w:r>
              <w:rPr>
                <w:rFonts w:hint="eastAsia" w:ascii="仿宋" w:hAnsi="仿宋" w:eastAsia="仿宋" w:cs="仿宋"/>
                <w:sz w:val="24"/>
              </w:rPr>
              <w:t>1</w:t>
            </w:r>
          </w:p>
        </w:tc>
        <w:tc>
          <w:tcPr>
            <w:tcW w:w="2076" w:type="pct"/>
            <w:tcMar>
              <w:top w:w="60" w:type="dxa"/>
              <w:left w:w="120" w:type="dxa"/>
              <w:bottom w:w="30" w:type="dxa"/>
              <w:right w:w="120" w:type="dxa"/>
            </w:tcMar>
            <w:vAlign w:val="center"/>
          </w:tcPr>
          <w:p w14:paraId="6EEF0D76">
            <w:pPr>
              <w:snapToGrid w:val="0"/>
              <w:spacing w:line="240" w:lineRule="auto"/>
              <w:rPr>
                <w:rFonts w:ascii="仿宋" w:hAnsi="仿宋" w:eastAsia="仿宋" w:cs="仿宋"/>
                <w:sz w:val="24"/>
              </w:rPr>
            </w:pPr>
            <w:r>
              <w:rPr>
                <w:rFonts w:hint="eastAsia" w:ascii="仿宋" w:hAnsi="仿宋" w:eastAsia="仿宋" w:cs="仿宋"/>
                <w:sz w:val="24"/>
              </w:rPr>
              <w:t>未成立安全整改专班、未按等保测评要求制定整改方案的，扣1分</w:t>
            </w:r>
          </w:p>
        </w:tc>
      </w:tr>
      <w:tr w14:paraId="4BACB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59D4E658">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661691ED">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1FECBA6A">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76C2071F">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2FE16BD2">
            <w:pPr>
              <w:snapToGrid w:val="0"/>
              <w:spacing w:line="240" w:lineRule="auto"/>
              <w:jc w:val="center"/>
              <w:rPr>
                <w:rFonts w:ascii="仿宋" w:hAnsi="仿宋" w:eastAsia="仿宋" w:cs="仿宋"/>
                <w:sz w:val="24"/>
              </w:rPr>
            </w:pPr>
            <w:r>
              <w:rPr>
                <w:rFonts w:hint="eastAsia" w:ascii="仿宋" w:hAnsi="仿宋" w:eastAsia="仿宋" w:cs="仿宋"/>
                <w:sz w:val="24"/>
              </w:rPr>
              <w:t>6</w:t>
            </w:r>
          </w:p>
        </w:tc>
        <w:tc>
          <w:tcPr>
            <w:tcW w:w="2076" w:type="pct"/>
            <w:tcMar>
              <w:top w:w="60" w:type="dxa"/>
              <w:left w:w="120" w:type="dxa"/>
              <w:bottom w:w="30" w:type="dxa"/>
              <w:right w:w="120" w:type="dxa"/>
            </w:tcMar>
            <w:vAlign w:val="center"/>
          </w:tcPr>
          <w:p w14:paraId="165587A4">
            <w:pPr>
              <w:snapToGrid w:val="0"/>
              <w:spacing w:line="240" w:lineRule="auto"/>
              <w:rPr>
                <w:rFonts w:ascii="仿宋" w:hAnsi="仿宋" w:eastAsia="仿宋" w:cs="仿宋"/>
                <w:sz w:val="24"/>
              </w:rPr>
            </w:pPr>
            <w:r>
              <w:rPr>
                <w:rFonts w:hint="eastAsia" w:ascii="仿宋" w:hAnsi="仿宋" w:eastAsia="仿宋" w:cs="仿宋"/>
                <w:sz w:val="24"/>
              </w:rPr>
              <w:t>未按要求完成等保测评问题整改、整改不及时不到位的，扣2分/次，扣完为止</w:t>
            </w:r>
          </w:p>
        </w:tc>
      </w:tr>
      <w:tr w14:paraId="4B607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63CC84F5">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214062FC">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50CC99F5">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25A7F535">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1A35C7CD">
            <w:pPr>
              <w:snapToGrid w:val="0"/>
              <w:spacing w:line="240" w:lineRule="auto"/>
              <w:jc w:val="center"/>
              <w:rPr>
                <w:rFonts w:ascii="仿宋" w:hAnsi="仿宋" w:eastAsia="仿宋" w:cs="仿宋"/>
                <w:sz w:val="24"/>
              </w:rPr>
            </w:pPr>
            <w:r>
              <w:rPr>
                <w:rFonts w:hint="eastAsia" w:ascii="仿宋" w:hAnsi="仿宋" w:eastAsia="仿宋" w:cs="仿宋"/>
                <w:sz w:val="24"/>
              </w:rPr>
              <w:t>3</w:t>
            </w:r>
          </w:p>
        </w:tc>
        <w:tc>
          <w:tcPr>
            <w:tcW w:w="2076" w:type="pct"/>
            <w:tcMar>
              <w:top w:w="60" w:type="dxa"/>
              <w:left w:w="120" w:type="dxa"/>
              <w:bottom w:w="30" w:type="dxa"/>
              <w:right w:w="120" w:type="dxa"/>
            </w:tcMar>
            <w:vAlign w:val="center"/>
          </w:tcPr>
          <w:p w14:paraId="1A1089CB">
            <w:pPr>
              <w:snapToGrid w:val="0"/>
              <w:spacing w:line="240" w:lineRule="auto"/>
              <w:rPr>
                <w:rFonts w:ascii="仿宋" w:hAnsi="仿宋" w:eastAsia="仿宋" w:cs="仿宋"/>
                <w:sz w:val="24"/>
              </w:rPr>
            </w:pPr>
            <w:r>
              <w:rPr>
                <w:rFonts w:hint="eastAsia" w:ascii="仿宋" w:hAnsi="仿宋" w:eastAsia="仿宋" w:cs="仿宋"/>
                <w:sz w:val="24"/>
              </w:rPr>
              <w:t>未配合医院完成等保复测，或复测达标率＜80%的，扣3分</w:t>
            </w:r>
          </w:p>
        </w:tc>
      </w:tr>
      <w:tr w14:paraId="7A31B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42628C02">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4BC0B5A7">
            <w:pPr>
              <w:snapToGrid w:val="0"/>
              <w:spacing w:line="240" w:lineRule="auto"/>
              <w:jc w:val="center"/>
              <w:rPr>
                <w:rFonts w:ascii="仿宋" w:hAnsi="仿宋" w:eastAsia="仿宋" w:cs="仿宋"/>
                <w:sz w:val="24"/>
              </w:rPr>
            </w:pPr>
          </w:p>
        </w:tc>
        <w:tc>
          <w:tcPr>
            <w:tcW w:w="1000" w:type="pct"/>
            <w:vMerge w:val="restart"/>
            <w:tcMar>
              <w:top w:w="60" w:type="dxa"/>
              <w:left w:w="120" w:type="dxa"/>
              <w:bottom w:w="30" w:type="dxa"/>
              <w:right w:w="120" w:type="dxa"/>
            </w:tcMar>
            <w:vAlign w:val="center"/>
          </w:tcPr>
          <w:p w14:paraId="0B421D75">
            <w:pPr>
              <w:snapToGrid w:val="0"/>
              <w:spacing w:line="240" w:lineRule="auto"/>
              <w:jc w:val="center"/>
              <w:rPr>
                <w:rFonts w:ascii="仿宋" w:hAnsi="仿宋" w:eastAsia="仿宋" w:cs="仿宋"/>
                <w:sz w:val="24"/>
              </w:rPr>
            </w:pPr>
            <w:r>
              <w:rPr>
                <w:rFonts w:hint="eastAsia" w:ascii="仿宋" w:hAnsi="仿宋" w:eastAsia="仿宋" w:cs="仿宋"/>
                <w:sz w:val="24"/>
              </w:rPr>
              <w:t>数据安全服务</w:t>
            </w:r>
          </w:p>
        </w:tc>
        <w:tc>
          <w:tcPr>
            <w:tcW w:w="461" w:type="pct"/>
            <w:vMerge w:val="restart"/>
            <w:tcMar>
              <w:top w:w="60" w:type="dxa"/>
              <w:left w:w="120" w:type="dxa"/>
              <w:bottom w:w="30" w:type="dxa"/>
              <w:right w:w="120" w:type="dxa"/>
            </w:tcMar>
            <w:vAlign w:val="center"/>
          </w:tcPr>
          <w:p w14:paraId="4D29BA0B">
            <w:pPr>
              <w:snapToGrid w:val="0"/>
              <w:spacing w:line="240" w:lineRule="auto"/>
              <w:jc w:val="center"/>
              <w:rPr>
                <w:rFonts w:ascii="仿宋" w:hAnsi="仿宋" w:eastAsia="仿宋" w:cs="仿宋"/>
                <w:sz w:val="24"/>
              </w:rPr>
            </w:pPr>
            <w:r>
              <w:rPr>
                <w:rFonts w:hint="eastAsia" w:ascii="仿宋" w:hAnsi="仿宋" w:eastAsia="仿宋" w:cs="仿宋"/>
                <w:sz w:val="24"/>
              </w:rPr>
              <w:t>10</w:t>
            </w:r>
          </w:p>
        </w:tc>
        <w:tc>
          <w:tcPr>
            <w:tcW w:w="461" w:type="pct"/>
            <w:tcMar>
              <w:top w:w="60" w:type="dxa"/>
              <w:left w:w="120" w:type="dxa"/>
              <w:bottom w:w="30" w:type="dxa"/>
              <w:right w:w="120" w:type="dxa"/>
            </w:tcMar>
            <w:vAlign w:val="center"/>
          </w:tcPr>
          <w:p w14:paraId="14E97EE4">
            <w:pPr>
              <w:snapToGrid w:val="0"/>
              <w:spacing w:line="240" w:lineRule="auto"/>
              <w:jc w:val="center"/>
              <w:rPr>
                <w:rFonts w:ascii="仿宋" w:hAnsi="仿宋" w:eastAsia="仿宋" w:cs="仿宋"/>
                <w:sz w:val="24"/>
              </w:rPr>
            </w:pPr>
            <w:r>
              <w:rPr>
                <w:rFonts w:hint="eastAsia" w:ascii="仿宋" w:hAnsi="仿宋" w:eastAsia="仿宋" w:cs="仿宋"/>
                <w:sz w:val="24"/>
              </w:rPr>
              <w:t>2</w:t>
            </w:r>
          </w:p>
        </w:tc>
        <w:tc>
          <w:tcPr>
            <w:tcW w:w="2076" w:type="pct"/>
            <w:tcMar>
              <w:top w:w="60" w:type="dxa"/>
              <w:left w:w="120" w:type="dxa"/>
              <w:bottom w:w="30" w:type="dxa"/>
              <w:right w:w="120" w:type="dxa"/>
            </w:tcMar>
            <w:vAlign w:val="center"/>
          </w:tcPr>
          <w:p w14:paraId="4E4E5608">
            <w:pPr>
              <w:snapToGrid w:val="0"/>
              <w:spacing w:line="240" w:lineRule="auto"/>
              <w:rPr>
                <w:rFonts w:ascii="仿宋" w:hAnsi="仿宋" w:eastAsia="仿宋" w:cs="仿宋"/>
                <w:sz w:val="24"/>
              </w:rPr>
            </w:pPr>
            <w:r>
              <w:rPr>
                <w:rFonts w:hint="eastAsia" w:ascii="仿宋" w:hAnsi="仿宋" w:eastAsia="仿宋" w:cs="仿宋"/>
                <w:sz w:val="24"/>
              </w:rPr>
              <w:t>未建立数据安全保护机制、未提供数据安全合理化建议的，扣2分</w:t>
            </w:r>
          </w:p>
        </w:tc>
      </w:tr>
      <w:tr w14:paraId="2EEE3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71A9A01C">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10330AE7">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78F11F91">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3CD09A62">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6B26C6F6">
            <w:pPr>
              <w:snapToGrid w:val="0"/>
              <w:spacing w:line="240" w:lineRule="auto"/>
              <w:jc w:val="center"/>
              <w:rPr>
                <w:rFonts w:ascii="仿宋" w:hAnsi="仿宋" w:eastAsia="仿宋" w:cs="仿宋"/>
                <w:sz w:val="24"/>
              </w:rPr>
            </w:pPr>
            <w:r>
              <w:rPr>
                <w:rFonts w:hint="eastAsia" w:ascii="仿宋" w:hAnsi="仿宋" w:eastAsia="仿宋" w:cs="仿宋"/>
                <w:sz w:val="24"/>
              </w:rPr>
              <w:t>8</w:t>
            </w:r>
          </w:p>
        </w:tc>
        <w:tc>
          <w:tcPr>
            <w:tcW w:w="2076" w:type="pct"/>
            <w:tcMar>
              <w:top w:w="60" w:type="dxa"/>
              <w:left w:w="120" w:type="dxa"/>
              <w:bottom w:w="30" w:type="dxa"/>
              <w:right w:w="120" w:type="dxa"/>
            </w:tcMar>
            <w:vAlign w:val="center"/>
          </w:tcPr>
          <w:p w14:paraId="46126814">
            <w:pPr>
              <w:snapToGrid w:val="0"/>
              <w:spacing w:line="240" w:lineRule="auto"/>
              <w:rPr>
                <w:rFonts w:ascii="仿宋" w:hAnsi="仿宋" w:eastAsia="仿宋" w:cs="仿宋"/>
                <w:sz w:val="24"/>
              </w:rPr>
            </w:pPr>
            <w:r>
              <w:rPr>
                <w:rFonts w:hint="eastAsia" w:ascii="仿宋" w:hAnsi="仿宋" w:eastAsia="仿宋" w:cs="仿宋"/>
                <w:sz w:val="24"/>
              </w:rPr>
              <w:t>未通过技术方案保障采购人数据安全，出现数据安全隐患未及时处置的，扣2分/次，扣完为止</w:t>
            </w:r>
          </w:p>
        </w:tc>
      </w:tr>
      <w:tr w14:paraId="21FF1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34AEC503">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74768A88">
            <w:pPr>
              <w:snapToGrid w:val="0"/>
              <w:spacing w:line="240" w:lineRule="auto"/>
              <w:jc w:val="center"/>
              <w:rPr>
                <w:rFonts w:ascii="仿宋" w:hAnsi="仿宋" w:eastAsia="仿宋" w:cs="仿宋"/>
                <w:sz w:val="24"/>
              </w:rPr>
            </w:pPr>
          </w:p>
        </w:tc>
        <w:tc>
          <w:tcPr>
            <w:tcW w:w="1000" w:type="pct"/>
            <w:vMerge w:val="restart"/>
            <w:tcMar>
              <w:top w:w="60" w:type="dxa"/>
              <w:left w:w="120" w:type="dxa"/>
              <w:bottom w:w="30" w:type="dxa"/>
              <w:right w:w="120" w:type="dxa"/>
            </w:tcMar>
            <w:vAlign w:val="center"/>
          </w:tcPr>
          <w:p w14:paraId="0004CFC3">
            <w:pPr>
              <w:snapToGrid w:val="0"/>
              <w:spacing w:line="240" w:lineRule="auto"/>
              <w:jc w:val="center"/>
              <w:rPr>
                <w:rFonts w:ascii="仿宋" w:hAnsi="仿宋" w:eastAsia="仿宋" w:cs="仿宋"/>
                <w:sz w:val="24"/>
              </w:rPr>
            </w:pPr>
            <w:r>
              <w:rPr>
                <w:rFonts w:hint="eastAsia" w:ascii="仿宋" w:hAnsi="仿宋" w:eastAsia="仿宋" w:cs="仿宋"/>
                <w:sz w:val="24"/>
              </w:rPr>
              <w:t>数据信息保密管理</w:t>
            </w:r>
          </w:p>
        </w:tc>
        <w:tc>
          <w:tcPr>
            <w:tcW w:w="461" w:type="pct"/>
            <w:vMerge w:val="restart"/>
            <w:tcMar>
              <w:top w:w="60" w:type="dxa"/>
              <w:left w:w="120" w:type="dxa"/>
              <w:bottom w:w="30" w:type="dxa"/>
              <w:right w:w="120" w:type="dxa"/>
            </w:tcMar>
            <w:vAlign w:val="center"/>
          </w:tcPr>
          <w:p w14:paraId="29CF2AB6">
            <w:pPr>
              <w:snapToGrid w:val="0"/>
              <w:spacing w:line="240" w:lineRule="auto"/>
              <w:jc w:val="center"/>
              <w:rPr>
                <w:rFonts w:ascii="仿宋" w:hAnsi="仿宋" w:eastAsia="仿宋" w:cs="仿宋"/>
                <w:sz w:val="24"/>
              </w:rPr>
            </w:pPr>
            <w:r>
              <w:rPr>
                <w:rFonts w:hint="eastAsia" w:ascii="仿宋" w:hAnsi="仿宋" w:eastAsia="仿宋" w:cs="仿宋"/>
                <w:sz w:val="24"/>
              </w:rPr>
              <w:t>5</w:t>
            </w:r>
          </w:p>
        </w:tc>
        <w:tc>
          <w:tcPr>
            <w:tcW w:w="461" w:type="pct"/>
            <w:tcMar>
              <w:top w:w="60" w:type="dxa"/>
              <w:left w:w="120" w:type="dxa"/>
              <w:bottom w:w="30" w:type="dxa"/>
              <w:right w:w="120" w:type="dxa"/>
            </w:tcMar>
            <w:vAlign w:val="center"/>
          </w:tcPr>
          <w:p w14:paraId="68DD7D95">
            <w:pPr>
              <w:snapToGrid w:val="0"/>
              <w:spacing w:line="240" w:lineRule="auto"/>
              <w:jc w:val="center"/>
              <w:rPr>
                <w:rFonts w:ascii="仿宋" w:hAnsi="仿宋" w:eastAsia="仿宋" w:cs="仿宋"/>
                <w:sz w:val="24"/>
              </w:rPr>
            </w:pPr>
            <w:r>
              <w:rPr>
                <w:rFonts w:hint="eastAsia" w:ascii="仿宋" w:hAnsi="仿宋" w:eastAsia="仿宋" w:cs="仿宋"/>
                <w:sz w:val="24"/>
              </w:rPr>
              <w:t>1</w:t>
            </w:r>
          </w:p>
        </w:tc>
        <w:tc>
          <w:tcPr>
            <w:tcW w:w="2076" w:type="pct"/>
            <w:tcMar>
              <w:top w:w="60" w:type="dxa"/>
              <w:left w:w="120" w:type="dxa"/>
              <w:bottom w:w="30" w:type="dxa"/>
              <w:right w:w="120" w:type="dxa"/>
            </w:tcMar>
            <w:vAlign w:val="center"/>
          </w:tcPr>
          <w:p w14:paraId="0B532B44">
            <w:pPr>
              <w:snapToGrid w:val="0"/>
              <w:spacing w:line="240" w:lineRule="auto"/>
              <w:rPr>
                <w:rFonts w:ascii="仿宋" w:hAnsi="仿宋" w:eastAsia="仿宋" w:cs="仿宋"/>
                <w:sz w:val="24"/>
              </w:rPr>
            </w:pPr>
            <w:r>
              <w:rPr>
                <w:rFonts w:hint="eastAsia" w:ascii="仿宋" w:hAnsi="仿宋" w:eastAsia="仿宋" w:cs="仿宋"/>
                <w:sz w:val="24"/>
              </w:rPr>
              <w:t>未建立保密管理制度、保密机制不健全的，扣1分</w:t>
            </w:r>
          </w:p>
        </w:tc>
      </w:tr>
      <w:tr w14:paraId="10B09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530B4ECC">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06DC9C8A">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0578E5CE">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4EA6853E">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647BD5D0">
            <w:pPr>
              <w:snapToGrid w:val="0"/>
              <w:spacing w:line="240" w:lineRule="auto"/>
              <w:jc w:val="center"/>
              <w:rPr>
                <w:rFonts w:ascii="仿宋" w:hAnsi="仿宋" w:eastAsia="仿宋" w:cs="仿宋"/>
                <w:sz w:val="24"/>
              </w:rPr>
            </w:pPr>
            <w:r>
              <w:rPr>
                <w:rFonts w:hint="eastAsia" w:ascii="仿宋" w:hAnsi="仿宋" w:eastAsia="仿宋" w:cs="仿宋"/>
                <w:sz w:val="24"/>
              </w:rPr>
              <w:t>2</w:t>
            </w:r>
          </w:p>
        </w:tc>
        <w:tc>
          <w:tcPr>
            <w:tcW w:w="2076" w:type="pct"/>
            <w:tcMar>
              <w:top w:w="60" w:type="dxa"/>
              <w:left w:w="120" w:type="dxa"/>
              <w:bottom w:w="30" w:type="dxa"/>
              <w:right w:w="120" w:type="dxa"/>
            </w:tcMar>
            <w:vAlign w:val="center"/>
          </w:tcPr>
          <w:p w14:paraId="7ED5AA80">
            <w:pPr>
              <w:snapToGrid w:val="0"/>
              <w:spacing w:line="240" w:lineRule="auto"/>
              <w:rPr>
                <w:rFonts w:ascii="仿宋" w:hAnsi="仿宋" w:eastAsia="仿宋" w:cs="仿宋"/>
                <w:sz w:val="24"/>
              </w:rPr>
            </w:pPr>
            <w:r>
              <w:rPr>
                <w:rFonts w:hint="eastAsia" w:ascii="仿宋" w:hAnsi="仿宋" w:eastAsia="仿宋" w:cs="仿宋"/>
                <w:sz w:val="24"/>
              </w:rPr>
              <w:t>未与采购人、项目服务人员签订保密协议的，扣1分/项</w:t>
            </w:r>
          </w:p>
        </w:tc>
      </w:tr>
      <w:tr w14:paraId="3A859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325C7DD0">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2A041ED2">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1B5EBE78">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1F25C1BD">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658BC048">
            <w:pPr>
              <w:snapToGrid w:val="0"/>
              <w:spacing w:line="240" w:lineRule="auto"/>
              <w:jc w:val="center"/>
              <w:rPr>
                <w:rFonts w:ascii="仿宋" w:hAnsi="仿宋" w:eastAsia="仿宋" w:cs="仿宋"/>
                <w:sz w:val="24"/>
              </w:rPr>
            </w:pPr>
            <w:r>
              <w:rPr>
                <w:rFonts w:hint="eastAsia" w:ascii="仿宋" w:hAnsi="仿宋" w:eastAsia="仿宋" w:cs="仿宋"/>
                <w:sz w:val="24"/>
              </w:rPr>
              <w:t>2</w:t>
            </w:r>
          </w:p>
        </w:tc>
        <w:tc>
          <w:tcPr>
            <w:tcW w:w="2076" w:type="pct"/>
            <w:tcMar>
              <w:top w:w="60" w:type="dxa"/>
              <w:left w:w="120" w:type="dxa"/>
              <w:bottom w:w="30" w:type="dxa"/>
              <w:right w:w="120" w:type="dxa"/>
            </w:tcMar>
            <w:vAlign w:val="center"/>
          </w:tcPr>
          <w:p w14:paraId="41A0F76B">
            <w:pPr>
              <w:snapToGrid w:val="0"/>
              <w:spacing w:line="240" w:lineRule="auto"/>
              <w:rPr>
                <w:rFonts w:ascii="仿宋" w:hAnsi="仿宋" w:eastAsia="仿宋" w:cs="仿宋"/>
                <w:sz w:val="24"/>
              </w:rPr>
            </w:pPr>
            <w:r>
              <w:rPr>
                <w:rFonts w:hint="eastAsia" w:ascii="仿宋" w:hAnsi="仿宋" w:eastAsia="仿宋" w:cs="仿宋"/>
                <w:sz w:val="24"/>
              </w:rPr>
              <w:t>未制定保密相关考核制度、人员管理不到位的，扣1分</w:t>
            </w:r>
          </w:p>
        </w:tc>
      </w:tr>
      <w:tr w14:paraId="78414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59374F13">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5C56A1A1">
            <w:pPr>
              <w:snapToGrid w:val="0"/>
              <w:spacing w:line="240" w:lineRule="auto"/>
              <w:jc w:val="center"/>
              <w:rPr>
                <w:rFonts w:ascii="仿宋" w:hAnsi="仿宋" w:eastAsia="仿宋" w:cs="仿宋"/>
                <w:sz w:val="24"/>
              </w:rPr>
            </w:pPr>
          </w:p>
        </w:tc>
        <w:tc>
          <w:tcPr>
            <w:tcW w:w="1000" w:type="pct"/>
            <w:tcMar>
              <w:top w:w="60" w:type="dxa"/>
              <w:left w:w="120" w:type="dxa"/>
              <w:bottom w:w="30" w:type="dxa"/>
              <w:right w:w="120" w:type="dxa"/>
            </w:tcMar>
            <w:vAlign w:val="center"/>
          </w:tcPr>
          <w:p w14:paraId="159A13A4">
            <w:pPr>
              <w:snapToGrid w:val="0"/>
              <w:spacing w:line="240" w:lineRule="auto"/>
              <w:jc w:val="center"/>
              <w:rPr>
                <w:rFonts w:ascii="仿宋" w:hAnsi="仿宋" w:eastAsia="仿宋" w:cs="仿宋"/>
                <w:sz w:val="24"/>
              </w:rPr>
            </w:pPr>
            <w:r>
              <w:rPr>
                <w:rFonts w:hint="eastAsia" w:ascii="仿宋" w:hAnsi="仿宋" w:eastAsia="仿宋" w:cs="仿宋"/>
                <w:sz w:val="24"/>
              </w:rPr>
              <w:t>重大安全事件否决项</w:t>
            </w:r>
          </w:p>
        </w:tc>
        <w:tc>
          <w:tcPr>
            <w:tcW w:w="461" w:type="pct"/>
            <w:tcMar>
              <w:top w:w="60" w:type="dxa"/>
              <w:left w:w="120" w:type="dxa"/>
              <w:bottom w:w="30" w:type="dxa"/>
              <w:right w:w="120" w:type="dxa"/>
            </w:tcMar>
            <w:vAlign w:val="center"/>
          </w:tcPr>
          <w:p w14:paraId="42F79859">
            <w:pPr>
              <w:snapToGrid w:val="0"/>
              <w:spacing w:line="240" w:lineRule="auto"/>
              <w:jc w:val="center"/>
              <w:rPr>
                <w:rFonts w:ascii="仿宋" w:hAnsi="仿宋" w:eastAsia="仿宋" w:cs="仿宋"/>
                <w:sz w:val="24"/>
              </w:rPr>
            </w:pPr>
            <w:r>
              <w:rPr>
                <w:rFonts w:hint="eastAsia" w:ascii="仿宋" w:hAnsi="仿宋" w:eastAsia="仿宋" w:cs="仿宋"/>
                <w:sz w:val="24"/>
              </w:rPr>
              <w:t>-</w:t>
            </w:r>
          </w:p>
        </w:tc>
        <w:tc>
          <w:tcPr>
            <w:tcW w:w="461" w:type="pct"/>
            <w:tcMar>
              <w:top w:w="60" w:type="dxa"/>
              <w:left w:w="120" w:type="dxa"/>
              <w:bottom w:w="30" w:type="dxa"/>
              <w:right w:w="120" w:type="dxa"/>
            </w:tcMar>
            <w:vAlign w:val="center"/>
          </w:tcPr>
          <w:p w14:paraId="70E90A7B">
            <w:pPr>
              <w:snapToGrid w:val="0"/>
              <w:spacing w:line="240" w:lineRule="auto"/>
              <w:jc w:val="center"/>
              <w:rPr>
                <w:rFonts w:ascii="仿宋" w:hAnsi="仿宋" w:eastAsia="仿宋" w:cs="仿宋"/>
                <w:sz w:val="24"/>
              </w:rPr>
            </w:pPr>
            <w:r>
              <w:rPr>
                <w:rFonts w:hint="eastAsia" w:ascii="仿宋" w:hAnsi="仿宋" w:eastAsia="仿宋" w:cs="仿宋"/>
                <w:sz w:val="24"/>
              </w:rPr>
              <w:t>-</w:t>
            </w:r>
          </w:p>
        </w:tc>
        <w:tc>
          <w:tcPr>
            <w:tcW w:w="2076" w:type="pct"/>
            <w:tcMar>
              <w:top w:w="60" w:type="dxa"/>
              <w:left w:w="120" w:type="dxa"/>
              <w:bottom w:w="30" w:type="dxa"/>
              <w:right w:w="120" w:type="dxa"/>
            </w:tcMar>
            <w:vAlign w:val="center"/>
          </w:tcPr>
          <w:p w14:paraId="5F0E9333">
            <w:pPr>
              <w:snapToGrid w:val="0"/>
              <w:spacing w:line="240" w:lineRule="auto"/>
              <w:rPr>
                <w:rFonts w:ascii="仿宋" w:hAnsi="仿宋" w:eastAsia="仿宋" w:cs="仿宋"/>
                <w:sz w:val="24"/>
              </w:rPr>
            </w:pPr>
            <w:r>
              <w:rPr>
                <w:rFonts w:hint="eastAsia" w:ascii="仿宋" w:hAnsi="仿宋" w:eastAsia="仿宋" w:cs="仿宋"/>
                <w:sz w:val="24"/>
              </w:rPr>
              <w:t>发生信息泄露、重大数据安全事件的，本大项20分全部扣除，同时直接认定年度考核不合格，追究对应违约责任</w:t>
            </w:r>
          </w:p>
        </w:tc>
      </w:tr>
      <w:tr w14:paraId="13BA4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restart"/>
            <w:tcMar>
              <w:top w:w="60" w:type="dxa"/>
              <w:left w:w="120" w:type="dxa"/>
              <w:bottom w:w="30" w:type="dxa"/>
              <w:right w:w="120" w:type="dxa"/>
            </w:tcMar>
            <w:vAlign w:val="center"/>
          </w:tcPr>
          <w:p w14:paraId="0B8637F3">
            <w:pPr>
              <w:snapToGrid w:val="0"/>
              <w:spacing w:line="240" w:lineRule="auto"/>
              <w:jc w:val="center"/>
              <w:rPr>
                <w:rFonts w:ascii="仿宋" w:hAnsi="仿宋" w:eastAsia="仿宋" w:cs="仿宋"/>
                <w:sz w:val="24"/>
              </w:rPr>
            </w:pPr>
            <w:bookmarkStart w:id="65" w:name="_Hlk229478622"/>
            <w:r>
              <w:rPr>
                <w:rFonts w:hint="eastAsia" w:ascii="仿宋" w:hAnsi="仿宋" w:eastAsia="仿宋" w:cs="仿宋"/>
                <w:sz w:val="24"/>
              </w:rPr>
              <w:t>5</w:t>
            </w:r>
          </w:p>
        </w:tc>
        <w:tc>
          <w:tcPr>
            <w:tcW w:w="692" w:type="pct"/>
            <w:vMerge w:val="restart"/>
            <w:tcMar>
              <w:top w:w="60" w:type="dxa"/>
              <w:left w:w="120" w:type="dxa"/>
              <w:bottom w:w="30" w:type="dxa"/>
              <w:right w:w="120" w:type="dxa"/>
            </w:tcMar>
            <w:vAlign w:val="center"/>
          </w:tcPr>
          <w:p w14:paraId="3C2EC91E">
            <w:pPr>
              <w:snapToGrid w:val="0"/>
              <w:spacing w:line="240" w:lineRule="auto"/>
              <w:jc w:val="center"/>
              <w:rPr>
                <w:rFonts w:ascii="仿宋" w:hAnsi="仿宋" w:eastAsia="仿宋" w:cs="仿宋"/>
                <w:sz w:val="24"/>
              </w:rPr>
            </w:pPr>
            <w:r>
              <w:rPr>
                <w:rFonts w:hint="eastAsia" w:ascii="仿宋" w:hAnsi="仿宋" w:eastAsia="仿宋" w:cs="仿宋"/>
                <w:sz w:val="24"/>
              </w:rPr>
              <w:t>培训服务（5分）</w:t>
            </w:r>
          </w:p>
        </w:tc>
        <w:tc>
          <w:tcPr>
            <w:tcW w:w="1000" w:type="pct"/>
            <w:vMerge w:val="restart"/>
            <w:tcMar>
              <w:top w:w="60" w:type="dxa"/>
              <w:left w:w="120" w:type="dxa"/>
              <w:bottom w:w="30" w:type="dxa"/>
              <w:right w:w="120" w:type="dxa"/>
            </w:tcMar>
            <w:vAlign w:val="center"/>
          </w:tcPr>
          <w:p w14:paraId="12021316">
            <w:pPr>
              <w:snapToGrid w:val="0"/>
              <w:spacing w:line="240" w:lineRule="auto"/>
              <w:jc w:val="center"/>
              <w:rPr>
                <w:rFonts w:ascii="仿宋" w:hAnsi="仿宋" w:eastAsia="仿宋" w:cs="仿宋"/>
                <w:sz w:val="24"/>
              </w:rPr>
            </w:pPr>
            <w:r>
              <w:rPr>
                <w:rFonts w:hint="eastAsia" w:ascii="仿宋" w:hAnsi="仿宋" w:eastAsia="仿宋" w:cs="仿宋"/>
                <w:sz w:val="24"/>
              </w:rPr>
              <w:t>培训服务履约与质量</w:t>
            </w:r>
          </w:p>
        </w:tc>
        <w:tc>
          <w:tcPr>
            <w:tcW w:w="461" w:type="pct"/>
            <w:vMerge w:val="restart"/>
            <w:tcMar>
              <w:top w:w="60" w:type="dxa"/>
              <w:left w:w="120" w:type="dxa"/>
              <w:bottom w:w="30" w:type="dxa"/>
              <w:right w:w="120" w:type="dxa"/>
            </w:tcMar>
            <w:vAlign w:val="center"/>
          </w:tcPr>
          <w:p w14:paraId="370439C2">
            <w:pPr>
              <w:snapToGrid w:val="0"/>
              <w:spacing w:line="240" w:lineRule="auto"/>
              <w:jc w:val="center"/>
              <w:rPr>
                <w:rFonts w:ascii="仿宋" w:hAnsi="仿宋" w:eastAsia="仿宋" w:cs="仿宋"/>
                <w:sz w:val="24"/>
              </w:rPr>
            </w:pPr>
            <w:r>
              <w:rPr>
                <w:rFonts w:hint="eastAsia" w:ascii="仿宋" w:hAnsi="仿宋" w:eastAsia="仿宋" w:cs="仿宋"/>
                <w:sz w:val="24"/>
              </w:rPr>
              <w:t>5</w:t>
            </w:r>
          </w:p>
        </w:tc>
        <w:tc>
          <w:tcPr>
            <w:tcW w:w="461" w:type="pct"/>
            <w:tcMar>
              <w:top w:w="60" w:type="dxa"/>
              <w:left w:w="120" w:type="dxa"/>
              <w:bottom w:w="30" w:type="dxa"/>
              <w:right w:w="120" w:type="dxa"/>
            </w:tcMar>
            <w:vAlign w:val="center"/>
          </w:tcPr>
          <w:p w14:paraId="0878587C">
            <w:pPr>
              <w:snapToGrid w:val="0"/>
              <w:spacing w:line="240" w:lineRule="auto"/>
              <w:jc w:val="center"/>
              <w:rPr>
                <w:rFonts w:ascii="仿宋" w:hAnsi="仿宋" w:eastAsia="仿宋" w:cs="仿宋"/>
                <w:sz w:val="24"/>
              </w:rPr>
            </w:pPr>
            <w:r>
              <w:rPr>
                <w:rFonts w:hint="eastAsia" w:ascii="仿宋" w:hAnsi="仿宋" w:eastAsia="仿宋" w:cs="仿宋"/>
                <w:sz w:val="24"/>
              </w:rPr>
              <w:t>2</w:t>
            </w:r>
          </w:p>
        </w:tc>
        <w:tc>
          <w:tcPr>
            <w:tcW w:w="2076" w:type="pct"/>
            <w:tcMar>
              <w:top w:w="60" w:type="dxa"/>
              <w:left w:w="120" w:type="dxa"/>
              <w:bottom w:w="30" w:type="dxa"/>
              <w:right w:w="120" w:type="dxa"/>
            </w:tcMar>
            <w:vAlign w:val="center"/>
          </w:tcPr>
          <w:p w14:paraId="4012BC82">
            <w:pPr>
              <w:snapToGrid w:val="0"/>
              <w:spacing w:line="240" w:lineRule="auto"/>
              <w:rPr>
                <w:rFonts w:ascii="仿宋" w:hAnsi="仿宋" w:eastAsia="仿宋" w:cs="仿宋"/>
                <w:sz w:val="24"/>
              </w:rPr>
            </w:pPr>
            <w:r>
              <w:rPr>
                <w:rFonts w:hint="eastAsia" w:ascii="仿宋" w:hAnsi="仿宋" w:eastAsia="仿宋" w:cs="仿宋"/>
                <w:sz w:val="24"/>
              </w:rPr>
              <w:t>未按合同要求制定培训计划、编制培训教材的，扣2分</w:t>
            </w:r>
          </w:p>
        </w:tc>
      </w:tr>
      <w:tr w14:paraId="50E6B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65596420">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3A991670">
            <w:pPr>
              <w:snapToGrid w:val="0"/>
              <w:spacing w:line="240" w:lineRule="auto"/>
              <w:jc w:val="center"/>
              <w:rPr>
                <w:rFonts w:ascii="仿宋" w:hAnsi="仿宋" w:eastAsia="仿宋" w:cs="仿宋"/>
                <w:sz w:val="24"/>
              </w:rPr>
            </w:pPr>
          </w:p>
        </w:tc>
        <w:tc>
          <w:tcPr>
            <w:tcW w:w="1000" w:type="pct"/>
            <w:vMerge w:val="continue"/>
            <w:tcMar>
              <w:top w:w="60" w:type="dxa"/>
              <w:left w:w="120" w:type="dxa"/>
              <w:bottom w:w="30" w:type="dxa"/>
              <w:right w:w="120" w:type="dxa"/>
            </w:tcMar>
            <w:vAlign w:val="center"/>
          </w:tcPr>
          <w:p w14:paraId="135FF1AD">
            <w:pPr>
              <w:snapToGrid w:val="0"/>
              <w:spacing w:line="240" w:lineRule="auto"/>
              <w:jc w:val="center"/>
              <w:rPr>
                <w:rFonts w:ascii="仿宋" w:hAnsi="仿宋" w:eastAsia="仿宋" w:cs="仿宋"/>
                <w:sz w:val="24"/>
              </w:rPr>
            </w:pPr>
          </w:p>
        </w:tc>
        <w:tc>
          <w:tcPr>
            <w:tcW w:w="461" w:type="pct"/>
            <w:vMerge w:val="continue"/>
            <w:tcMar>
              <w:top w:w="60" w:type="dxa"/>
              <w:left w:w="120" w:type="dxa"/>
              <w:bottom w:w="30" w:type="dxa"/>
              <w:right w:w="120" w:type="dxa"/>
            </w:tcMar>
            <w:vAlign w:val="center"/>
          </w:tcPr>
          <w:p w14:paraId="65B19049">
            <w:pPr>
              <w:snapToGrid w:val="0"/>
              <w:spacing w:line="240" w:lineRule="auto"/>
              <w:jc w:val="center"/>
              <w:rPr>
                <w:rFonts w:ascii="仿宋" w:hAnsi="仿宋" w:eastAsia="仿宋" w:cs="仿宋"/>
                <w:sz w:val="24"/>
              </w:rPr>
            </w:pPr>
          </w:p>
        </w:tc>
        <w:tc>
          <w:tcPr>
            <w:tcW w:w="461" w:type="pct"/>
            <w:tcMar>
              <w:top w:w="60" w:type="dxa"/>
              <w:left w:w="120" w:type="dxa"/>
              <w:bottom w:w="30" w:type="dxa"/>
              <w:right w:w="120" w:type="dxa"/>
            </w:tcMar>
            <w:vAlign w:val="center"/>
          </w:tcPr>
          <w:p w14:paraId="019B14DD">
            <w:pPr>
              <w:snapToGrid w:val="0"/>
              <w:spacing w:line="240" w:lineRule="auto"/>
              <w:jc w:val="center"/>
              <w:rPr>
                <w:rFonts w:ascii="仿宋" w:hAnsi="仿宋" w:eastAsia="仿宋" w:cs="仿宋"/>
                <w:sz w:val="24"/>
              </w:rPr>
            </w:pPr>
            <w:r>
              <w:rPr>
                <w:rFonts w:hint="eastAsia" w:ascii="仿宋" w:hAnsi="仿宋" w:eastAsia="仿宋" w:cs="仿宋"/>
                <w:sz w:val="24"/>
              </w:rPr>
              <w:t>3</w:t>
            </w:r>
          </w:p>
        </w:tc>
        <w:tc>
          <w:tcPr>
            <w:tcW w:w="2076" w:type="pct"/>
            <w:tcMar>
              <w:top w:w="60" w:type="dxa"/>
              <w:left w:w="120" w:type="dxa"/>
              <w:bottom w:w="30" w:type="dxa"/>
              <w:right w:w="120" w:type="dxa"/>
            </w:tcMar>
            <w:vAlign w:val="center"/>
          </w:tcPr>
          <w:p w14:paraId="64877193">
            <w:pPr>
              <w:snapToGrid w:val="0"/>
              <w:spacing w:line="240" w:lineRule="auto"/>
              <w:rPr>
                <w:rFonts w:ascii="仿宋" w:hAnsi="仿宋" w:eastAsia="仿宋" w:cs="仿宋"/>
                <w:sz w:val="24"/>
              </w:rPr>
            </w:pPr>
            <w:r>
              <w:rPr>
                <w:rFonts w:hint="eastAsia" w:ascii="仿宋" w:hAnsi="仿宋" w:eastAsia="仿宋" w:cs="仿宋"/>
                <w:sz w:val="24"/>
              </w:rPr>
              <w:t>未完成年度培训学时要求，少1学时扣1分；培训后考核不达标、培训效果未达要求的，扣1分/次，扣完为止</w:t>
            </w:r>
          </w:p>
        </w:tc>
      </w:tr>
      <w:tr w14:paraId="756BD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tcMar>
              <w:top w:w="60" w:type="dxa"/>
              <w:left w:w="120" w:type="dxa"/>
              <w:bottom w:w="30" w:type="dxa"/>
              <w:right w:w="120" w:type="dxa"/>
            </w:tcMar>
            <w:vAlign w:val="center"/>
          </w:tcPr>
          <w:p w14:paraId="20EEF361">
            <w:pPr>
              <w:snapToGrid w:val="0"/>
              <w:spacing w:line="240" w:lineRule="auto"/>
              <w:jc w:val="center"/>
              <w:rPr>
                <w:rFonts w:ascii="仿宋" w:hAnsi="仿宋" w:eastAsia="仿宋" w:cs="仿宋"/>
                <w:sz w:val="24"/>
              </w:rPr>
            </w:pPr>
            <w:r>
              <w:rPr>
                <w:rFonts w:hint="eastAsia" w:ascii="仿宋" w:hAnsi="仿宋" w:eastAsia="仿宋" w:cs="仿宋"/>
                <w:sz w:val="24"/>
              </w:rPr>
              <w:t>6</w:t>
            </w:r>
          </w:p>
        </w:tc>
        <w:tc>
          <w:tcPr>
            <w:tcW w:w="692" w:type="pct"/>
            <w:tcMar>
              <w:top w:w="60" w:type="dxa"/>
              <w:left w:w="120" w:type="dxa"/>
              <w:bottom w:w="30" w:type="dxa"/>
              <w:right w:w="120" w:type="dxa"/>
            </w:tcMar>
            <w:vAlign w:val="center"/>
          </w:tcPr>
          <w:p w14:paraId="7C886C4F">
            <w:pPr>
              <w:snapToGrid w:val="0"/>
              <w:spacing w:line="240" w:lineRule="auto"/>
              <w:jc w:val="center"/>
              <w:rPr>
                <w:rFonts w:ascii="仿宋" w:hAnsi="仿宋" w:eastAsia="仿宋" w:cs="仿宋"/>
                <w:sz w:val="24"/>
              </w:rPr>
            </w:pPr>
            <w:r>
              <w:rPr>
                <w:rFonts w:hint="eastAsia" w:ascii="仿宋" w:hAnsi="仿宋" w:eastAsia="仿宋" w:cs="仿宋"/>
                <w:sz w:val="24"/>
              </w:rPr>
              <w:t>配套设备运维服务（2分）</w:t>
            </w:r>
          </w:p>
        </w:tc>
        <w:tc>
          <w:tcPr>
            <w:tcW w:w="1000" w:type="pct"/>
            <w:tcMar>
              <w:top w:w="60" w:type="dxa"/>
              <w:left w:w="120" w:type="dxa"/>
              <w:bottom w:w="30" w:type="dxa"/>
              <w:right w:w="120" w:type="dxa"/>
            </w:tcMar>
            <w:vAlign w:val="center"/>
          </w:tcPr>
          <w:p w14:paraId="056B1FFB">
            <w:pPr>
              <w:snapToGrid w:val="0"/>
              <w:spacing w:line="240" w:lineRule="auto"/>
              <w:jc w:val="center"/>
              <w:rPr>
                <w:rFonts w:ascii="仿宋" w:hAnsi="仿宋" w:eastAsia="仿宋" w:cs="仿宋"/>
                <w:sz w:val="24"/>
              </w:rPr>
            </w:pPr>
            <w:r>
              <w:rPr>
                <w:rFonts w:hint="eastAsia" w:ascii="仿宋" w:hAnsi="仿宋" w:eastAsia="仿宋" w:cs="仿宋"/>
                <w:sz w:val="24"/>
              </w:rPr>
              <w:t>设备运维服务质量</w:t>
            </w:r>
          </w:p>
        </w:tc>
        <w:tc>
          <w:tcPr>
            <w:tcW w:w="461" w:type="pct"/>
            <w:tcMar>
              <w:top w:w="60" w:type="dxa"/>
              <w:left w:w="120" w:type="dxa"/>
              <w:bottom w:w="30" w:type="dxa"/>
              <w:right w:w="120" w:type="dxa"/>
            </w:tcMar>
            <w:vAlign w:val="center"/>
          </w:tcPr>
          <w:p w14:paraId="5A99F037">
            <w:pPr>
              <w:snapToGrid w:val="0"/>
              <w:spacing w:line="240" w:lineRule="auto"/>
              <w:jc w:val="center"/>
              <w:rPr>
                <w:rFonts w:ascii="仿宋" w:hAnsi="仿宋" w:eastAsia="仿宋" w:cs="仿宋"/>
                <w:sz w:val="24"/>
              </w:rPr>
            </w:pPr>
            <w:r>
              <w:rPr>
                <w:rFonts w:hint="eastAsia" w:ascii="仿宋" w:hAnsi="仿宋" w:eastAsia="仿宋" w:cs="仿宋"/>
                <w:sz w:val="24"/>
              </w:rPr>
              <w:t>2</w:t>
            </w:r>
          </w:p>
        </w:tc>
        <w:tc>
          <w:tcPr>
            <w:tcW w:w="461" w:type="pct"/>
            <w:tcMar>
              <w:top w:w="60" w:type="dxa"/>
              <w:left w:w="120" w:type="dxa"/>
              <w:bottom w:w="30" w:type="dxa"/>
              <w:right w:w="120" w:type="dxa"/>
            </w:tcMar>
            <w:vAlign w:val="center"/>
          </w:tcPr>
          <w:p w14:paraId="4908331B">
            <w:pPr>
              <w:snapToGrid w:val="0"/>
              <w:spacing w:line="240" w:lineRule="auto"/>
              <w:jc w:val="center"/>
              <w:rPr>
                <w:rFonts w:ascii="仿宋" w:hAnsi="仿宋" w:eastAsia="仿宋" w:cs="仿宋"/>
                <w:sz w:val="24"/>
              </w:rPr>
            </w:pPr>
            <w:r>
              <w:rPr>
                <w:rFonts w:hint="eastAsia" w:ascii="仿宋" w:hAnsi="仿宋" w:eastAsia="仿宋" w:cs="仿宋"/>
                <w:sz w:val="24"/>
              </w:rPr>
              <w:t>2</w:t>
            </w:r>
          </w:p>
        </w:tc>
        <w:tc>
          <w:tcPr>
            <w:tcW w:w="2076" w:type="pct"/>
            <w:tcMar>
              <w:top w:w="60" w:type="dxa"/>
              <w:left w:w="120" w:type="dxa"/>
              <w:bottom w:w="30" w:type="dxa"/>
              <w:right w:w="120" w:type="dxa"/>
            </w:tcMar>
            <w:vAlign w:val="center"/>
          </w:tcPr>
          <w:p w14:paraId="20D9F174">
            <w:pPr>
              <w:snapToGrid w:val="0"/>
              <w:spacing w:line="240" w:lineRule="auto"/>
              <w:rPr>
                <w:rFonts w:ascii="仿宋" w:hAnsi="仿宋" w:eastAsia="仿宋" w:cs="仿宋"/>
                <w:sz w:val="24"/>
              </w:rPr>
            </w:pPr>
            <w:r>
              <w:rPr>
                <w:rFonts w:hint="eastAsia" w:ascii="仿宋" w:hAnsi="仿宋" w:eastAsia="仿宋" w:cs="仿宋"/>
                <w:sz w:val="24"/>
              </w:rPr>
              <w:t>未按合同要求提供配套设备运维服务、工作记录不完整的，扣1分；服务期内设备故障率＞10%的，扣1分，扣完为止</w:t>
            </w:r>
          </w:p>
        </w:tc>
      </w:tr>
      <w:tr w14:paraId="1AC70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restart"/>
            <w:tcMar>
              <w:top w:w="60" w:type="dxa"/>
              <w:left w:w="120" w:type="dxa"/>
              <w:bottom w:w="30" w:type="dxa"/>
              <w:right w:w="120" w:type="dxa"/>
            </w:tcMar>
            <w:vAlign w:val="center"/>
          </w:tcPr>
          <w:p w14:paraId="5C7B7FC6">
            <w:pPr>
              <w:snapToGrid w:val="0"/>
              <w:spacing w:line="240" w:lineRule="auto"/>
              <w:jc w:val="center"/>
              <w:rPr>
                <w:rFonts w:ascii="仿宋" w:hAnsi="仿宋" w:eastAsia="仿宋" w:cs="仿宋"/>
                <w:sz w:val="24"/>
              </w:rPr>
            </w:pPr>
            <w:r>
              <w:rPr>
                <w:rFonts w:hint="eastAsia" w:ascii="仿宋" w:hAnsi="仿宋" w:eastAsia="仿宋" w:cs="仿宋"/>
                <w:sz w:val="24"/>
              </w:rPr>
              <w:t>7</w:t>
            </w:r>
          </w:p>
        </w:tc>
        <w:tc>
          <w:tcPr>
            <w:tcW w:w="692" w:type="pct"/>
            <w:vMerge w:val="restart"/>
            <w:tcMar>
              <w:top w:w="60" w:type="dxa"/>
              <w:left w:w="120" w:type="dxa"/>
              <w:bottom w:w="30" w:type="dxa"/>
              <w:right w:w="120" w:type="dxa"/>
            </w:tcMar>
            <w:vAlign w:val="center"/>
          </w:tcPr>
          <w:p w14:paraId="4587DD83">
            <w:pPr>
              <w:snapToGrid w:val="0"/>
              <w:spacing w:line="240" w:lineRule="auto"/>
              <w:jc w:val="center"/>
              <w:rPr>
                <w:rFonts w:ascii="仿宋" w:hAnsi="仿宋" w:eastAsia="仿宋" w:cs="仿宋"/>
                <w:sz w:val="24"/>
              </w:rPr>
            </w:pPr>
            <w:r>
              <w:rPr>
                <w:rFonts w:hint="eastAsia" w:ascii="仿宋" w:hAnsi="仿宋" w:eastAsia="仿宋" w:cs="仿宋"/>
                <w:sz w:val="24"/>
              </w:rPr>
              <w:t>服务满意度与项目管理（5分）</w:t>
            </w:r>
          </w:p>
        </w:tc>
        <w:tc>
          <w:tcPr>
            <w:tcW w:w="1000" w:type="pct"/>
            <w:tcMar>
              <w:top w:w="60" w:type="dxa"/>
              <w:left w:w="120" w:type="dxa"/>
              <w:bottom w:w="30" w:type="dxa"/>
              <w:right w:w="120" w:type="dxa"/>
            </w:tcMar>
            <w:vAlign w:val="center"/>
          </w:tcPr>
          <w:p w14:paraId="7CFBC763">
            <w:pPr>
              <w:snapToGrid w:val="0"/>
              <w:spacing w:line="240" w:lineRule="auto"/>
              <w:jc w:val="center"/>
              <w:rPr>
                <w:rFonts w:ascii="仿宋" w:hAnsi="仿宋" w:eastAsia="仿宋" w:cs="仿宋"/>
                <w:sz w:val="24"/>
              </w:rPr>
            </w:pPr>
            <w:r>
              <w:rPr>
                <w:rFonts w:hint="eastAsia" w:ascii="仿宋" w:hAnsi="仿宋" w:eastAsia="仿宋" w:cs="仿宋"/>
                <w:sz w:val="24"/>
              </w:rPr>
              <w:t>服务满意度</w:t>
            </w:r>
          </w:p>
        </w:tc>
        <w:tc>
          <w:tcPr>
            <w:tcW w:w="461" w:type="pct"/>
            <w:tcMar>
              <w:top w:w="60" w:type="dxa"/>
              <w:left w:w="120" w:type="dxa"/>
              <w:bottom w:w="30" w:type="dxa"/>
              <w:right w:w="120" w:type="dxa"/>
            </w:tcMar>
            <w:vAlign w:val="center"/>
          </w:tcPr>
          <w:p w14:paraId="7DB5073D">
            <w:pPr>
              <w:snapToGrid w:val="0"/>
              <w:spacing w:line="240" w:lineRule="auto"/>
              <w:jc w:val="center"/>
              <w:rPr>
                <w:rFonts w:ascii="仿宋" w:hAnsi="仿宋" w:eastAsia="仿宋" w:cs="仿宋"/>
                <w:sz w:val="24"/>
              </w:rPr>
            </w:pPr>
            <w:r>
              <w:rPr>
                <w:rFonts w:hint="eastAsia" w:ascii="仿宋" w:hAnsi="仿宋" w:eastAsia="仿宋" w:cs="仿宋"/>
                <w:sz w:val="24"/>
              </w:rPr>
              <w:t>3</w:t>
            </w:r>
          </w:p>
        </w:tc>
        <w:tc>
          <w:tcPr>
            <w:tcW w:w="461" w:type="pct"/>
            <w:tcMar>
              <w:top w:w="60" w:type="dxa"/>
              <w:left w:w="120" w:type="dxa"/>
              <w:bottom w:w="30" w:type="dxa"/>
              <w:right w:w="120" w:type="dxa"/>
            </w:tcMar>
            <w:vAlign w:val="center"/>
          </w:tcPr>
          <w:p w14:paraId="0627F86C">
            <w:pPr>
              <w:snapToGrid w:val="0"/>
              <w:spacing w:line="240" w:lineRule="auto"/>
              <w:jc w:val="center"/>
              <w:rPr>
                <w:rFonts w:ascii="仿宋" w:hAnsi="仿宋" w:eastAsia="仿宋" w:cs="仿宋"/>
                <w:sz w:val="24"/>
              </w:rPr>
            </w:pPr>
            <w:r>
              <w:rPr>
                <w:rFonts w:hint="eastAsia" w:ascii="仿宋" w:hAnsi="仿宋" w:eastAsia="仿宋" w:cs="仿宋"/>
                <w:sz w:val="24"/>
              </w:rPr>
              <w:t>3</w:t>
            </w:r>
          </w:p>
        </w:tc>
        <w:tc>
          <w:tcPr>
            <w:tcW w:w="2076" w:type="pct"/>
            <w:tcMar>
              <w:top w:w="60" w:type="dxa"/>
              <w:left w:w="120" w:type="dxa"/>
              <w:bottom w:w="30" w:type="dxa"/>
              <w:right w:w="120" w:type="dxa"/>
            </w:tcMar>
            <w:vAlign w:val="center"/>
          </w:tcPr>
          <w:p w14:paraId="00DF54CF">
            <w:pPr>
              <w:snapToGrid w:val="0"/>
              <w:spacing w:line="240" w:lineRule="auto"/>
              <w:rPr>
                <w:rFonts w:ascii="仿宋" w:hAnsi="仿宋" w:eastAsia="仿宋" w:cs="仿宋"/>
                <w:sz w:val="24"/>
              </w:rPr>
            </w:pPr>
            <w:r>
              <w:rPr>
                <w:rFonts w:hint="eastAsia" w:ascii="仿宋" w:hAnsi="仿宋" w:eastAsia="仿宋" w:cs="仿宋"/>
                <w:sz w:val="24"/>
              </w:rPr>
              <w:t>服务满意度＜90%的，扣3分；发生重大服务质量投诉的，本项3分全部扣除</w:t>
            </w:r>
          </w:p>
        </w:tc>
      </w:tr>
      <w:tr w14:paraId="0EB8D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vMerge w:val="continue"/>
            <w:tcMar>
              <w:top w:w="60" w:type="dxa"/>
              <w:left w:w="120" w:type="dxa"/>
              <w:bottom w:w="30" w:type="dxa"/>
              <w:right w:w="120" w:type="dxa"/>
            </w:tcMar>
            <w:vAlign w:val="center"/>
          </w:tcPr>
          <w:p w14:paraId="6FEAAD4E">
            <w:pPr>
              <w:snapToGrid w:val="0"/>
              <w:spacing w:line="240" w:lineRule="auto"/>
              <w:jc w:val="center"/>
              <w:rPr>
                <w:rFonts w:ascii="仿宋" w:hAnsi="仿宋" w:eastAsia="仿宋" w:cs="仿宋"/>
                <w:sz w:val="24"/>
              </w:rPr>
            </w:pPr>
          </w:p>
        </w:tc>
        <w:tc>
          <w:tcPr>
            <w:tcW w:w="692" w:type="pct"/>
            <w:vMerge w:val="continue"/>
            <w:tcMar>
              <w:top w:w="60" w:type="dxa"/>
              <w:left w:w="120" w:type="dxa"/>
              <w:bottom w:w="30" w:type="dxa"/>
              <w:right w:w="120" w:type="dxa"/>
            </w:tcMar>
            <w:vAlign w:val="center"/>
          </w:tcPr>
          <w:p w14:paraId="62F85003">
            <w:pPr>
              <w:snapToGrid w:val="0"/>
              <w:spacing w:line="240" w:lineRule="auto"/>
              <w:jc w:val="center"/>
              <w:rPr>
                <w:rFonts w:ascii="仿宋" w:hAnsi="仿宋" w:eastAsia="仿宋" w:cs="仿宋"/>
                <w:sz w:val="24"/>
              </w:rPr>
            </w:pPr>
          </w:p>
        </w:tc>
        <w:tc>
          <w:tcPr>
            <w:tcW w:w="1000" w:type="pct"/>
            <w:tcMar>
              <w:top w:w="60" w:type="dxa"/>
              <w:left w:w="120" w:type="dxa"/>
              <w:bottom w:w="30" w:type="dxa"/>
              <w:right w:w="120" w:type="dxa"/>
            </w:tcMar>
            <w:vAlign w:val="center"/>
          </w:tcPr>
          <w:p w14:paraId="7088FE1C">
            <w:pPr>
              <w:snapToGrid w:val="0"/>
              <w:spacing w:line="240" w:lineRule="auto"/>
              <w:jc w:val="center"/>
              <w:rPr>
                <w:rFonts w:ascii="仿宋" w:hAnsi="仿宋" w:eastAsia="仿宋" w:cs="仿宋"/>
                <w:sz w:val="24"/>
              </w:rPr>
            </w:pPr>
            <w:r>
              <w:rPr>
                <w:rFonts w:hint="eastAsia" w:ascii="仿宋" w:hAnsi="仿宋" w:eastAsia="仿宋" w:cs="仿宋"/>
                <w:sz w:val="24"/>
              </w:rPr>
              <w:t>项目管理评价</w:t>
            </w:r>
          </w:p>
        </w:tc>
        <w:tc>
          <w:tcPr>
            <w:tcW w:w="461" w:type="pct"/>
            <w:tcMar>
              <w:top w:w="60" w:type="dxa"/>
              <w:left w:w="120" w:type="dxa"/>
              <w:bottom w:w="30" w:type="dxa"/>
              <w:right w:w="120" w:type="dxa"/>
            </w:tcMar>
            <w:vAlign w:val="center"/>
          </w:tcPr>
          <w:p w14:paraId="4D8D8AC4">
            <w:pPr>
              <w:snapToGrid w:val="0"/>
              <w:spacing w:line="240" w:lineRule="auto"/>
              <w:jc w:val="center"/>
              <w:rPr>
                <w:rFonts w:ascii="仿宋" w:hAnsi="仿宋" w:eastAsia="仿宋" w:cs="仿宋"/>
                <w:sz w:val="24"/>
              </w:rPr>
            </w:pPr>
            <w:r>
              <w:rPr>
                <w:rFonts w:hint="eastAsia" w:ascii="仿宋" w:hAnsi="仿宋" w:eastAsia="仿宋" w:cs="仿宋"/>
                <w:sz w:val="24"/>
              </w:rPr>
              <w:t>2</w:t>
            </w:r>
          </w:p>
        </w:tc>
        <w:tc>
          <w:tcPr>
            <w:tcW w:w="461" w:type="pct"/>
            <w:tcMar>
              <w:top w:w="60" w:type="dxa"/>
              <w:left w:w="120" w:type="dxa"/>
              <w:bottom w:w="30" w:type="dxa"/>
              <w:right w:w="120" w:type="dxa"/>
            </w:tcMar>
            <w:vAlign w:val="center"/>
          </w:tcPr>
          <w:p w14:paraId="2179EFD0">
            <w:pPr>
              <w:snapToGrid w:val="0"/>
              <w:spacing w:line="240" w:lineRule="auto"/>
              <w:jc w:val="center"/>
              <w:rPr>
                <w:rFonts w:ascii="仿宋" w:hAnsi="仿宋" w:eastAsia="仿宋" w:cs="仿宋"/>
                <w:sz w:val="24"/>
              </w:rPr>
            </w:pPr>
            <w:r>
              <w:rPr>
                <w:rFonts w:hint="eastAsia" w:ascii="仿宋" w:hAnsi="仿宋" w:eastAsia="仿宋" w:cs="仿宋"/>
                <w:sz w:val="24"/>
              </w:rPr>
              <w:t>2</w:t>
            </w:r>
          </w:p>
        </w:tc>
        <w:tc>
          <w:tcPr>
            <w:tcW w:w="2076" w:type="pct"/>
            <w:tcMar>
              <w:top w:w="60" w:type="dxa"/>
              <w:left w:w="120" w:type="dxa"/>
              <w:bottom w:w="30" w:type="dxa"/>
              <w:right w:w="120" w:type="dxa"/>
            </w:tcMar>
            <w:vAlign w:val="center"/>
          </w:tcPr>
          <w:p w14:paraId="39939484">
            <w:pPr>
              <w:snapToGrid w:val="0"/>
              <w:spacing w:line="240" w:lineRule="auto"/>
              <w:rPr>
                <w:rFonts w:ascii="仿宋" w:hAnsi="仿宋" w:eastAsia="仿宋" w:cs="仿宋"/>
                <w:sz w:val="24"/>
              </w:rPr>
            </w:pPr>
            <w:r>
              <w:rPr>
                <w:rFonts w:hint="eastAsia" w:ascii="仿宋" w:hAnsi="仿宋" w:eastAsia="仿宋" w:cs="仿宋"/>
                <w:sz w:val="24"/>
              </w:rPr>
              <w:t>采购人信息科、质控科对服务商项目管理、协调能力评价不合格的，本项2分全部扣除</w:t>
            </w:r>
          </w:p>
        </w:tc>
      </w:tr>
      <w:tr w14:paraId="0141E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0" w:hRule="atLeast"/>
        </w:trPr>
        <w:tc>
          <w:tcPr>
            <w:tcW w:w="308" w:type="pct"/>
            <w:tcMar>
              <w:top w:w="60" w:type="dxa"/>
              <w:left w:w="120" w:type="dxa"/>
              <w:bottom w:w="30" w:type="dxa"/>
              <w:right w:w="120" w:type="dxa"/>
            </w:tcMar>
            <w:vAlign w:val="center"/>
          </w:tcPr>
          <w:p w14:paraId="2EE68815">
            <w:pPr>
              <w:snapToGrid w:val="0"/>
              <w:spacing w:line="240" w:lineRule="auto"/>
              <w:jc w:val="center"/>
              <w:rPr>
                <w:rFonts w:ascii="仿宋" w:hAnsi="仿宋" w:eastAsia="仿宋" w:cs="仿宋"/>
                <w:sz w:val="24"/>
              </w:rPr>
            </w:pPr>
            <w:r>
              <w:rPr>
                <w:rFonts w:hint="eastAsia" w:ascii="仿宋" w:hAnsi="仿宋" w:eastAsia="仿宋" w:cs="仿宋"/>
                <w:sz w:val="24"/>
              </w:rPr>
              <w:t>合计</w:t>
            </w:r>
          </w:p>
        </w:tc>
        <w:tc>
          <w:tcPr>
            <w:tcW w:w="692" w:type="pct"/>
            <w:tcMar>
              <w:top w:w="60" w:type="dxa"/>
              <w:left w:w="120" w:type="dxa"/>
              <w:bottom w:w="30" w:type="dxa"/>
              <w:right w:w="120" w:type="dxa"/>
            </w:tcMar>
            <w:vAlign w:val="center"/>
          </w:tcPr>
          <w:p w14:paraId="63DF4756">
            <w:pPr>
              <w:snapToGrid w:val="0"/>
              <w:spacing w:line="240" w:lineRule="auto"/>
              <w:jc w:val="center"/>
              <w:rPr>
                <w:rFonts w:ascii="仿宋" w:hAnsi="仿宋" w:eastAsia="仿宋" w:cs="仿宋"/>
                <w:sz w:val="24"/>
              </w:rPr>
            </w:pPr>
            <w:r>
              <w:rPr>
                <w:rFonts w:hint="eastAsia" w:ascii="仿宋" w:hAnsi="仿宋" w:eastAsia="仿宋" w:cs="仿宋"/>
                <w:sz w:val="24"/>
              </w:rPr>
              <w:t>-</w:t>
            </w:r>
          </w:p>
        </w:tc>
        <w:tc>
          <w:tcPr>
            <w:tcW w:w="1000" w:type="pct"/>
            <w:tcMar>
              <w:top w:w="60" w:type="dxa"/>
              <w:left w:w="120" w:type="dxa"/>
              <w:bottom w:w="30" w:type="dxa"/>
              <w:right w:w="120" w:type="dxa"/>
            </w:tcMar>
            <w:vAlign w:val="center"/>
          </w:tcPr>
          <w:p w14:paraId="708F38D6">
            <w:pPr>
              <w:snapToGrid w:val="0"/>
              <w:spacing w:line="240" w:lineRule="auto"/>
              <w:jc w:val="center"/>
              <w:rPr>
                <w:rFonts w:ascii="仿宋" w:hAnsi="仿宋" w:eastAsia="仿宋" w:cs="仿宋"/>
                <w:sz w:val="24"/>
              </w:rPr>
            </w:pPr>
            <w:r>
              <w:rPr>
                <w:rFonts w:hint="eastAsia" w:ascii="仿宋" w:hAnsi="仿宋" w:eastAsia="仿宋" w:cs="仿宋"/>
                <w:sz w:val="24"/>
              </w:rPr>
              <w:t>-</w:t>
            </w:r>
          </w:p>
        </w:tc>
        <w:tc>
          <w:tcPr>
            <w:tcW w:w="461" w:type="pct"/>
            <w:tcMar>
              <w:top w:w="60" w:type="dxa"/>
              <w:left w:w="120" w:type="dxa"/>
              <w:bottom w:w="30" w:type="dxa"/>
              <w:right w:w="120" w:type="dxa"/>
            </w:tcMar>
            <w:vAlign w:val="center"/>
          </w:tcPr>
          <w:p w14:paraId="0D4F84C5">
            <w:pPr>
              <w:snapToGrid w:val="0"/>
              <w:spacing w:line="240" w:lineRule="auto"/>
              <w:jc w:val="center"/>
              <w:rPr>
                <w:rFonts w:ascii="仿宋" w:hAnsi="仿宋" w:eastAsia="仿宋" w:cs="仿宋"/>
                <w:sz w:val="24"/>
              </w:rPr>
            </w:pPr>
            <w:r>
              <w:rPr>
                <w:rFonts w:hint="eastAsia" w:ascii="仿宋" w:hAnsi="仿宋" w:eastAsia="仿宋" w:cs="仿宋"/>
                <w:sz w:val="24"/>
              </w:rPr>
              <w:t>100</w:t>
            </w:r>
          </w:p>
        </w:tc>
        <w:tc>
          <w:tcPr>
            <w:tcW w:w="461" w:type="pct"/>
            <w:tcMar>
              <w:top w:w="60" w:type="dxa"/>
              <w:left w:w="120" w:type="dxa"/>
              <w:bottom w:w="30" w:type="dxa"/>
              <w:right w:w="120" w:type="dxa"/>
            </w:tcMar>
            <w:vAlign w:val="center"/>
          </w:tcPr>
          <w:p w14:paraId="0CB0303F">
            <w:pPr>
              <w:snapToGrid w:val="0"/>
              <w:spacing w:line="240" w:lineRule="auto"/>
              <w:jc w:val="center"/>
              <w:rPr>
                <w:rFonts w:ascii="仿宋" w:hAnsi="仿宋" w:eastAsia="仿宋" w:cs="仿宋"/>
                <w:sz w:val="24"/>
              </w:rPr>
            </w:pPr>
            <w:r>
              <w:rPr>
                <w:rFonts w:hint="eastAsia" w:ascii="仿宋" w:hAnsi="仿宋" w:eastAsia="仿宋" w:cs="仿宋"/>
                <w:sz w:val="24"/>
              </w:rPr>
              <w:t>100</w:t>
            </w:r>
          </w:p>
        </w:tc>
        <w:tc>
          <w:tcPr>
            <w:tcW w:w="2076" w:type="pct"/>
            <w:tcMar>
              <w:top w:w="60" w:type="dxa"/>
              <w:left w:w="120" w:type="dxa"/>
              <w:bottom w:w="30" w:type="dxa"/>
              <w:right w:w="120" w:type="dxa"/>
            </w:tcMar>
            <w:vAlign w:val="center"/>
          </w:tcPr>
          <w:p w14:paraId="25EBC700">
            <w:pPr>
              <w:snapToGrid w:val="0"/>
              <w:spacing w:line="240" w:lineRule="auto"/>
              <w:rPr>
                <w:rFonts w:ascii="仿宋" w:hAnsi="仿宋" w:eastAsia="仿宋" w:cs="仿宋"/>
                <w:sz w:val="24"/>
              </w:rPr>
            </w:pPr>
            <w:r>
              <w:rPr>
                <w:rFonts w:hint="eastAsia" w:ascii="仿宋" w:hAnsi="仿宋" w:eastAsia="仿宋" w:cs="仿宋"/>
                <w:sz w:val="24"/>
              </w:rPr>
              <w:t>-</w:t>
            </w:r>
          </w:p>
        </w:tc>
      </w:tr>
      <w:bookmarkEnd w:id="65"/>
    </w:tbl>
    <w:p w14:paraId="10117F86">
      <w:pPr>
        <w:rPr>
          <w:rFonts w:ascii="仿宋" w:hAnsi="仿宋" w:eastAsia="仿宋" w:cs="仿宋"/>
          <w:b/>
          <w:sz w:val="44"/>
          <w:szCs w:val="44"/>
        </w:rPr>
      </w:pPr>
      <w:r>
        <w:rPr>
          <w:rFonts w:hint="eastAsia" w:ascii="仿宋" w:hAnsi="仿宋" w:eastAsia="仿宋" w:cs="仿宋"/>
          <w:b/>
          <w:sz w:val="44"/>
          <w:szCs w:val="44"/>
        </w:rPr>
        <w:br w:type="page"/>
      </w:r>
    </w:p>
    <w:p w14:paraId="0FFD97E8">
      <w:pPr>
        <w:rPr>
          <w:rFonts w:ascii="仿宋" w:hAnsi="仿宋" w:eastAsia="仿宋" w:cs="仿宋"/>
          <w:b/>
          <w:sz w:val="44"/>
          <w:szCs w:val="44"/>
        </w:rPr>
        <w:sectPr>
          <w:headerReference r:id="rId28" w:type="default"/>
          <w:footerReference r:id="rId29" w:type="default"/>
          <w:pgSz w:w="11906" w:h="16838"/>
          <w:pgMar w:top="1417" w:right="1249" w:bottom="1417" w:left="1417" w:header="850" w:footer="992" w:gutter="0"/>
          <w:cols w:space="0" w:num="1"/>
          <w:docGrid w:type="lines" w:linePitch="312" w:charSpace="0"/>
        </w:sectPr>
      </w:pPr>
    </w:p>
    <w:p w14:paraId="3864A4D6">
      <w:pPr>
        <w:tabs>
          <w:tab w:val="left" w:pos="840"/>
        </w:tabs>
        <w:spacing w:line="360" w:lineRule="auto"/>
        <w:ind w:firstLine="883" w:firstLineChars="200"/>
        <w:jc w:val="center"/>
        <w:outlineLvl w:val="0"/>
        <w:rPr>
          <w:rFonts w:ascii="仿宋" w:hAnsi="仿宋" w:eastAsia="仿宋" w:cs="仿宋"/>
          <w:b/>
          <w:sz w:val="44"/>
          <w:szCs w:val="44"/>
        </w:rPr>
      </w:pPr>
      <w:bookmarkStart w:id="91" w:name="_GoBack"/>
      <w:bookmarkEnd w:id="91"/>
      <w:r>
        <w:rPr>
          <w:rFonts w:hint="eastAsia" w:ascii="仿宋" w:hAnsi="仿宋" w:eastAsia="仿宋" w:cs="仿宋"/>
          <w:b/>
          <w:sz w:val="44"/>
          <w:szCs w:val="44"/>
        </w:rPr>
        <w:t>第五章  单一来源响应文件格式</w:t>
      </w:r>
      <w:bookmarkEnd w:id="64"/>
    </w:p>
    <w:p w14:paraId="4AE2CABD">
      <w:pPr>
        <w:spacing w:line="360" w:lineRule="auto"/>
        <w:rPr>
          <w:rFonts w:ascii="仿宋" w:hAnsi="仿宋" w:eastAsia="仿宋" w:cs="仿宋"/>
          <w:b/>
          <w:bCs/>
          <w:sz w:val="32"/>
          <w:szCs w:val="32"/>
        </w:rPr>
      </w:pPr>
    </w:p>
    <w:p w14:paraId="6C9C78B8">
      <w:pPr>
        <w:spacing w:line="360" w:lineRule="auto"/>
        <w:rPr>
          <w:rFonts w:ascii="仿宋" w:hAnsi="仿宋" w:eastAsia="仿宋" w:cs="仿宋"/>
          <w:b/>
          <w:bCs/>
          <w:sz w:val="32"/>
          <w:szCs w:val="32"/>
        </w:rPr>
      </w:pPr>
    </w:p>
    <w:p w14:paraId="72766C30">
      <w:pPr>
        <w:spacing w:line="360" w:lineRule="auto"/>
        <w:rPr>
          <w:rFonts w:ascii="仿宋" w:hAnsi="仿宋" w:eastAsia="仿宋" w:cs="仿宋"/>
          <w:kern w:val="0"/>
          <w:sz w:val="30"/>
          <w:szCs w:val="30"/>
        </w:rPr>
      </w:pPr>
      <w:r>
        <w:rPr>
          <w:rFonts w:hint="eastAsia" w:ascii="仿宋" w:hAnsi="仿宋" w:eastAsia="仿宋" w:cs="仿宋"/>
          <w:b/>
          <w:bCs/>
          <w:sz w:val="32"/>
          <w:szCs w:val="32"/>
        </w:rPr>
        <w:t>项目编号：</w:t>
      </w:r>
    </w:p>
    <w:p w14:paraId="2F0C3987">
      <w:pPr>
        <w:spacing w:line="360" w:lineRule="auto"/>
        <w:ind w:firstLine="6991" w:firstLineChars="2487"/>
        <w:rPr>
          <w:rFonts w:ascii="仿宋" w:hAnsi="仿宋" w:eastAsia="仿宋" w:cs="仿宋"/>
          <w:szCs w:val="21"/>
        </w:rPr>
      </w:pPr>
      <w:r>
        <w:rPr>
          <w:rFonts w:hint="eastAsia" w:ascii="仿宋" w:hAnsi="仿宋" w:eastAsia="仿宋" w:cs="仿宋"/>
          <w:b/>
          <w:sz w:val="28"/>
          <w:szCs w:val="28"/>
        </w:rPr>
        <w:t>（正本或副本）</w:t>
      </w:r>
    </w:p>
    <w:p w14:paraId="73208DE1">
      <w:pPr>
        <w:spacing w:line="360" w:lineRule="auto"/>
        <w:rPr>
          <w:rFonts w:ascii="仿宋" w:hAnsi="仿宋" w:eastAsia="仿宋" w:cs="仿宋"/>
          <w:szCs w:val="21"/>
        </w:rPr>
      </w:pPr>
    </w:p>
    <w:p w14:paraId="0EB35020">
      <w:pPr>
        <w:spacing w:line="360" w:lineRule="auto"/>
        <w:rPr>
          <w:rFonts w:ascii="仿宋" w:hAnsi="仿宋" w:eastAsia="仿宋" w:cs="仿宋"/>
          <w:szCs w:val="21"/>
        </w:rPr>
      </w:pPr>
    </w:p>
    <w:p w14:paraId="6A29858C">
      <w:pPr>
        <w:spacing w:line="360" w:lineRule="auto"/>
        <w:rPr>
          <w:rFonts w:ascii="仿宋" w:hAnsi="仿宋" w:eastAsia="仿宋" w:cs="仿宋"/>
          <w:szCs w:val="21"/>
        </w:rPr>
      </w:pPr>
    </w:p>
    <w:p w14:paraId="75D96064">
      <w:pPr>
        <w:spacing w:line="360" w:lineRule="auto"/>
        <w:ind w:firstLine="1791" w:firstLineChars="343"/>
        <w:rPr>
          <w:rFonts w:ascii="仿宋" w:hAnsi="仿宋" w:eastAsia="仿宋" w:cs="仿宋"/>
          <w:b/>
          <w:sz w:val="52"/>
          <w:szCs w:val="52"/>
        </w:rPr>
      </w:pPr>
      <w:r>
        <w:rPr>
          <w:rFonts w:hint="eastAsia" w:ascii="仿宋" w:hAnsi="仿宋" w:eastAsia="仿宋" w:cs="仿宋"/>
          <w:b/>
          <w:sz w:val="52"/>
          <w:szCs w:val="52"/>
          <w:u w:val="single"/>
        </w:rPr>
        <w:t xml:space="preserve">                  </w:t>
      </w:r>
      <w:r>
        <w:rPr>
          <w:rFonts w:hint="eastAsia" w:ascii="仿宋" w:hAnsi="仿宋" w:eastAsia="仿宋" w:cs="仿宋"/>
          <w:b/>
          <w:sz w:val="52"/>
          <w:szCs w:val="52"/>
        </w:rPr>
        <w:t>项目</w:t>
      </w:r>
    </w:p>
    <w:p w14:paraId="2D95D2FA">
      <w:pPr>
        <w:spacing w:line="360" w:lineRule="auto"/>
        <w:ind w:firstLine="3373" w:firstLineChars="700"/>
        <w:rPr>
          <w:rFonts w:ascii="仿宋" w:hAnsi="仿宋" w:eastAsia="仿宋" w:cs="仿宋"/>
          <w:b/>
          <w:sz w:val="48"/>
          <w:szCs w:val="48"/>
        </w:rPr>
      </w:pPr>
      <w:r>
        <w:rPr>
          <w:rFonts w:hint="eastAsia" w:ascii="仿宋" w:hAnsi="仿宋" w:eastAsia="仿宋" w:cs="仿宋"/>
          <w:b/>
          <w:sz w:val="48"/>
          <w:szCs w:val="48"/>
        </w:rPr>
        <w:t>合同包</w:t>
      </w:r>
      <w:r>
        <w:rPr>
          <w:rFonts w:hint="eastAsia" w:ascii="仿宋" w:hAnsi="仿宋" w:eastAsia="仿宋" w:cs="仿宋"/>
          <w:b/>
          <w:sz w:val="48"/>
          <w:szCs w:val="48"/>
          <w:u w:val="single"/>
        </w:rPr>
        <w:t xml:space="preserve">    </w:t>
      </w:r>
      <w:r>
        <w:rPr>
          <w:rFonts w:hint="eastAsia" w:ascii="仿宋" w:hAnsi="仿宋" w:eastAsia="仿宋" w:cs="仿宋"/>
          <w:b/>
          <w:sz w:val="48"/>
          <w:szCs w:val="48"/>
        </w:rPr>
        <w:t xml:space="preserve"> </w:t>
      </w:r>
    </w:p>
    <w:p w14:paraId="122FACCB">
      <w:pPr>
        <w:tabs>
          <w:tab w:val="center" w:pos="4595"/>
          <w:tab w:val="right" w:pos="9070"/>
        </w:tabs>
        <w:spacing w:line="360" w:lineRule="auto"/>
        <w:jc w:val="center"/>
        <w:rPr>
          <w:rFonts w:ascii="仿宋" w:hAnsi="仿宋" w:eastAsia="仿宋" w:cs="仿宋"/>
          <w:b/>
          <w:kern w:val="0"/>
          <w:sz w:val="52"/>
          <w:szCs w:val="52"/>
        </w:rPr>
      </w:pPr>
    </w:p>
    <w:p w14:paraId="28A1FF49">
      <w:pPr>
        <w:tabs>
          <w:tab w:val="center" w:pos="4595"/>
          <w:tab w:val="right" w:pos="9070"/>
        </w:tabs>
        <w:spacing w:line="360" w:lineRule="auto"/>
        <w:jc w:val="center"/>
        <w:rPr>
          <w:rFonts w:ascii="仿宋" w:hAnsi="仿宋" w:eastAsia="仿宋" w:cs="仿宋"/>
          <w:b/>
          <w:kern w:val="0"/>
          <w:sz w:val="52"/>
          <w:szCs w:val="52"/>
        </w:rPr>
      </w:pPr>
    </w:p>
    <w:p w14:paraId="45639709">
      <w:pPr>
        <w:tabs>
          <w:tab w:val="center" w:pos="4595"/>
          <w:tab w:val="right" w:pos="9070"/>
        </w:tabs>
        <w:spacing w:line="360" w:lineRule="auto"/>
        <w:jc w:val="center"/>
        <w:rPr>
          <w:rFonts w:ascii="仿宋" w:hAnsi="仿宋" w:eastAsia="仿宋" w:cs="仿宋"/>
          <w:b/>
          <w:kern w:val="0"/>
          <w:sz w:val="52"/>
          <w:szCs w:val="52"/>
        </w:rPr>
      </w:pPr>
      <w:r>
        <w:rPr>
          <w:rFonts w:hint="eastAsia" w:ascii="仿宋" w:hAnsi="仿宋" w:eastAsia="仿宋" w:cs="仿宋"/>
          <w:b/>
          <w:kern w:val="0"/>
          <w:sz w:val="52"/>
          <w:szCs w:val="52"/>
        </w:rPr>
        <w:t>单一来源响应文件</w:t>
      </w:r>
    </w:p>
    <w:p w14:paraId="04705052">
      <w:pPr>
        <w:spacing w:line="360" w:lineRule="auto"/>
        <w:rPr>
          <w:rFonts w:ascii="仿宋" w:hAnsi="仿宋" w:eastAsia="仿宋" w:cs="仿宋"/>
          <w:sz w:val="52"/>
          <w:szCs w:val="52"/>
        </w:rPr>
      </w:pPr>
    </w:p>
    <w:p w14:paraId="5629BE94">
      <w:pPr>
        <w:spacing w:line="360" w:lineRule="auto"/>
        <w:jc w:val="center"/>
        <w:rPr>
          <w:rFonts w:ascii="仿宋" w:hAnsi="仿宋" w:eastAsia="仿宋" w:cs="仿宋"/>
          <w:sz w:val="52"/>
          <w:szCs w:val="52"/>
        </w:rPr>
      </w:pPr>
    </w:p>
    <w:p w14:paraId="7154341C">
      <w:pPr>
        <w:spacing w:line="360" w:lineRule="auto"/>
        <w:rPr>
          <w:rFonts w:ascii="仿宋" w:hAnsi="仿宋" w:eastAsia="仿宋" w:cs="仿宋"/>
          <w:sz w:val="52"/>
          <w:szCs w:val="52"/>
        </w:rPr>
      </w:pPr>
    </w:p>
    <w:p w14:paraId="281343F8">
      <w:pPr>
        <w:spacing w:line="360" w:lineRule="auto"/>
        <w:jc w:val="center"/>
        <w:rPr>
          <w:rFonts w:ascii="仿宋" w:hAnsi="仿宋" w:eastAsia="仿宋" w:cs="仿宋"/>
          <w:sz w:val="28"/>
          <w:szCs w:val="28"/>
        </w:rPr>
      </w:pPr>
      <w:r>
        <w:rPr>
          <w:rFonts w:hint="eastAsia" w:ascii="仿宋" w:hAnsi="仿宋" w:eastAsia="仿宋" w:cs="仿宋"/>
          <w:sz w:val="28"/>
          <w:szCs w:val="28"/>
        </w:rPr>
        <w:t>供应商名称：</w:t>
      </w:r>
      <w:r>
        <w:rPr>
          <w:rFonts w:hint="eastAsia" w:ascii="仿宋" w:hAnsi="仿宋" w:eastAsia="仿宋" w:cs="仿宋"/>
          <w:sz w:val="28"/>
          <w:szCs w:val="28"/>
          <w:u w:val="single"/>
        </w:rPr>
        <w:t xml:space="preserve">                      </w:t>
      </w:r>
      <w:r>
        <w:rPr>
          <w:rFonts w:hint="eastAsia" w:ascii="仿宋" w:hAnsi="仿宋" w:eastAsia="仿宋" w:cs="仿宋"/>
          <w:sz w:val="28"/>
          <w:szCs w:val="28"/>
        </w:rPr>
        <w:t>（盖章）</w:t>
      </w:r>
    </w:p>
    <w:p w14:paraId="7CA4EEF6">
      <w:pPr>
        <w:spacing w:line="360" w:lineRule="auto"/>
        <w:ind w:firstLine="1680" w:firstLineChars="600"/>
        <w:rPr>
          <w:rFonts w:ascii="仿宋" w:hAnsi="仿宋" w:eastAsia="仿宋" w:cs="仿宋"/>
          <w:sz w:val="32"/>
          <w:szCs w:val="32"/>
          <w:u w:val="single"/>
        </w:rPr>
      </w:pPr>
      <w:r>
        <w:rPr>
          <w:rFonts w:hint="eastAsia" w:ascii="仿宋" w:hAnsi="仿宋" w:eastAsia="仿宋" w:cs="仿宋"/>
          <w:sz w:val="28"/>
          <w:szCs w:val="28"/>
        </w:rPr>
        <w:t>日      期</w:t>
      </w:r>
      <w:r>
        <w:rPr>
          <w:rFonts w:hint="eastAsia" w:ascii="仿宋" w:hAnsi="仿宋" w:eastAsia="仿宋" w:cs="仿宋"/>
          <w:sz w:val="32"/>
          <w:szCs w:val="32"/>
        </w:rPr>
        <w:t>：</w:t>
      </w:r>
    </w:p>
    <w:p w14:paraId="5C01F8C2">
      <w:pPr>
        <w:spacing w:line="360" w:lineRule="auto"/>
        <w:ind w:firstLine="1440" w:firstLineChars="400"/>
        <w:rPr>
          <w:rFonts w:ascii="仿宋" w:hAnsi="仿宋" w:eastAsia="仿宋" w:cs="仿宋"/>
          <w:sz w:val="36"/>
          <w:szCs w:val="36"/>
          <w:u w:val="single"/>
        </w:rPr>
      </w:pPr>
      <w:r>
        <w:rPr>
          <w:rFonts w:hint="eastAsia" w:ascii="仿宋" w:hAnsi="仿宋" w:eastAsia="仿宋" w:cs="仿宋"/>
          <w:sz w:val="36"/>
          <w:szCs w:val="36"/>
          <w:u w:val="single"/>
        </w:rPr>
        <w:br w:type="page"/>
      </w:r>
    </w:p>
    <w:p w14:paraId="1D7D55AC">
      <w:pPr>
        <w:spacing w:line="360" w:lineRule="auto"/>
        <w:jc w:val="center"/>
        <w:rPr>
          <w:rFonts w:ascii="仿宋" w:hAnsi="仿宋" w:eastAsia="仿宋" w:cs="仿宋"/>
          <w:b/>
          <w:sz w:val="36"/>
          <w:szCs w:val="36"/>
        </w:rPr>
      </w:pPr>
      <w:r>
        <w:rPr>
          <w:rFonts w:hint="eastAsia" w:ascii="仿宋" w:hAnsi="仿宋" w:eastAsia="仿宋" w:cs="仿宋"/>
          <w:b/>
          <w:sz w:val="36"/>
          <w:szCs w:val="36"/>
        </w:rPr>
        <w:t>目   录</w:t>
      </w:r>
    </w:p>
    <w:p w14:paraId="0B8CBB9E">
      <w:pPr>
        <w:pStyle w:val="13"/>
        <w:spacing w:line="360" w:lineRule="auto"/>
        <w:rPr>
          <w:rFonts w:ascii="仿宋" w:hAnsi="仿宋" w:eastAsia="仿宋" w:cs="仿宋"/>
          <w:sz w:val="18"/>
        </w:rPr>
      </w:pPr>
    </w:p>
    <w:p w14:paraId="0A36CE5B">
      <w:pPr>
        <w:keepNext/>
        <w:keepLines/>
        <w:spacing w:line="480" w:lineRule="auto"/>
        <w:jc w:val="left"/>
        <w:rPr>
          <w:rFonts w:ascii="仿宋" w:hAnsi="仿宋" w:eastAsia="仿宋" w:cs="仿宋"/>
          <w:sz w:val="24"/>
        </w:rPr>
      </w:pPr>
      <w:bookmarkStart w:id="66" w:name="_Toc17163"/>
      <w:r>
        <w:rPr>
          <w:rFonts w:hint="eastAsia" w:ascii="仿宋" w:hAnsi="仿宋" w:eastAsia="仿宋" w:cs="仿宋"/>
          <w:sz w:val="24"/>
        </w:rPr>
        <w:t>一、协商响应函</w:t>
      </w:r>
      <w:bookmarkEnd w:id="66"/>
      <w:r>
        <w:rPr>
          <w:rFonts w:hint="eastAsia" w:ascii="仿宋" w:hAnsi="仿宋" w:eastAsia="仿宋" w:cs="仿宋"/>
          <w:sz w:val="24"/>
        </w:rPr>
        <w:t>.............................................（页码）</w:t>
      </w:r>
    </w:p>
    <w:p w14:paraId="38833135">
      <w:pPr>
        <w:keepNext/>
        <w:keepLines/>
        <w:spacing w:line="480" w:lineRule="auto"/>
        <w:jc w:val="left"/>
        <w:rPr>
          <w:rFonts w:ascii="仿宋" w:hAnsi="仿宋" w:eastAsia="仿宋" w:cs="仿宋"/>
          <w:sz w:val="24"/>
        </w:rPr>
      </w:pPr>
      <w:bookmarkStart w:id="67" w:name="_Toc15127"/>
      <w:r>
        <w:rPr>
          <w:rFonts w:hint="eastAsia" w:ascii="仿宋" w:hAnsi="仿宋" w:eastAsia="仿宋" w:cs="仿宋"/>
          <w:sz w:val="24"/>
        </w:rPr>
        <w:t>二、首次响应报价表</w:t>
      </w:r>
      <w:bookmarkEnd w:id="67"/>
      <w:r>
        <w:rPr>
          <w:rFonts w:hint="eastAsia" w:ascii="仿宋" w:hAnsi="仿宋" w:eastAsia="仿宋" w:cs="仿宋"/>
          <w:sz w:val="24"/>
        </w:rPr>
        <w:t>.........................................（页码）</w:t>
      </w:r>
    </w:p>
    <w:p w14:paraId="3FCF54DB">
      <w:pPr>
        <w:keepNext/>
        <w:keepLines/>
        <w:spacing w:line="480" w:lineRule="auto"/>
        <w:jc w:val="left"/>
        <w:rPr>
          <w:rFonts w:ascii="仿宋" w:hAnsi="仿宋" w:eastAsia="仿宋" w:cs="仿宋"/>
          <w:sz w:val="24"/>
        </w:rPr>
      </w:pPr>
      <w:bookmarkStart w:id="68" w:name="_Toc3194"/>
      <w:r>
        <w:rPr>
          <w:rFonts w:hint="eastAsia" w:ascii="仿宋" w:hAnsi="仿宋" w:eastAsia="仿宋" w:cs="仿宋"/>
          <w:sz w:val="24"/>
        </w:rPr>
        <w:t>三、</w:t>
      </w:r>
      <w:bookmarkEnd w:id="68"/>
      <w:bookmarkStart w:id="69" w:name="_Toc10346"/>
      <w:r>
        <w:rPr>
          <w:rFonts w:hint="eastAsia" w:ascii="仿宋" w:hAnsi="仿宋" w:eastAsia="仿宋" w:cs="仿宋"/>
          <w:sz w:val="24"/>
        </w:rPr>
        <w:t>资格证明文件</w:t>
      </w:r>
      <w:bookmarkEnd w:id="69"/>
      <w:r>
        <w:rPr>
          <w:rFonts w:hint="eastAsia" w:ascii="仿宋" w:hAnsi="仿宋" w:eastAsia="仿宋" w:cs="仿宋"/>
          <w:sz w:val="24"/>
        </w:rPr>
        <w:t>...........................................（页码）</w:t>
      </w:r>
    </w:p>
    <w:p w14:paraId="5D40791F">
      <w:pPr>
        <w:keepNext/>
        <w:keepLines/>
        <w:spacing w:line="480" w:lineRule="auto"/>
        <w:jc w:val="left"/>
        <w:rPr>
          <w:rFonts w:ascii="仿宋" w:hAnsi="仿宋" w:eastAsia="仿宋" w:cs="仿宋"/>
          <w:sz w:val="24"/>
        </w:rPr>
      </w:pPr>
      <w:bookmarkStart w:id="70" w:name="_Toc11838"/>
      <w:r>
        <w:rPr>
          <w:rFonts w:hint="eastAsia" w:ascii="仿宋" w:hAnsi="仿宋" w:eastAsia="仿宋" w:cs="仿宋"/>
          <w:sz w:val="24"/>
        </w:rPr>
        <w:t>四、</w:t>
      </w:r>
      <w:bookmarkEnd w:id="70"/>
      <w:r>
        <w:rPr>
          <w:rFonts w:hint="eastAsia" w:ascii="仿宋" w:hAnsi="仿宋" w:eastAsia="仿宋" w:cs="仿宋"/>
          <w:sz w:val="24"/>
        </w:rPr>
        <w:t>商务和服务响应说明.....................................（页码）</w:t>
      </w:r>
    </w:p>
    <w:p w14:paraId="49D8B50F">
      <w:pPr>
        <w:keepNext/>
        <w:keepLines/>
        <w:spacing w:line="480" w:lineRule="auto"/>
        <w:jc w:val="left"/>
        <w:rPr>
          <w:rFonts w:ascii="仿宋" w:hAnsi="仿宋" w:eastAsia="仿宋" w:cs="仿宋"/>
          <w:sz w:val="24"/>
        </w:rPr>
      </w:pPr>
      <w:bookmarkStart w:id="71" w:name="_Toc12809"/>
      <w:r>
        <w:rPr>
          <w:rFonts w:hint="eastAsia" w:ascii="仿宋" w:hAnsi="仿宋" w:eastAsia="仿宋" w:cs="仿宋"/>
          <w:sz w:val="24"/>
        </w:rPr>
        <w:t>五、承接的类似项目情况表</w:t>
      </w:r>
      <w:bookmarkEnd w:id="71"/>
      <w:r>
        <w:rPr>
          <w:rFonts w:hint="eastAsia" w:ascii="仿宋" w:hAnsi="仿宋" w:eastAsia="仿宋" w:cs="仿宋"/>
          <w:sz w:val="24"/>
        </w:rPr>
        <w:t>...................................（页码）</w:t>
      </w:r>
    </w:p>
    <w:p w14:paraId="7D78380D">
      <w:pPr>
        <w:keepNext/>
        <w:keepLines/>
        <w:spacing w:line="480" w:lineRule="auto"/>
        <w:jc w:val="left"/>
        <w:rPr>
          <w:rFonts w:ascii="仿宋" w:hAnsi="仿宋" w:eastAsia="仿宋" w:cs="仿宋"/>
          <w:sz w:val="24"/>
        </w:rPr>
      </w:pPr>
      <w:bookmarkStart w:id="72" w:name="_Toc16448"/>
      <w:r>
        <w:rPr>
          <w:rFonts w:hint="eastAsia" w:ascii="仿宋" w:hAnsi="仿宋" w:eastAsia="仿宋" w:cs="仿宋"/>
          <w:sz w:val="24"/>
        </w:rPr>
        <w:t>六、协商响应方案说明</w:t>
      </w:r>
      <w:bookmarkEnd w:id="72"/>
      <w:r>
        <w:rPr>
          <w:rFonts w:hint="eastAsia" w:ascii="仿宋" w:hAnsi="仿宋" w:eastAsia="仿宋" w:cs="仿宋"/>
          <w:sz w:val="24"/>
        </w:rPr>
        <w:t>.......................................（页码）</w:t>
      </w:r>
    </w:p>
    <w:p w14:paraId="30BC4394">
      <w:pPr>
        <w:keepNext/>
        <w:keepLines/>
        <w:spacing w:line="480" w:lineRule="auto"/>
        <w:jc w:val="left"/>
        <w:rPr>
          <w:rFonts w:ascii="仿宋" w:hAnsi="仿宋" w:eastAsia="仿宋" w:cs="仿宋"/>
          <w:sz w:val="22"/>
        </w:rPr>
      </w:pPr>
      <w:bookmarkStart w:id="73" w:name="_Toc31872"/>
      <w:r>
        <w:rPr>
          <w:rFonts w:hint="eastAsia" w:ascii="仿宋" w:hAnsi="仿宋" w:eastAsia="仿宋" w:cs="仿宋"/>
          <w:sz w:val="24"/>
        </w:rPr>
        <w:t>七、其他资料</w:t>
      </w:r>
      <w:bookmarkEnd w:id="73"/>
      <w:r>
        <w:rPr>
          <w:rFonts w:hint="eastAsia" w:ascii="仿宋" w:hAnsi="仿宋" w:eastAsia="仿宋" w:cs="仿宋"/>
          <w:sz w:val="24"/>
        </w:rPr>
        <w:t>...............................................（页码）</w:t>
      </w:r>
    </w:p>
    <w:p w14:paraId="0A87E6D4"/>
    <w:p w14:paraId="5D4AD1EB">
      <w:pPr>
        <w:spacing w:line="360" w:lineRule="auto"/>
        <w:ind w:right="456" w:firstLine="2409" w:firstLineChars="750"/>
        <w:rPr>
          <w:rFonts w:ascii="仿宋" w:hAnsi="仿宋" w:eastAsia="仿宋" w:cs="仿宋"/>
          <w:b/>
          <w:bCs/>
          <w:sz w:val="32"/>
        </w:rPr>
      </w:pPr>
    </w:p>
    <w:p w14:paraId="311E7E63">
      <w:pPr>
        <w:spacing w:line="360" w:lineRule="auto"/>
        <w:jc w:val="center"/>
        <w:outlineLvl w:val="1"/>
        <w:rPr>
          <w:rFonts w:ascii="仿宋" w:hAnsi="仿宋" w:eastAsia="仿宋" w:cs="仿宋"/>
          <w:b/>
          <w:bCs/>
          <w:sz w:val="24"/>
        </w:rPr>
      </w:pPr>
      <w:r>
        <w:rPr>
          <w:rFonts w:hint="eastAsia" w:ascii="仿宋" w:hAnsi="仿宋" w:eastAsia="仿宋" w:cs="仿宋"/>
          <w:sz w:val="42"/>
          <w:szCs w:val="42"/>
        </w:rPr>
        <w:br w:type="page"/>
      </w:r>
      <w:bookmarkStart w:id="74" w:name="_Toc13793"/>
      <w:bookmarkStart w:id="75" w:name="_Toc5304"/>
      <w:bookmarkStart w:id="76" w:name="_Toc26537"/>
      <w:bookmarkStart w:id="77" w:name="_Toc22883"/>
      <w:r>
        <w:rPr>
          <w:rFonts w:hint="eastAsia" w:ascii="仿宋" w:hAnsi="仿宋" w:eastAsia="仿宋" w:cs="仿宋"/>
          <w:bCs/>
          <w:sz w:val="28"/>
          <w:szCs w:val="28"/>
        </w:rPr>
        <w:t>一、</w:t>
      </w:r>
      <w:r>
        <w:rPr>
          <w:rFonts w:hint="eastAsia" w:ascii="仿宋" w:hAnsi="仿宋" w:eastAsia="仿宋" w:cs="仿宋"/>
          <w:b/>
          <w:bCs/>
          <w:sz w:val="28"/>
          <w:szCs w:val="28"/>
        </w:rPr>
        <w:t>协商响应函</w:t>
      </w:r>
      <w:bookmarkEnd w:id="74"/>
      <w:bookmarkEnd w:id="75"/>
      <w:bookmarkEnd w:id="76"/>
      <w:bookmarkEnd w:id="77"/>
    </w:p>
    <w:p w14:paraId="573F70BD">
      <w:pPr>
        <w:spacing w:line="460" w:lineRule="exact"/>
        <w:rPr>
          <w:rFonts w:ascii="仿宋" w:hAnsi="仿宋" w:eastAsia="仿宋" w:cs="仿宋"/>
          <w:sz w:val="24"/>
        </w:rPr>
      </w:pPr>
      <w:r>
        <w:rPr>
          <w:rFonts w:hint="eastAsia" w:ascii="仿宋" w:hAnsi="仿宋" w:eastAsia="仿宋" w:cs="仿宋"/>
          <w:sz w:val="24"/>
        </w:rPr>
        <w:t>陕西德仁招标有限公司：</w:t>
      </w:r>
    </w:p>
    <w:p w14:paraId="0F81EAD2">
      <w:pPr>
        <w:autoSpaceDE w:val="0"/>
        <w:autoSpaceDN w:val="0"/>
        <w:adjustRightInd w:val="0"/>
        <w:spacing w:line="460" w:lineRule="exact"/>
        <w:ind w:firstLine="630"/>
        <w:rPr>
          <w:rFonts w:ascii="仿宋" w:hAnsi="仿宋" w:eastAsia="仿宋" w:cs="仿宋"/>
          <w:sz w:val="24"/>
        </w:rPr>
      </w:pPr>
      <w:r>
        <w:rPr>
          <w:rFonts w:hint="eastAsia" w:ascii="仿宋" w:hAnsi="仿宋" w:eastAsia="仿宋" w:cs="仿宋"/>
          <w:sz w:val="24"/>
          <w:lang w:val="zh-CN"/>
        </w:rPr>
        <w:t>我单位收到贵公司</w:t>
      </w:r>
      <w:r>
        <w:rPr>
          <w:rFonts w:hint="eastAsia" w:ascii="仿宋" w:hAnsi="仿宋" w:eastAsia="仿宋" w:cs="仿宋"/>
          <w:sz w:val="24"/>
          <w:u w:val="single"/>
          <w:lang w:val="zh-CN"/>
        </w:rPr>
        <w:t xml:space="preserve">          （</w:t>
      </w:r>
      <w:r>
        <w:rPr>
          <w:rFonts w:hint="eastAsia" w:ascii="仿宋" w:hAnsi="仿宋" w:eastAsia="仿宋" w:cs="仿宋"/>
          <w:sz w:val="24"/>
          <w:u w:val="single"/>
        </w:rPr>
        <w:t>项目名称；项目编号；合同包号：</w:t>
      </w:r>
      <w:r>
        <w:rPr>
          <w:rFonts w:hint="eastAsia" w:ascii="仿宋" w:hAnsi="仿宋" w:eastAsia="仿宋" w:cs="仿宋"/>
          <w:sz w:val="24"/>
          <w:u w:val="single"/>
          <w:lang w:val="zh-CN"/>
        </w:rPr>
        <w:t>）</w:t>
      </w:r>
      <w:r>
        <w:rPr>
          <w:rFonts w:hint="eastAsia" w:ascii="仿宋" w:hAnsi="仿宋" w:eastAsia="仿宋" w:cs="仿宋"/>
          <w:sz w:val="24"/>
          <w:lang w:val="zh-CN"/>
        </w:rPr>
        <w:t>单一来源采购文件，经详细研究，我们决定参加本次</w:t>
      </w:r>
      <w:r>
        <w:rPr>
          <w:rFonts w:hint="eastAsia" w:ascii="仿宋" w:hAnsi="仿宋" w:eastAsia="仿宋" w:cs="仿宋"/>
          <w:sz w:val="24"/>
        </w:rPr>
        <w:t>协商</w:t>
      </w:r>
      <w:r>
        <w:rPr>
          <w:rFonts w:hint="eastAsia" w:ascii="仿宋" w:hAnsi="仿宋" w:eastAsia="仿宋" w:cs="仿宋"/>
          <w:sz w:val="24"/>
          <w:lang w:val="zh-CN"/>
        </w:rPr>
        <w:t>。为此，我方郑重声明以下诸点，并负法律责任。</w:t>
      </w:r>
    </w:p>
    <w:p w14:paraId="173BA21E">
      <w:pPr>
        <w:autoSpaceDE w:val="0"/>
        <w:autoSpaceDN w:val="0"/>
        <w:adjustRightInd w:val="0"/>
        <w:snapToGrid w:val="0"/>
        <w:spacing w:line="460" w:lineRule="exact"/>
        <w:ind w:firstLine="629"/>
        <w:rPr>
          <w:rFonts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zh-CN"/>
        </w:rPr>
        <w:t>、愿意按照</w:t>
      </w:r>
      <w:r>
        <w:rPr>
          <w:rFonts w:hint="eastAsia" w:ascii="仿宋" w:hAnsi="仿宋" w:eastAsia="仿宋" w:cs="仿宋"/>
          <w:sz w:val="24"/>
        </w:rPr>
        <w:t>单一来源</w:t>
      </w:r>
      <w:r>
        <w:rPr>
          <w:rFonts w:hint="eastAsia" w:ascii="仿宋" w:hAnsi="仿宋" w:eastAsia="仿宋" w:cs="仿宋"/>
          <w:sz w:val="24"/>
          <w:lang w:val="zh-CN"/>
        </w:rPr>
        <w:t>采购文件中的一切要求，提供协商技术服务，完成合同的责任和义务。</w:t>
      </w:r>
    </w:p>
    <w:p w14:paraId="575C7BE0">
      <w:pPr>
        <w:autoSpaceDE w:val="0"/>
        <w:autoSpaceDN w:val="0"/>
        <w:adjustRightInd w:val="0"/>
        <w:snapToGrid w:val="0"/>
        <w:spacing w:line="460" w:lineRule="exact"/>
        <w:ind w:firstLine="629"/>
        <w:rPr>
          <w:rFonts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zh-CN"/>
        </w:rPr>
        <w:t>、按单一来源采购文件的规定，我公司的第一次</w:t>
      </w:r>
      <w:r>
        <w:rPr>
          <w:rFonts w:hint="eastAsia" w:ascii="仿宋" w:hAnsi="仿宋" w:eastAsia="仿宋" w:cs="仿宋"/>
          <w:sz w:val="24"/>
        </w:rPr>
        <w:t>协商</w:t>
      </w:r>
      <w:r>
        <w:rPr>
          <w:rFonts w:hint="eastAsia" w:ascii="仿宋" w:hAnsi="仿宋" w:eastAsia="仿宋" w:cs="仿宋"/>
          <w:sz w:val="24"/>
          <w:lang w:val="zh-CN"/>
        </w:rPr>
        <w:t>总报价为：人民币（</w:t>
      </w:r>
      <w:r>
        <w:rPr>
          <w:rFonts w:hint="eastAsia" w:ascii="仿宋" w:hAnsi="仿宋" w:eastAsia="仿宋" w:cs="仿宋"/>
          <w:sz w:val="24"/>
          <w:u w:val="single"/>
          <w:lang w:val="zh-CN"/>
        </w:rPr>
        <w:t>大写）：（￥：元）</w:t>
      </w:r>
      <w:r>
        <w:rPr>
          <w:rFonts w:hint="eastAsia" w:ascii="仿宋" w:hAnsi="仿宋" w:eastAsia="仿宋" w:cs="仿宋"/>
          <w:sz w:val="24"/>
          <w:lang w:val="zh-CN"/>
        </w:rPr>
        <w:t>，并对其后的</w:t>
      </w:r>
      <w:r>
        <w:rPr>
          <w:rFonts w:hint="eastAsia" w:ascii="仿宋" w:hAnsi="仿宋" w:eastAsia="仿宋" w:cs="仿宋"/>
          <w:sz w:val="24"/>
        </w:rPr>
        <w:t>协商</w:t>
      </w:r>
      <w:r>
        <w:rPr>
          <w:rFonts w:hint="eastAsia" w:ascii="仿宋" w:hAnsi="仿宋" w:eastAsia="仿宋" w:cs="仿宋"/>
          <w:sz w:val="24"/>
          <w:lang w:val="zh-CN"/>
        </w:rPr>
        <w:t>报价负法律责任。</w:t>
      </w:r>
    </w:p>
    <w:p w14:paraId="724F7E44">
      <w:pPr>
        <w:autoSpaceDE w:val="0"/>
        <w:autoSpaceDN w:val="0"/>
        <w:adjustRightInd w:val="0"/>
        <w:snapToGrid w:val="0"/>
        <w:spacing w:line="460" w:lineRule="exact"/>
        <w:ind w:firstLine="629"/>
        <w:rPr>
          <w:rFonts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zh-CN"/>
        </w:rPr>
        <w:t>、我方提交的响应文件正本一份、副本二份、电子</w:t>
      </w:r>
      <w:r>
        <w:rPr>
          <w:rFonts w:hint="eastAsia" w:ascii="仿宋" w:hAnsi="仿宋" w:eastAsia="仿宋" w:cs="仿宋"/>
          <w:sz w:val="24"/>
        </w:rPr>
        <w:t>文件</w:t>
      </w:r>
      <w:r>
        <w:rPr>
          <w:rFonts w:hint="eastAsia" w:ascii="仿宋" w:hAnsi="仿宋" w:eastAsia="仿宋" w:cs="仿宋"/>
          <w:sz w:val="24"/>
          <w:lang w:val="zh-CN"/>
        </w:rPr>
        <w:t>（</w:t>
      </w:r>
      <w:r>
        <w:rPr>
          <w:rFonts w:hint="eastAsia" w:ascii="仿宋" w:hAnsi="仿宋" w:eastAsia="仿宋" w:cs="仿宋"/>
          <w:sz w:val="24"/>
        </w:rPr>
        <w:t>U盘</w:t>
      </w:r>
      <w:r>
        <w:rPr>
          <w:rFonts w:hint="eastAsia" w:ascii="仿宋" w:hAnsi="仿宋" w:eastAsia="仿宋" w:cs="仿宋"/>
          <w:sz w:val="24"/>
          <w:lang w:val="zh-CN"/>
        </w:rPr>
        <w:t>）一份。</w:t>
      </w:r>
    </w:p>
    <w:p w14:paraId="72C88C78">
      <w:pPr>
        <w:autoSpaceDE w:val="0"/>
        <w:autoSpaceDN w:val="0"/>
        <w:adjustRightInd w:val="0"/>
        <w:snapToGrid w:val="0"/>
        <w:spacing w:line="460" w:lineRule="exact"/>
        <w:ind w:firstLine="629"/>
        <w:rPr>
          <w:rFonts w:ascii="仿宋" w:hAnsi="仿宋" w:eastAsia="仿宋" w:cs="仿宋"/>
          <w:sz w:val="24"/>
        </w:rPr>
      </w:pPr>
      <w:r>
        <w:rPr>
          <w:rFonts w:hint="eastAsia" w:ascii="仿宋" w:hAnsi="仿宋" w:eastAsia="仿宋" w:cs="仿宋"/>
          <w:sz w:val="24"/>
        </w:rPr>
        <w:t>4</w:t>
      </w:r>
      <w:r>
        <w:rPr>
          <w:rFonts w:hint="eastAsia" w:ascii="仿宋" w:hAnsi="仿宋" w:eastAsia="仿宋" w:cs="仿宋"/>
          <w:sz w:val="24"/>
          <w:lang w:val="zh-CN"/>
        </w:rPr>
        <w:t>、我方已详细阅读了单一来源采购文件，完全理解并放弃提出含糊不清或易形成歧义的表述和资料。</w:t>
      </w:r>
    </w:p>
    <w:p w14:paraId="17607183">
      <w:pPr>
        <w:autoSpaceDE w:val="0"/>
        <w:autoSpaceDN w:val="0"/>
        <w:adjustRightInd w:val="0"/>
        <w:snapToGrid w:val="0"/>
        <w:spacing w:line="460" w:lineRule="exact"/>
        <w:ind w:firstLine="629"/>
        <w:rPr>
          <w:rFonts w:ascii="仿宋" w:hAnsi="仿宋" w:eastAsia="仿宋" w:cs="仿宋"/>
          <w:sz w:val="24"/>
        </w:rPr>
      </w:pPr>
      <w:r>
        <w:rPr>
          <w:rFonts w:hint="eastAsia" w:ascii="仿宋" w:hAnsi="仿宋" w:eastAsia="仿宋" w:cs="仿宋"/>
          <w:sz w:val="24"/>
        </w:rPr>
        <w:t>5</w:t>
      </w:r>
      <w:r>
        <w:rPr>
          <w:rFonts w:hint="eastAsia" w:ascii="仿宋" w:hAnsi="仿宋" w:eastAsia="仿宋" w:cs="仿宋"/>
          <w:sz w:val="24"/>
          <w:lang w:val="zh-CN"/>
        </w:rPr>
        <w:t>、协商后在规定的有效期内撤回协商，我方愿接受政府采购的有关处罚决定。</w:t>
      </w:r>
    </w:p>
    <w:p w14:paraId="2F8777F6">
      <w:pPr>
        <w:autoSpaceDE w:val="0"/>
        <w:autoSpaceDN w:val="0"/>
        <w:adjustRightInd w:val="0"/>
        <w:snapToGrid w:val="0"/>
        <w:spacing w:line="460" w:lineRule="exact"/>
        <w:ind w:firstLine="629"/>
        <w:rPr>
          <w:rFonts w:ascii="仿宋" w:hAnsi="仿宋" w:eastAsia="仿宋" w:cs="仿宋"/>
          <w:sz w:val="24"/>
        </w:rPr>
      </w:pPr>
      <w:r>
        <w:rPr>
          <w:rFonts w:hint="eastAsia" w:ascii="仿宋" w:hAnsi="仿宋" w:eastAsia="仿宋" w:cs="仿宋"/>
          <w:sz w:val="24"/>
        </w:rPr>
        <w:t>6</w:t>
      </w:r>
      <w:r>
        <w:rPr>
          <w:rFonts w:hint="eastAsia" w:ascii="仿宋" w:hAnsi="仿宋" w:eastAsia="仿宋" w:cs="仿宋"/>
          <w:sz w:val="24"/>
          <w:lang w:val="zh-CN"/>
        </w:rPr>
        <w:t>、同意向贵方提供可能要求的，与本次协商有关的任何证据或资料，且尊重协商小组的评审结论和成交结果。</w:t>
      </w:r>
    </w:p>
    <w:p w14:paraId="69CDD0A9">
      <w:pPr>
        <w:autoSpaceDE w:val="0"/>
        <w:autoSpaceDN w:val="0"/>
        <w:adjustRightInd w:val="0"/>
        <w:snapToGrid w:val="0"/>
        <w:spacing w:line="460" w:lineRule="exact"/>
        <w:ind w:firstLine="629"/>
        <w:rPr>
          <w:rFonts w:ascii="仿宋" w:hAnsi="仿宋" w:eastAsia="仿宋" w:cs="仿宋"/>
          <w:sz w:val="24"/>
        </w:rPr>
      </w:pPr>
      <w:r>
        <w:rPr>
          <w:rFonts w:hint="eastAsia" w:ascii="仿宋" w:hAnsi="仿宋" w:eastAsia="仿宋" w:cs="仿宋"/>
          <w:sz w:val="24"/>
        </w:rPr>
        <w:t>7</w:t>
      </w:r>
      <w:r>
        <w:rPr>
          <w:rFonts w:hint="eastAsia" w:ascii="仿宋" w:hAnsi="仿宋" w:eastAsia="仿宋" w:cs="仿宋"/>
          <w:sz w:val="24"/>
          <w:lang w:val="zh-CN"/>
        </w:rPr>
        <w:t>、我方的响应文件在协商后有效期为</w:t>
      </w:r>
      <w:r>
        <w:rPr>
          <w:rFonts w:hint="eastAsia" w:ascii="仿宋" w:hAnsi="仿宋" w:eastAsia="仿宋" w:cs="仿宋"/>
          <w:sz w:val="24"/>
        </w:rPr>
        <w:t xml:space="preserve"> 90 </w:t>
      </w:r>
      <w:r>
        <w:rPr>
          <w:rFonts w:hint="eastAsia" w:ascii="仿宋" w:hAnsi="仿宋" w:eastAsia="仿宋" w:cs="仿宋"/>
          <w:sz w:val="24"/>
          <w:lang w:val="zh-CN"/>
        </w:rPr>
        <w:t>日历天，若我方成交，响应文件有效期延长至合同执行完毕。</w:t>
      </w:r>
    </w:p>
    <w:p w14:paraId="3F890920">
      <w:pPr>
        <w:autoSpaceDE w:val="0"/>
        <w:autoSpaceDN w:val="0"/>
        <w:adjustRightInd w:val="0"/>
        <w:snapToGrid w:val="0"/>
        <w:spacing w:line="460" w:lineRule="exact"/>
        <w:ind w:firstLine="629"/>
        <w:rPr>
          <w:rFonts w:ascii="仿宋" w:hAnsi="仿宋" w:eastAsia="仿宋" w:cs="仿宋"/>
          <w:sz w:val="24"/>
        </w:rPr>
      </w:pPr>
      <w:r>
        <w:rPr>
          <w:rFonts w:hint="eastAsia" w:ascii="仿宋" w:hAnsi="仿宋" w:eastAsia="仿宋" w:cs="仿宋"/>
          <w:sz w:val="24"/>
        </w:rPr>
        <w:t>8</w:t>
      </w:r>
      <w:r>
        <w:rPr>
          <w:rFonts w:hint="eastAsia" w:ascii="仿宋" w:hAnsi="仿宋" w:eastAsia="仿宋" w:cs="仿宋"/>
          <w:sz w:val="24"/>
          <w:lang w:val="zh-CN"/>
        </w:rPr>
        <w:t>、有关于本</w:t>
      </w:r>
      <w:r>
        <w:rPr>
          <w:rFonts w:hint="eastAsia" w:ascii="仿宋" w:hAnsi="仿宋" w:eastAsia="仿宋" w:cs="仿宋"/>
          <w:sz w:val="24"/>
        </w:rPr>
        <w:t>项目响应</w:t>
      </w:r>
      <w:r>
        <w:rPr>
          <w:rFonts w:hint="eastAsia" w:ascii="仿宋" w:hAnsi="仿宋" w:eastAsia="仿宋" w:cs="仿宋"/>
          <w:sz w:val="24"/>
          <w:lang w:val="zh-CN"/>
        </w:rPr>
        <w:t>文件的函电，请按下列地址联系。</w:t>
      </w:r>
    </w:p>
    <w:p w14:paraId="01EB5EC8">
      <w:pPr>
        <w:autoSpaceDE w:val="0"/>
        <w:autoSpaceDN w:val="0"/>
        <w:adjustRightInd w:val="0"/>
        <w:spacing w:line="460" w:lineRule="exact"/>
        <w:ind w:firstLine="1440" w:firstLineChars="600"/>
        <w:rPr>
          <w:rFonts w:ascii="仿宋" w:hAnsi="仿宋" w:eastAsia="仿宋" w:cs="仿宋"/>
          <w:sz w:val="24"/>
        </w:rPr>
      </w:pPr>
    </w:p>
    <w:p w14:paraId="6EDCC1BB">
      <w:pPr>
        <w:autoSpaceDE w:val="0"/>
        <w:autoSpaceDN w:val="0"/>
        <w:adjustRightInd w:val="0"/>
        <w:spacing w:line="360" w:lineRule="auto"/>
        <w:ind w:firstLine="480" w:firstLineChars="200"/>
        <w:rPr>
          <w:rFonts w:ascii="仿宋" w:hAnsi="仿宋" w:eastAsia="仿宋" w:cs="仿宋"/>
          <w:sz w:val="24"/>
          <w:u w:val="single"/>
        </w:rPr>
      </w:pPr>
      <w:r>
        <w:rPr>
          <w:rFonts w:hint="eastAsia" w:ascii="仿宋" w:hAnsi="仿宋" w:eastAsia="仿宋" w:cs="仿宋"/>
          <w:sz w:val="24"/>
        </w:rPr>
        <w:t>供应商名称</w:t>
      </w:r>
      <w:r>
        <w:rPr>
          <w:rFonts w:hint="eastAsia" w:ascii="仿宋" w:hAnsi="仿宋" w:eastAsia="仿宋" w:cs="仿宋"/>
          <w:sz w:val="24"/>
          <w:lang w:val="zh-CN"/>
        </w:rPr>
        <w:t>（</w:t>
      </w:r>
      <w:r>
        <w:rPr>
          <w:rFonts w:hint="eastAsia" w:ascii="仿宋" w:hAnsi="仿宋" w:eastAsia="仿宋" w:cs="仿宋"/>
          <w:sz w:val="24"/>
        </w:rPr>
        <w:t>盖章</w:t>
      </w:r>
      <w:r>
        <w:rPr>
          <w:rFonts w:hint="eastAsia" w:ascii="仿宋" w:hAnsi="仿宋" w:eastAsia="仿宋" w:cs="仿宋"/>
          <w:sz w:val="24"/>
          <w:lang w:val="zh-CN"/>
        </w:rPr>
        <w:t>）：</w:t>
      </w:r>
      <w:r>
        <w:rPr>
          <w:rFonts w:hint="eastAsia" w:ascii="仿宋" w:hAnsi="仿宋" w:eastAsia="仿宋" w:cs="仿宋"/>
          <w:sz w:val="24"/>
          <w:u w:val="single"/>
        </w:rPr>
        <w:t xml:space="preserve">                                 </w:t>
      </w:r>
    </w:p>
    <w:p w14:paraId="3A107953">
      <w:pPr>
        <w:autoSpaceDE w:val="0"/>
        <w:autoSpaceDN w:val="0"/>
        <w:adjustRightInd w:val="0"/>
        <w:spacing w:line="360" w:lineRule="auto"/>
        <w:ind w:firstLine="480" w:firstLineChars="200"/>
        <w:rPr>
          <w:rFonts w:ascii="仿宋" w:hAnsi="仿宋" w:eastAsia="仿宋" w:cs="仿宋"/>
          <w:sz w:val="24"/>
          <w:u w:val="single"/>
        </w:rPr>
      </w:pPr>
      <w:r>
        <w:rPr>
          <w:rFonts w:hint="eastAsia" w:ascii="仿宋" w:hAnsi="仿宋" w:eastAsia="仿宋" w:cs="仿宋"/>
          <w:sz w:val="24"/>
          <w:lang w:val="zh-CN"/>
        </w:rPr>
        <w:t>地址：</w:t>
      </w:r>
      <w:r>
        <w:rPr>
          <w:rFonts w:hint="eastAsia" w:ascii="仿宋" w:hAnsi="仿宋" w:eastAsia="仿宋" w:cs="仿宋"/>
          <w:sz w:val="24"/>
        </w:rPr>
        <w:t xml:space="preserve"> </w:t>
      </w:r>
      <w:r>
        <w:rPr>
          <w:rFonts w:hint="eastAsia" w:ascii="仿宋" w:hAnsi="仿宋" w:eastAsia="仿宋" w:cs="仿宋"/>
          <w:sz w:val="24"/>
          <w:u w:val="single"/>
        </w:rPr>
        <w:t xml:space="preserve">                                              </w:t>
      </w:r>
    </w:p>
    <w:p w14:paraId="3F7DC620">
      <w:pPr>
        <w:autoSpaceDE w:val="0"/>
        <w:autoSpaceDN w:val="0"/>
        <w:adjustRightInd w:val="0"/>
        <w:spacing w:line="360" w:lineRule="auto"/>
        <w:ind w:firstLine="480" w:firstLineChars="200"/>
        <w:rPr>
          <w:rFonts w:ascii="仿宋" w:hAnsi="仿宋" w:eastAsia="仿宋" w:cs="仿宋"/>
          <w:sz w:val="24"/>
          <w:u w:val="single"/>
        </w:rPr>
      </w:pPr>
      <w:r>
        <w:rPr>
          <w:rFonts w:hint="eastAsia" w:ascii="仿宋" w:hAnsi="仿宋" w:eastAsia="仿宋" w:cs="仿宋"/>
          <w:sz w:val="24"/>
          <w:lang w:val="zh-CN"/>
        </w:rPr>
        <w:t>开户银行：</w:t>
      </w:r>
      <w:r>
        <w:rPr>
          <w:rFonts w:hint="eastAsia" w:ascii="仿宋" w:hAnsi="仿宋" w:eastAsia="仿宋" w:cs="仿宋"/>
          <w:sz w:val="24"/>
          <w:u w:val="single"/>
        </w:rPr>
        <w:t xml:space="preserve">                                           </w:t>
      </w:r>
    </w:p>
    <w:p w14:paraId="66EB1433">
      <w:pPr>
        <w:autoSpaceDE w:val="0"/>
        <w:autoSpaceDN w:val="0"/>
        <w:adjustRightInd w:val="0"/>
        <w:spacing w:line="360" w:lineRule="auto"/>
        <w:ind w:firstLine="480" w:firstLineChars="200"/>
        <w:rPr>
          <w:rFonts w:ascii="仿宋" w:hAnsi="仿宋" w:eastAsia="仿宋" w:cs="仿宋"/>
          <w:sz w:val="24"/>
          <w:u w:val="single"/>
        </w:rPr>
      </w:pPr>
      <w:r>
        <w:rPr>
          <w:rFonts w:hint="eastAsia" w:ascii="仿宋" w:hAnsi="仿宋" w:eastAsia="仿宋" w:cs="仿宋"/>
          <w:sz w:val="24"/>
        </w:rPr>
        <w:t>账 号：</w:t>
      </w:r>
      <w:r>
        <w:rPr>
          <w:rFonts w:hint="eastAsia" w:ascii="仿宋" w:hAnsi="仿宋" w:eastAsia="仿宋" w:cs="仿宋"/>
          <w:sz w:val="24"/>
          <w:u w:val="single"/>
        </w:rPr>
        <w:t xml:space="preserve">                                              </w:t>
      </w:r>
    </w:p>
    <w:p w14:paraId="34516525">
      <w:pPr>
        <w:autoSpaceDE w:val="0"/>
        <w:autoSpaceDN w:val="0"/>
        <w:adjustRightInd w:val="0"/>
        <w:spacing w:line="360" w:lineRule="auto"/>
        <w:ind w:firstLine="480" w:firstLineChars="200"/>
        <w:rPr>
          <w:rFonts w:ascii="仿宋" w:hAnsi="仿宋" w:eastAsia="仿宋" w:cs="仿宋"/>
          <w:sz w:val="24"/>
          <w:u w:val="single"/>
        </w:rPr>
      </w:pPr>
      <w:r>
        <w:rPr>
          <w:rFonts w:hint="eastAsia" w:ascii="仿宋" w:hAnsi="仿宋" w:eastAsia="仿宋" w:cs="仿宋"/>
          <w:sz w:val="24"/>
          <w:lang w:val="zh-CN"/>
        </w:rPr>
        <w:t>电话：</w:t>
      </w:r>
      <w:r>
        <w:rPr>
          <w:rFonts w:hint="eastAsia" w:ascii="仿宋" w:hAnsi="仿宋" w:eastAsia="仿宋" w:cs="仿宋"/>
          <w:sz w:val="24"/>
          <w:u w:val="single"/>
        </w:rPr>
        <w:t xml:space="preserve">                                               </w:t>
      </w:r>
    </w:p>
    <w:p w14:paraId="4E594666">
      <w:pPr>
        <w:autoSpaceDE w:val="0"/>
        <w:autoSpaceDN w:val="0"/>
        <w:adjustRightInd w:val="0"/>
        <w:spacing w:line="360" w:lineRule="auto"/>
        <w:ind w:firstLine="480" w:firstLineChars="200"/>
        <w:rPr>
          <w:rFonts w:ascii="仿宋" w:hAnsi="仿宋" w:eastAsia="仿宋" w:cs="仿宋"/>
          <w:sz w:val="24"/>
        </w:rPr>
      </w:pPr>
      <w:r>
        <w:rPr>
          <w:rFonts w:hint="eastAsia" w:ascii="仿宋" w:hAnsi="仿宋" w:eastAsia="仿宋" w:cs="仿宋"/>
          <w:sz w:val="24"/>
        </w:rPr>
        <w:t>传 真：</w:t>
      </w:r>
      <w:r>
        <w:rPr>
          <w:rFonts w:hint="eastAsia" w:ascii="仿宋" w:hAnsi="仿宋" w:eastAsia="仿宋" w:cs="仿宋"/>
          <w:sz w:val="24"/>
          <w:u w:val="single"/>
        </w:rPr>
        <w:t xml:space="preserve">                                              </w:t>
      </w:r>
    </w:p>
    <w:p w14:paraId="0668C7F5">
      <w:pPr>
        <w:autoSpaceDE w:val="0"/>
        <w:autoSpaceDN w:val="0"/>
        <w:adjustRightInd w:val="0"/>
        <w:spacing w:line="360" w:lineRule="auto"/>
        <w:ind w:firstLine="480" w:firstLineChars="200"/>
        <w:rPr>
          <w:rFonts w:ascii="仿宋" w:hAnsi="仿宋" w:eastAsia="仿宋" w:cs="仿宋"/>
          <w:sz w:val="24"/>
        </w:rPr>
      </w:pPr>
      <w:r>
        <w:rPr>
          <w:rFonts w:hint="eastAsia" w:ascii="仿宋" w:hAnsi="仿宋" w:eastAsia="仿宋" w:cs="仿宋"/>
          <w:sz w:val="24"/>
        </w:rPr>
        <w:t>法定代表人或被授权人（签字或盖章）</w:t>
      </w:r>
      <w:r>
        <w:rPr>
          <w:rFonts w:hint="eastAsia" w:ascii="仿宋" w:hAnsi="仿宋" w:eastAsia="仿宋" w:cs="仿宋"/>
          <w:sz w:val="24"/>
          <w:lang w:val="zh-CN"/>
        </w:rPr>
        <w:t>：</w:t>
      </w:r>
      <w:r>
        <w:rPr>
          <w:rFonts w:hint="eastAsia" w:ascii="仿宋" w:hAnsi="仿宋" w:eastAsia="仿宋" w:cs="仿宋"/>
          <w:sz w:val="24"/>
          <w:u w:val="single"/>
        </w:rPr>
        <w:t xml:space="preserve">               </w:t>
      </w:r>
    </w:p>
    <w:p w14:paraId="26AE3CF2">
      <w:pPr>
        <w:pStyle w:val="35"/>
        <w:adjustRightInd w:val="0"/>
        <w:spacing w:line="460" w:lineRule="exact"/>
        <w:ind w:firstLine="480"/>
        <w:rPr>
          <w:rFonts w:ascii="仿宋" w:hAnsi="仿宋" w:eastAsia="仿宋" w:cs="仿宋"/>
          <w:sz w:val="24"/>
          <w:szCs w:val="24"/>
          <w:lang w:val="zh-CN"/>
        </w:rPr>
      </w:pP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月</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日</w:t>
      </w:r>
    </w:p>
    <w:p w14:paraId="16F8F524">
      <w:pPr>
        <w:spacing w:line="360" w:lineRule="auto"/>
        <w:ind w:left="630" w:leftChars="300" w:firstLine="120" w:firstLineChars="50"/>
        <w:rPr>
          <w:rFonts w:ascii="仿宋" w:hAnsi="仿宋" w:eastAsia="仿宋" w:cs="仿宋"/>
          <w:sz w:val="24"/>
        </w:rPr>
      </w:pPr>
    </w:p>
    <w:p w14:paraId="27B38B1F">
      <w:pPr>
        <w:numPr>
          <w:ilvl w:val="0"/>
          <w:numId w:val="6"/>
        </w:numPr>
        <w:spacing w:line="360" w:lineRule="auto"/>
        <w:jc w:val="center"/>
        <w:outlineLvl w:val="1"/>
        <w:rPr>
          <w:rFonts w:ascii="仿宋" w:hAnsi="仿宋" w:eastAsia="仿宋" w:cs="仿宋"/>
          <w:b/>
          <w:sz w:val="28"/>
          <w:szCs w:val="28"/>
        </w:rPr>
      </w:pPr>
      <w:r>
        <w:rPr>
          <w:rFonts w:hint="eastAsia" w:ascii="仿宋" w:hAnsi="仿宋" w:eastAsia="仿宋" w:cs="仿宋"/>
          <w:b/>
          <w:bCs/>
          <w:szCs w:val="21"/>
        </w:rPr>
        <w:br w:type="page"/>
      </w:r>
      <w:bookmarkStart w:id="78" w:name="_Toc4007"/>
      <w:r>
        <w:rPr>
          <w:rFonts w:hint="eastAsia" w:ascii="仿宋" w:hAnsi="仿宋" w:eastAsia="仿宋" w:cs="仿宋"/>
          <w:b/>
          <w:sz w:val="28"/>
          <w:szCs w:val="28"/>
        </w:rPr>
        <w:t>首次响应报价表</w:t>
      </w:r>
      <w:bookmarkEnd w:id="78"/>
    </w:p>
    <w:tbl>
      <w:tblPr>
        <w:tblStyle w:val="25"/>
        <w:tblpPr w:leftFromText="180" w:rightFromText="180" w:vertAnchor="text" w:horzAnchor="page" w:tblpX="1616" w:tblpY="436"/>
        <w:tblOverlap w:val="never"/>
        <w:tblW w:w="88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0"/>
        <w:gridCol w:w="6667"/>
      </w:tblGrid>
      <w:tr w14:paraId="41A92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2200" w:type="dxa"/>
            <w:vAlign w:val="center"/>
          </w:tcPr>
          <w:p w14:paraId="46F5AB35">
            <w:pPr>
              <w:snapToGrid w:val="0"/>
              <w:jc w:val="center"/>
              <w:rPr>
                <w:rFonts w:ascii="仿宋" w:hAnsi="仿宋" w:eastAsia="仿宋" w:cs="仿宋"/>
                <w:sz w:val="24"/>
              </w:rPr>
            </w:pPr>
            <w:r>
              <w:rPr>
                <w:rFonts w:hint="eastAsia" w:ascii="仿宋" w:hAnsi="仿宋" w:eastAsia="仿宋" w:cs="仿宋"/>
                <w:sz w:val="24"/>
              </w:rPr>
              <w:t>项目名称</w:t>
            </w:r>
          </w:p>
        </w:tc>
        <w:tc>
          <w:tcPr>
            <w:tcW w:w="6667" w:type="dxa"/>
            <w:vAlign w:val="center"/>
          </w:tcPr>
          <w:p w14:paraId="066692FB">
            <w:pPr>
              <w:widowControl/>
              <w:rPr>
                <w:rFonts w:ascii="仿宋" w:hAnsi="仿宋" w:eastAsia="仿宋" w:cs="仿宋"/>
                <w:sz w:val="24"/>
              </w:rPr>
            </w:pPr>
          </w:p>
        </w:tc>
      </w:tr>
      <w:tr w14:paraId="5FF3E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2200" w:type="dxa"/>
            <w:vAlign w:val="center"/>
          </w:tcPr>
          <w:p w14:paraId="0186F8D3">
            <w:pPr>
              <w:jc w:val="center"/>
              <w:rPr>
                <w:rFonts w:ascii="仿宋" w:hAnsi="仿宋" w:eastAsia="仿宋" w:cs="仿宋"/>
                <w:sz w:val="24"/>
              </w:rPr>
            </w:pPr>
            <w:r>
              <w:rPr>
                <w:rFonts w:hint="eastAsia" w:ascii="仿宋" w:hAnsi="仿宋" w:eastAsia="仿宋" w:cs="仿宋"/>
                <w:sz w:val="24"/>
              </w:rPr>
              <w:t>项目编号</w:t>
            </w:r>
          </w:p>
        </w:tc>
        <w:tc>
          <w:tcPr>
            <w:tcW w:w="6667" w:type="dxa"/>
            <w:vAlign w:val="center"/>
          </w:tcPr>
          <w:p w14:paraId="6C701F3E">
            <w:pPr>
              <w:rPr>
                <w:rFonts w:ascii="仿宋" w:hAnsi="仿宋" w:eastAsia="仿宋" w:cs="仿宋"/>
                <w:sz w:val="24"/>
              </w:rPr>
            </w:pPr>
          </w:p>
        </w:tc>
      </w:tr>
      <w:tr w14:paraId="313F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2200" w:type="dxa"/>
            <w:vAlign w:val="center"/>
          </w:tcPr>
          <w:p w14:paraId="737CEF31">
            <w:pPr>
              <w:jc w:val="center"/>
              <w:rPr>
                <w:rFonts w:ascii="仿宋" w:hAnsi="仿宋" w:eastAsia="仿宋" w:cs="仿宋"/>
                <w:sz w:val="24"/>
              </w:rPr>
            </w:pPr>
            <w:r>
              <w:rPr>
                <w:rFonts w:hint="eastAsia" w:ascii="仿宋" w:hAnsi="仿宋" w:eastAsia="仿宋" w:cs="仿宋"/>
                <w:sz w:val="24"/>
              </w:rPr>
              <w:t>合同包号</w:t>
            </w:r>
          </w:p>
        </w:tc>
        <w:tc>
          <w:tcPr>
            <w:tcW w:w="6667" w:type="dxa"/>
            <w:vAlign w:val="center"/>
          </w:tcPr>
          <w:p w14:paraId="11B790F8">
            <w:pPr>
              <w:rPr>
                <w:rFonts w:ascii="仿宋" w:hAnsi="仿宋" w:eastAsia="仿宋" w:cs="仿宋"/>
                <w:sz w:val="24"/>
              </w:rPr>
            </w:pPr>
          </w:p>
        </w:tc>
      </w:tr>
      <w:tr w14:paraId="51CE6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2200" w:type="dxa"/>
            <w:vAlign w:val="center"/>
          </w:tcPr>
          <w:p w14:paraId="4B006A75">
            <w:pPr>
              <w:jc w:val="center"/>
              <w:rPr>
                <w:rFonts w:ascii="仿宋" w:hAnsi="仿宋" w:eastAsia="仿宋" w:cs="仿宋"/>
                <w:sz w:val="24"/>
              </w:rPr>
            </w:pPr>
            <w:r>
              <w:rPr>
                <w:rFonts w:hint="eastAsia" w:ascii="仿宋" w:hAnsi="仿宋" w:eastAsia="仿宋" w:cs="仿宋"/>
                <w:sz w:val="24"/>
              </w:rPr>
              <w:t>协商总报价</w:t>
            </w:r>
          </w:p>
          <w:p w14:paraId="11887423">
            <w:pPr>
              <w:jc w:val="center"/>
              <w:rPr>
                <w:rFonts w:ascii="仿宋" w:hAnsi="仿宋" w:eastAsia="仿宋" w:cs="仿宋"/>
                <w:sz w:val="24"/>
              </w:rPr>
            </w:pPr>
            <w:r>
              <w:rPr>
                <w:rFonts w:hint="eastAsia" w:ascii="仿宋" w:hAnsi="仿宋" w:eastAsia="仿宋" w:cs="仿宋"/>
                <w:sz w:val="24"/>
              </w:rPr>
              <w:t>（元）</w:t>
            </w:r>
          </w:p>
        </w:tc>
        <w:tc>
          <w:tcPr>
            <w:tcW w:w="6667" w:type="dxa"/>
            <w:vAlign w:val="center"/>
          </w:tcPr>
          <w:p w14:paraId="3EB253FD">
            <w:pPr>
              <w:rPr>
                <w:rFonts w:ascii="仿宋" w:hAnsi="仿宋" w:eastAsia="仿宋" w:cs="仿宋"/>
                <w:sz w:val="24"/>
              </w:rPr>
            </w:pPr>
            <w:r>
              <w:rPr>
                <w:rFonts w:hint="eastAsia" w:ascii="仿宋" w:hAnsi="仿宋" w:eastAsia="仿宋" w:cs="仿宋"/>
                <w:sz w:val="24"/>
              </w:rPr>
              <w:t>大写:</w:t>
            </w:r>
          </w:p>
          <w:p w14:paraId="05F78E5D">
            <w:pPr>
              <w:pStyle w:val="15"/>
              <w:rPr>
                <w:rFonts w:ascii="仿宋" w:hAnsi="仿宋" w:eastAsia="仿宋" w:cs="仿宋"/>
                <w:sz w:val="24"/>
                <w:szCs w:val="24"/>
              </w:rPr>
            </w:pPr>
          </w:p>
          <w:p w14:paraId="4208BFE8">
            <w:pPr>
              <w:rPr>
                <w:rFonts w:ascii="仿宋" w:hAnsi="仿宋" w:eastAsia="仿宋" w:cs="仿宋"/>
                <w:sz w:val="24"/>
              </w:rPr>
            </w:pPr>
            <w:r>
              <w:rPr>
                <w:rFonts w:hint="eastAsia" w:ascii="仿宋" w:hAnsi="仿宋" w:eastAsia="仿宋" w:cs="仿宋"/>
                <w:sz w:val="24"/>
              </w:rPr>
              <w:t>小写:</w:t>
            </w:r>
          </w:p>
        </w:tc>
      </w:tr>
      <w:tr w14:paraId="13CD2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2200" w:type="dxa"/>
            <w:vAlign w:val="center"/>
          </w:tcPr>
          <w:p w14:paraId="5C299918">
            <w:pPr>
              <w:widowControl/>
              <w:jc w:val="center"/>
              <w:rPr>
                <w:rFonts w:ascii="仿宋" w:hAnsi="仿宋" w:eastAsia="仿宋" w:cs="仿宋"/>
                <w:sz w:val="24"/>
              </w:rPr>
            </w:pPr>
            <w:r>
              <w:rPr>
                <w:rFonts w:hint="eastAsia" w:ascii="仿宋" w:hAnsi="仿宋" w:eastAsia="仿宋" w:cs="仿宋"/>
                <w:sz w:val="24"/>
              </w:rPr>
              <w:t>服务期限</w:t>
            </w:r>
          </w:p>
        </w:tc>
        <w:tc>
          <w:tcPr>
            <w:tcW w:w="6667" w:type="dxa"/>
            <w:vAlign w:val="center"/>
          </w:tcPr>
          <w:p w14:paraId="0B64CFE9">
            <w:pPr>
              <w:widowControl/>
              <w:rPr>
                <w:rFonts w:ascii="仿宋" w:hAnsi="仿宋" w:eastAsia="仿宋" w:cs="仿宋"/>
                <w:kern w:val="0"/>
                <w:sz w:val="24"/>
              </w:rPr>
            </w:pPr>
          </w:p>
        </w:tc>
      </w:tr>
      <w:tr w14:paraId="0DFDD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trPr>
        <w:tc>
          <w:tcPr>
            <w:tcW w:w="2200" w:type="dxa"/>
            <w:vAlign w:val="center"/>
          </w:tcPr>
          <w:p w14:paraId="340FF2E4">
            <w:pPr>
              <w:widowControl/>
              <w:jc w:val="center"/>
              <w:rPr>
                <w:rFonts w:ascii="仿宋" w:hAnsi="仿宋" w:eastAsia="仿宋" w:cs="仿宋"/>
                <w:sz w:val="24"/>
              </w:rPr>
            </w:pPr>
            <w:r>
              <w:rPr>
                <w:rFonts w:hint="eastAsia" w:ascii="仿宋" w:hAnsi="仿宋" w:eastAsia="仿宋" w:cs="仿宋"/>
                <w:sz w:val="24"/>
              </w:rPr>
              <w:t>备注</w:t>
            </w:r>
          </w:p>
        </w:tc>
        <w:tc>
          <w:tcPr>
            <w:tcW w:w="6667" w:type="dxa"/>
            <w:vAlign w:val="center"/>
          </w:tcPr>
          <w:p w14:paraId="1E51FB8E">
            <w:pPr>
              <w:widowControl/>
              <w:rPr>
                <w:rFonts w:ascii="仿宋" w:hAnsi="仿宋" w:eastAsia="仿宋" w:cs="仿宋"/>
                <w:kern w:val="0"/>
                <w:sz w:val="24"/>
              </w:rPr>
            </w:pPr>
          </w:p>
        </w:tc>
      </w:tr>
      <w:tr w14:paraId="59F69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8867" w:type="dxa"/>
            <w:gridSpan w:val="2"/>
            <w:vAlign w:val="center"/>
          </w:tcPr>
          <w:p w14:paraId="647E4F57">
            <w:pPr>
              <w:widowControl/>
              <w:rPr>
                <w:rFonts w:ascii="仿宋" w:hAnsi="仿宋" w:eastAsia="仿宋" w:cs="仿宋"/>
                <w:sz w:val="24"/>
              </w:rPr>
            </w:pPr>
            <w:r>
              <w:rPr>
                <w:rFonts w:hint="eastAsia" w:ascii="仿宋" w:hAnsi="仿宋" w:eastAsia="仿宋" w:cs="仿宋"/>
                <w:sz w:val="24"/>
              </w:rPr>
              <w:t>说明：</w:t>
            </w:r>
          </w:p>
          <w:p w14:paraId="60EAEA19">
            <w:pPr>
              <w:widowControl/>
              <w:rPr>
                <w:rFonts w:ascii="仿宋" w:hAnsi="仿宋" w:eastAsia="仿宋" w:cs="仿宋"/>
                <w:sz w:val="24"/>
              </w:rPr>
            </w:pPr>
            <w:r>
              <w:rPr>
                <w:rFonts w:hint="eastAsia" w:ascii="仿宋" w:hAnsi="仿宋" w:eastAsia="仿宋" w:cs="仿宋"/>
                <w:sz w:val="24"/>
              </w:rPr>
              <w:t>1.本报价为供应商完成本项目所需的全部费用（包括劳务费、国家按现行税收政策征收的一切税费等）。</w:t>
            </w:r>
          </w:p>
          <w:p w14:paraId="5A89D5CC">
            <w:pPr>
              <w:widowControl/>
              <w:rPr>
                <w:rFonts w:ascii="仿宋" w:hAnsi="仿宋" w:eastAsia="仿宋" w:cs="仿宋"/>
                <w:sz w:val="24"/>
              </w:rPr>
            </w:pPr>
            <w:r>
              <w:rPr>
                <w:rFonts w:hint="eastAsia" w:ascii="仿宋" w:hAnsi="仿宋" w:eastAsia="仿宋" w:cs="仿宋"/>
                <w:sz w:val="24"/>
              </w:rPr>
              <w:t>2.协商总报价以元为单位，保留小数点后两位，大小写不一致时，以大写为准。</w:t>
            </w:r>
          </w:p>
        </w:tc>
      </w:tr>
    </w:tbl>
    <w:p w14:paraId="4FC48F05">
      <w:pPr>
        <w:spacing w:line="360" w:lineRule="auto"/>
        <w:rPr>
          <w:rFonts w:ascii="仿宋" w:hAnsi="仿宋" w:eastAsia="仿宋" w:cs="仿宋"/>
          <w:sz w:val="24"/>
        </w:rPr>
      </w:pPr>
    </w:p>
    <w:p w14:paraId="2C6DB884"/>
    <w:p w14:paraId="5409B242">
      <w:pPr>
        <w:spacing w:line="480" w:lineRule="auto"/>
        <w:rPr>
          <w:rFonts w:ascii="仿宋" w:hAnsi="仿宋" w:eastAsia="仿宋" w:cs="仿宋"/>
          <w:sz w:val="24"/>
        </w:rPr>
      </w:pPr>
      <w:bookmarkStart w:id="79" w:name="_Toc151"/>
      <w:bookmarkStart w:id="80" w:name="_Toc20423"/>
      <w:bookmarkStart w:id="81" w:name="_Toc15146"/>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14:paraId="57A6921D">
      <w:pPr>
        <w:spacing w:line="360" w:lineRule="auto"/>
        <w:rPr>
          <w:rFonts w:ascii="仿宋" w:hAnsi="仿宋" w:eastAsia="仿宋" w:cs="仿宋"/>
          <w:sz w:val="24"/>
        </w:rPr>
      </w:pPr>
      <w:r>
        <w:rPr>
          <w:rFonts w:hint="eastAsia" w:ascii="仿宋" w:hAnsi="仿宋" w:eastAsia="仿宋" w:cs="仿宋"/>
          <w:sz w:val="24"/>
        </w:rPr>
        <w:t>法定代表人或被授权人：</w:t>
      </w:r>
      <w:r>
        <w:rPr>
          <w:rFonts w:hint="eastAsia" w:ascii="仿宋" w:hAnsi="仿宋" w:eastAsia="仿宋" w:cs="仿宋"/>
          <w:sz w:val="24"/>
          <w:u w:val="single"/>
        </w:rPr>
        <w:t xml:space="preserve">                </w:t>
      </w:r>
      <w:r>
        <w:rPr>
          <w:rFonts w:hint="eastAsia" w:ascii="仿宋" w:hAnsi="仿宋" w:eastAsia="仿宋" w:cs="仿宋"/>
          <w:sz w:val="24"/>
        </w:rPr>
        <w:t>(签字或盖章)</w:t>
      </w:r>
    </w:p>
    <w:p w14:paraId="51268681">
      <w:pPr>
        <w:pStyle w:val="13"/>
        <w:spacing w:line="360" w:lineRule="auto"/>
        <w:rPr>
          <w:rFonts w:ascii="仿宋" w:hAnsi="仿宋" w:eastAsia="仿宋" w:cs="仿宋"/>
          <w:b/>
          <w:sz w:val="32"/>
          <w:szCs w:val="32"/>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35BEBF54">
      <w:pPr>
        <w:snapToGrid w:val="0"/>
        <w:spacing w:line="360" w:lineRule="auto"/>
        <w:jc w:val="center"/>
        <w:rPr>
          <w:rFonts w:ascii="仿宋" w:hAnsi="仿宋" w:eastAsia="仿宋" w:cs="仿宋"/>
          <w:b/>
          <w:sz w:val="28"/>
          <w:szCs w:val="28"/>
        </w:rPr>
      </w:pPr>
      <w:r>
        <w:rPr>
          <w:rFonts w:hint="eastAsia" w:ascii="仿宋" w:hAnsi="仿宋" w:eastAsia="仿宋" w:cs="仿宋"/>
          <w:b/>
          <w:sz w:val="32"/>
          <w:szCs w:val="32"/>
        </w:rPr>
        <w:br w:type="page"/>
      </w:r>
      <w:r>
        <w:rPr>
          <w:rFonts w:hint="eastAsia" w:ascii="仿宋" w:hAnsi="仿宋" w:eastAsia="仿宋" w:cs="仿宋"/>
          <w:b/>
          <w:sz w:val="28"/>
          <w:szCs w:val="28"/>
        </w:rPr>
        <w:t>分项报价表（第一次）</w:t>
      </w:r>
    </w:p>
    <w:p w14:paraId="5C2F60C7">
      <w:pPr>
        <w:spacing w:line="360" w:lineRule="auto"/>
        <w:ind w:firstLine="240"/>
        <w:rPr>
          <w:rFonts w:ascii="仿宋" w:hAnsi="仿宋" w:eastAsia="仿宋" w:cs="仿宋"/>
          <w:sz w:val="24"/>
        </w:rPr>
      </w:pPr>
      <w:r>
        <w:rPr>
          <w:rFonts w:hint="eastAsia" w:ascii="仿宋" w:hAnsi="仿宋" w:eastAsia="仿宋" w:cs="仿宋"/>
          <w:sz w:val="24"/>
        </w:rPr>
        <w:t xml:space="preserve">项目名称：                                       </w:t>
      </w:r>
    </w:p>
    <w:p w14:paraId="7CC014F9">
      <w:pPr>
        <w:spacing w:line="360" w:lineRule="auto"/>
        <w:ind w:firstLine="240"/>
        <w:rPr>
          <w:rFonts w:ascii="仿宋" w:hAnsi="仿宋" w:eastAsia="仿宋" w:cs="仿宋"/>
          <w:sz w:val="24"/>
        </w:rPr>
      </w:pPr>
      <w:r>
        <w:rPr>
          <w:rFonts w:hint="eastAsia" w:ascii="仿宋" w:hAnsi="仿宋" w:eastAsia="仿宋" w:cs="仿宋"/>
          <w:sz w:val="24"/>
        </w:rPr>
        <w:t>项目编号：</w:t>
      </w:r>
    </w:p>
    <w:p w14:paraId="3A5FE80D">
      <w:pPr>
        <w:spacing w:line="360" w:lineRule="auto"/>
        <w:ind w:firstLine="240"/>
        <w:rPr>
          <w:rFonts w:ascii="仿宋" w:hAnsi="仿宋" w:eastAsia="仿宋" w:cs="仿宋"/>
          <w:sz w:val="24"/>
        </w:rPr>
      </w:pPr>
      <w:r>
        <w:rPr>
          <w:rFonts w:hint="eastAsia" w:ascii="仿宋" w:hAnsi="仿宋" w:eastAsia="仿宋" w:cs="仿宋"/>
          <w:sz w:val="24"/>
        </w:rPr>
        <w:t xml:space="preserve">合同包号：   </w:t>
      </w:r>
    </w:p>
    <w:tbl>
      <w:tblPr>
        <w:tblStyle w:val="25"/>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315"/>
        <w:gridCol w:w="1247"/>
        <w:gridCol w:w="1185"/>
        <w:gridCol w:w="1267"/>
        <w:gridCol w:w="1446"/>
        <w:gridCol w:w="884"/>
      </w:tblGrid>
      <w:tr w14:paraId="7AE05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593DAC23">
            <w:pPr>
              <w:overflowPunct w:val="0"/>
              <w:spacing w:line="360" w:lineRule="auto"/>
              <w:jc w:val="center"/>
              <w:rPr>
                <w:rFonts w:ascii="仿宋" w:hAnsi="仿宋" w:eastAsia="仿宋" w:cs="仿宋"/>
                <w:b/>
                <w:bCs/>
                <w:sz w:val="24"/>
              </w:rPr>
            </w:pPr>
            <w:r>
              <w:rPr>
                <w:rFonts w:hint="eastAsia" w:ascii="仿宋" w:hAnsi="仿宋" w:eastAsia="仿宋" w:cs="仿宋"/>
                <w:b/>
                <w:bCs/>
                <w:sz w:val="24"/>
              </w:rPr>
              <w:t>序号</w:t>
            </w:r>
          </w:p>
        </w:tc>
        <w:tc>
          <w:tcPr>
            <w:tcW w:w="2315" w:type="dxa"/>
            <w:vAlign w:val="center"/>
          </w:tcPr>
          <w:p w14:paraId="6958CE58">
            <w:pPr>
              <w:overflowPunct w:val="0"/>
              <w:spacing w:line="360" w:lineRule="auto"/>
              <w:jc w:val="center"/>
              <w:rPr>
                <w:rFonts w:ascii="仿宋" w:hAnsi="仿宋" w:eastAsia="仿宋" w:cs="仿宋"/>
                <w:b/>
                <w:bCs/>
                <w:sz w:val="24"/>
              </w:rPr>
            </w:pPr>
            <w:r>
              <w:rPr>
                <w:rFonts w:hint="eastAsia" w:ascii="仿宋" w:hAnsi="仿宋" w:eastAsia="仿宋" w:cs="仿宋"/>
                <w:b/>
                <w:bCs/>
                <w:sz w:val="24"/>
              </w:rPr>
              <w:t>采购内容</w:t>
            </w:r>
          </w:p>
        </w:tc>
        <w:tc>
          <w:tcPr>
            <w:tcW w:w="1247" w:type="dxa"/>
            <w:vAlign w:val="center"/>
          </w:tcPr>
          <w:p w14:paraId="3A02396A">
            <w:pPr>
              <w:overflowPunct w:val="0"/>
              <w:spacing w:line="360" w:lineRule="auto"/>
              <w:jc w:val="center"/>
              <w:rPr>
                <w:rFonts w:ascii="仿宋" w:hAnsi="仿宋" w:eastAsia="仿宋" w:cs="仿宋"/>
                <w:b/>
                <w:bCs/>
                <w:sz w:val="24"/>
              </w:rPr>
            </w:pPr>
            <w:r>
              <w:rPr>
                <w:rFonts w:hint="eastAsia" w:ascii="仿宋" w:hAnsi="仿宋" w:eastAsia="仿宋" w:cs="仿宋"/>
                <w:b/>
                <w:bCs/>
                <w:sz w:val="24"/>
              </w:rPr>
              <w:t>单位</w:t>
            </w:r>
          </w:p>
        </w:tc>
        <w:tc>
          <w:tcPr>
            <w:tcW w:w="1185" w:type="dxa"/>
            <w:vAlign w:val="center"/>
          </w:tcPr>
          <w:p w14:paraId="060F1A27">
            <w:pPr>
              <w:overflowPunct w:val="0"/>
              <w:spacing w:line="360" w:lineRule="auto"/>
              <w:jc w:val="center"/>
              <w:rPr>
                <w:rFonts w:ascii="仿宋" w:hAnsi="仿宋" w:eastAsia="仿宋" w:cs="仿宋"/>
                <w:b/>
                <w:bCs/>
                <w:sz w:val="24"/>
              </w:rPr>
            </w:pPr>
            <w:r>
              <w:rPr>
                <w:rFonts w:hint="eastAsia" w:ascii="仿宋" w:hAnsi="仿宋" w:eastAsia="仿宋" w:cs="仿宋"/>
                <w:b/>
                <w:bCs/>
                <w:sz w:val="24"/>
              </w:rPr>
              <w:t>数量</w:t>
            </w:r>
          </w:p>
        </w:tc>
        <w:tc>
          <w:tcPr>
            <w:tcW w:w="1267" w:type="dxa"/>
            <w:vAlign w:val="center"/>
          </w:tcPr>
          <w:p w14:paraId="358C640C">
            <w:pPr>
              <w:overflowPunct w:val="0"/>
              <w:spacing w:line="360" w:lineRule="auto"/>
              <w:jc w:val="center"/>
              <w:rPr>
                <w:rFonts w:ascii="仿宋" w:hAnsi="仿宋" w:eastAsia="仿宋" w:cs="仿宋"/>
                <w:b/>
                <w:bCs/>
                <w:sz w:val="24"/>
              </w:rPr>
            </w:pPr>
            <w:r>
              <w:rPr>
                <w:rFonts w:hint="eastAsia" w:ascii="仿宋" w:hAnsi="仿宋" w:eastAsia="仿宋" w:cs="仿宋"/>
                <w:b/>
                <w:bCs/>
                <w:sz w:val="24"/>
              </w:rPr>
              <w:t>单价（元）</w:t>
            </w:r>
          </w:p>
        </w:tc>
        <w:tc>
          <w:tcPr>
            <w:tcW w:w="1446" w:type="dxa"/>
            <w:vAlign w:val="center"/>
          </w:tcPr>
          <w:p w14:paraId="131B1113">
            <w:pPr>
              <w:overflowPunct w:val="0"/>
              <w:spacing w:line="360" w:lineRule="auto"/>
              <w:jc w:val="center"/>
              <w:rPr>
                <w:rFonts w:ascii="仿宋" w:hAnsi="仿宋" w:eastAsia="仿宋" w:cs="仿宋"/>
                <w:b/>
                <w:bCs/>
                <w:sz w:val="24"/>
              </w:rPr>
            </w:pPr>
            <w:r>
              <w:rPr>
                <w:rFonts w:hint="eastAsia" w:ascii="仿宋" w:hAnsi="仿宋" w:eastAsia="仿宋" w:cs="仿宋"/>
                <w:b/>
                <w:bCs/>
                <w:sz w:val="24"/>
              </w:rPr>
              <w:t>合计</w:t>
            </w:r>
          </w:p>
        </w:tc>
        <w:tc>
          <w:tcPr>
            <w:tcW w:w="884" w:type="dxa"/>
            <w:vAlign w:val="center"/>
          </w:tcPr>
          <w:p w14:paraId="61F67EC3">
            <w:pPr>
              <w:overflowPunct w:val="0"/>
              <w:spacing w:line="360" w:lineRule="auto"/>
              <w:jc w:val="center"/>
              <w:rPr>
                <w:rFonts w:ascii="仿宋" w:hAnsi="仿宋" w:eastAsia="仿宋" w:cs="仿宋"/>
                <w:b/>
                <w:bCs/>
                <w:sz w:val="24"/>
              </w:rPr>
            </w:pPr>
            <w:r>
              <w:rPr>
                <w:rFonts w:hint="eastAsia" w:ascii="仿宋" w:hAnsi="仿宋" w:eastAsia="仿宋" w:cs="仿宋"/>
                <w:b/>
                <w:bCs/>
                <w:sz w:val="24"/>
              </w:rPr>
              <w:t>备注</w:t>
            </w:r>
          </w:p>
        </w:tc>
      </w:tr>
      <w:tr w14:paraId="03A42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296CB352">
            <w:pPr>
              <w:overflowPunct w:val="0"/>
              <w:spacing w:line="360" w:lineRule="auto"/>
              <w:jc w:val="center"/>
              <w:rPr>
                <w:rFonts w:ascii="仿宋" w:hAnsi="仿宋" w:eastAsia="仿宋" w:cs="仿宋"/>
                <w:sz w:val="24"/>
              </w:rPr>
            </w:pPr>
          </w:p>
        </w:tc>
        <w:tc>
          <w:tcPr>
            <w:tcW w:w="2315" w:type="dxa"/>
            <w:vAlign w:val="center"/>
          </w:tcPr>
          <w:p w14:paraId="40A409A8">
            <w:pPr>
              <w:overflowPunct w:val="0"/>
              <w:spacing w:line="360" w:lineRule="auto"/>
              <w:jc w:val="center"/>
              <w:rPr>
                <w:rFonts w:ascii="仿宋" w:hAnsi="仿宋" w:eastAsia="仿宋" w:cs="仿宋"/>
                <w:sz w:val="24"/>
              </w:rPr>
            </w:pPr>
          </w:p>
        </w:tc>
        <w:tc>
          <w:tcPr>
            <w:tcW w:w="1247" w:type="dxa"/>
            <w:vAlign w:val="center"/>
          </w:tcPr>
          <w:p w14:paraId="768C34E2">
            <w:pPr>
              <w:overflowPunct w:val="0"/>
              <w:spacing w:line="360" w:lineRule="auto"/>
              <w:jc w:val="center"/>
              <w:rPr>
                <w:rFonts w:ascii="仿宋" w:hAnsi="仿宋" w:eastAsia="仿宋" w:cs="仿宋"/>
                <w:sz w:val="24"/>
              </w:rPr>
            </w:pPr>
          </w:p>
        </w:tc>
        <w:tc>
          <w:tcPr>
            <w:tcW w:w="1185" w:type="dxa"/>
            <w:vAlign w:val="center"/>
          </w:tcPr>
          <w:p w14:paraId="45F85FDA">
            <w:pPr>
              <w:overflowPunct w:val="0"/>
              <w:spacing w:line="360" w:lineRule="auto"/>
              <w:jc w:val="center"/>
              <w:rPr>
                <w:rFonts w:ascii="仿宋" w:hAnsi="仿宋" w:eastAsia="仿宋" w:cs="仿宋"/>
                <w:sz w:val="24"/>
              </w:rPr>
            </w:pPr>
          </w:p>
        </w:tc>
        <w:tc>
          <w:tcPr>
            <w:tcW w:w="1267" w:type="dxa"/>
            <w:vAlign w:val="center"/>
          </w:tcPr>
          <w:p w14:paraId="3D76D24D">
            <w:pPr>
              <w:overflowPunct w:val="0"/>
              <w:spacing w:line="360" w:lineRule="auto"/>
              <w:jc w:val="center"/>
              <w:rPr>
                <w:rFonts w:ascii="仿宋" w:hAnsi="仿宋" w:eastAsia="仿宋" w:cs="仿宋"/>
                <w:sz w:val="24"/>
              </w:rPr>
            </w:pPr>
          </w:p>
        </w:tc>
        <w:tc>
          <w:tcPr>
            <w:tcW w:w="1446" w:type="dxa"/>
            <w:vAlign w:val="center"/>
          </w:tcPr>
          <w:p w14:paraId="6E6D89D9">
            <w:pPr>
              <w:overflowPunct w:val="0"/>
              <w:spacing w:line="360" w:lineRule="auto"/>
              <w:jc w:val="center"/>
              <w:rPr>
                <w:rFonts w:ascii="仿宋" w:hAnsi="仿宋" w:eastAsia="仿宋" w:cs="仿宋"/>
                <w:sz w:val="24"/>
              </w:rPr>
            </w:pPr>
          </w:p>
        </w:tc>
        <w:tc>
          <w:tcPr>
            <w:tcW w:w="884" w:type="dxa"/>
            <w:vAlign w:val="center"/>
          </w:tcPr>
          <w:p w14:paraId="7817959B">
            <w:pPr>
              <w:overflowPunct w:val="0"/>
              <w:spacing w:line="360" w:lineRule="auto"/>
              <w:jc w:val="center"/>
              <w:rPr>
                <w:rFonts w:ascii="仿宋" w:hAnsi="仿宋" w:eastAsia="仿宋" w:cs="仿宋"/>
                <w:sz w:val="24"/>
              </w:rPr>
            </w:pPr>
          </w:p>
        </w:tc>
      </w:tr>
      <w:tr w14:paraId="4911D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4F434509">
            <w:pPr>
              <w:overflowPunct w:val="0"/>
              <w:spacing w:line="360" w:lineRule="auto"/>
              <w:jc w:val="center"/>
              <w:rPr>
                <w:rFonts w:ascii="仿宋" w:hAnsi="仿宋" w:eastAsia="仿宋" w:cs="仿宋"/>
                <w:sz w:val="24"/>
              </w:rPr>
            </w:pPr>
          </w:p>
        </w:tc>
        <w:tc>
          <w:tcPr>
            <w:tcW w:w="2315" w:type="dxa"/>
            <w:vAlign w:val="center"/>
          </w:tcPr>
          <w:p w14:paraId="5F87881A">
            <w:pPr>
              <w:overflowPunct w:val="0"/>
              <w:spacing w:line="360" w:lineRule="auto"/>
              <w:jc w:val="center"/>
              <w:rPr>
                <w:rFonts w:ascii="仿宋" w:hAnsi="仿宋" w:eastAsia="仿宋" w:cs="仿宋"/>
                <w:sz w:val="24"/>
              </w:rPr>
            </w:pPr>
          </w:p>
        </w:tc>
        <w:tc>
          <w:tcPr>
            <w:tcW w:w="1247" w:type="dxa"/>
            <w:vAlign w:val="center"/>
          </w:tcPr>
          <w:p w14:paraId="5A0C8AB1">
            <w:pPr>
              <w:overflowPunct w:val="0"/>
              <w:spacing w:line="360" w:lineRule="auto"/>
              <w:jc w:val="center"/>
              <w:rPr>
                <w:rFonts w:ascii="仿宋" w:hAnsi="仿宋" w:eastAsia="仿宋" w:cs="仿宋"/>
                <w:sz w:val="24"/>
              </w:rPr>
            </w:pPr>
          </w:p>
        </w:tc>
        <w:tc>
          <w:tcPr>
            <w:tcW w:w="1185" w:type="dxa"/>
            <w:vAlign w:val="center"/>
          </w:tcPr>
          <w:p w14:paraId="3303430F">
            <w:pPr>
              <w:overflowPunct w:val="0"/>
              <w:spacing w:line="360" w:lineRule="auto"/>
              <w:jc w:val="center"/>
              <w:rPr>
                <w:rFonts w:ascii="仿宋" w:hAnsi="仿宋" w:eastAsia="仿宋" w:cs="仿宋"/>
                <w:sz w:val="24"/>
              </w:rPr>
            </w:pPr>
          </w:p>
        </w:tc>
        <w:tc>
          <w:tcPr>
            <w:tcW w:w="1267" w:type="dxa"/>
            <w:vAlign w:val="center"/>
          </w:tcPr>
          <w:p w14:paraId="26BE1FF2">
            <w:pPr>
              <w:overflowPunct w:val="0"/>
              <w:spacing w:line="360" w:lineRule="auto"/>
              <w:jc w:val="center"/>
              <w:rPr>
                <w:rFonts w:ascii="仿宋" w:hAnsi="仿宋" w:eastAsia="仿宋" w:cs="仿宋"/>
                <w:sz w:val="24"/>
              </w:rPr>
            </w:pPr>
          </w:p>
        </w:tc>
        <w:tc>
          <w:tcPr>
            <w:tcW w:w="1446" w:type="dxa"/>
            <w:vAlign w:val="center"/>
          </w:tcPr>
          <w:p w14:paraId="5E8587C2">
            <w:pPr>
              <w:overflowPunct w:val="0"/>
              <w:spacing w:line="360" w:lineRule="auto"/>
              <w:jc w:val="center"/>
              <w:rPr>
                <w:rFonts w:ascii="仿宋" w:hAnsi="仿宋" w:eastAsia="仿宋" w:cs="仿宋"/>
                <w:sz w:val="24"/>
              </w:rPr>
            </w:pPr>
          </w:p>
        </w:tc>
        <w:tc>
          <w:tcPr>
            <w:tcW w:w="884" w:type="dxa"/>
            <w:vAlign w:val="center"/>
          </w:tcPr>
          <w:p w14:paraId="3432F71A">
            <w:pPr>
              <w:overflowPunct w:val="0"/>
              <w:spacing w:line="360" w:lineRule="auto"/>
              <w:jc w:val="center"/>
              <w:rPr>
                <w:rFonts w:ascii="仿宋" w:hAnsi="仿宋" w:eastAsia="仿宋" w:cs="仿宋"/>
                <w:sz w:val="24"/>
              </w:rPr>
            </w:pPr>
          </w:p>
        </w:tc>
      </w:tr>
      <w:tr w14:paraId="146AB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369E5F43">
            <w:pPr>
              <w:overflowPunct w:val="0"/>
              <w:spacing w:line="360" w:lineRule="auto"/>
              <w:jc w:val="center"/>
              <w:rPr>
                <w:rFonts w:ascii="仿宋" w:hAnsi="仿宋" w:eastAsia="仿宋" w:cs="仿宋"/>
                <w:sz w:val="24"/>
              </w:rPr>
            </w:pPr>
          </w:p>
        </w:tc>
        <w:tc>
          <w:tcPr>
            <w:tcW w:w="2315" w:type="dxa"/>
            <w:vAlign w:val="center"/>
          </w:tcPr>
          <w:p w14:paraId="57C5554E">
            <w:pPr>
              <w:overflowPunct w:val="0"/>
              <w:spacing w:line="360" w:lineRule="auto"/>
              <w:jc w:val="center"/>
              <w:rPr>
                <w:rFonts w:ascii="仿宋" w:hAnsi="仿宋" w:eastAsia="仿宋" w:cs="仿宋"/>
                <w:sz w:val="24"/>
              </w:rPr>
            </w:pPr>
          </w:p>
        </w:tc>
        <w:tc>
          <w:tcPr>
            <w:tcW w:w="1247" w:type="dxa"/>
            <w:vAlign w:val="center"/>
          </w:tcPr>
          <w:p w14:paraId="026ECAFD">
            <w:pPr>
              <w:overflowPunct w:val="0"/>
              <w:spacing w:line="360" w:lineRule="auto"/>
              <w:jc w:val="center"/>
              <w:rPr>
                <w:rFonts w:ascii="仿宋" w:hAnsi="仿宋" w:eastAsia="仿宋" w:cs="仿宋"/>
                <w:sz w:val="24"/>
              </w:rPr>
            </w:pPr>
          </w:p>
        </w:tc>
        <w:tc>
          <w:tcPr>
            <w:tcW w:w="1185" w:type="dxa"/>
            <w:vAlign w:val="center"/>
          </w:tcPr>
          <w:p w14:paraId="0C935180">
            <w:pPr>
              <w:overflowPunct w:val="0"/>
              <w:spacing w:line="360" w:lineRule="auto"/>
              <w:jc w:val="center"/>
              <w:rPr>
                <w:rFonts w:ascii="仿宋" w:hAnsi="仿宋" w:eastAsia="仿宋" w:cs="仿宋"/>
                <w:sz w:val="24"/>
              </w:rPr>
            </w:pPr>
          </w:p>
        </w:tc>
        <w:tc>
          <w:tcPr>
            <w:tcW w:w="1267" w:type="dxa"/>
            <w:vAlign w:val="center"/>
          </w:tcPr>
          <w:p w14:paraId="014FE1D7">
            <w:pPr>
              <w:overflowPunct w:val="0"/>
              <w:spacing w:line="360" w:lineRule="auto"/>
              <w:jc w:val="center"/>
              <w:rPr>
                <w:rFonts w:ascii="仿宋" w:hAnsi="仿宋" w:eastAsia="仿宋" w:cs="仿宋"/>
                <w:sz w:val="24"/>
              </w:rPr>
            </w:pPr>
          </w:p>
        </w:tc>
        <w:tc>
          <w:tcPr>
            <w:tcW w:w="1446" w:type="dxa"/>
            <w:vAlign w:val="center"/>
          </w:tcPr>
          <w:p w14:paraId="78A4E957">
            <w:pPr>
              <w:overflowPunct w:val="0"/>
              <w:spacing w:line="360" w:lineRule="auto"/>
              <w:jc w:val="center"/>
              <w:rPr>
                <w:rFonts w:ascii="仿宋" w:hAnsi="仿宋" w:eastAsia="仿宋" w:cs="仿宋"/>
                <w:sz w:val="24"/>
              </w:rPr>
            </w:pPr>
          </w:p>
        </w:tc>
        <w:tc>
          <w:tcPr>
            <w:tcW w:w="884" w:type="dxa"/>
            <w:vAlign w:val="center"/>
          </w:tcPr>
          <w:p w14:paraId="67FCF95F">
            <w:pPr>
              <w:overflowPunct w:val="0"/>
              <w:spacing w:line="360" w:lineRule="auto"/>
              <w:jc w:val="center"/>
              <w:rPr>
                <w:rFonts w:ascii="仿宋" w:hAnsi="仿宋" w:eastAsia="仿宋" w:cs="仿宋"/>
                <w:sz w:val="24"/>
              </w:rPr>
            </w:pPr>
          </w:p>
        </w:tc>
      </w:tr>
      <w:tr w14:paraId="4A418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59A403DE">
            <w:pPr>
              <w:overflowPunct w:val="0"/>
              <w:spacing w:line="360" w:lineRule="auto"/>
              <w:jc w:val="center"/>
              <w:rPr>
                <w:rFonts w:ascii="仿宋" w:hAnsi="仿宋" w:eastAsia="仿宋" w:cs="仿宋"/>
                <w:sz w:val="24"/>
              </w:rPr>
            </w:pPr>
          </w:p>
        </w:tc>
        <w:tc>
          <w:tcPr>
            <w:tcW w:w="2315" w:type="dxa"/>
            <w:vAlign w:val="center"/>
          </w:tcPr>
          <w:p w14:paraId="7BD4D45E">
            <w:pPr>
              <w:overflowPunct w:val="0"/>
              <w:spacing w:line="360" w:lineRule="auto"/>
              <w:jc w:val="center"/>
              <w:rPr>
                <w:rFonts w:ascii="仿宋" w:hAnsi="仿宋" w:eastAsia="仿宋" w:cs="仿宋"/>
                <w:sz w:val="24"/>
              </w:rPr>
            </w:pPr>
          </w:p>
        </w:tc>
        <w:tc>
          <w:tcPr>
            <w:tcW w:w="1247" w:type="dxa"/>
            <w:vAlign w:val="center"/>
          </w:tcPr>
          <w:p w14:paraId="6B5F49C1">
            <w:pPr>
              <w:overflowPunct w:val="0"/>
              <w:spacing w:line="360" w:lineRule="auto"/>
              <w:jc w:val="center"/>
              <w:rPr>
                <w:rFonts w:ascii="仿宋" w:hAnsi="仿宋" w:eastAsia="仿宋" w:cs="仿宋"/>
                <w:sz w:val="24"/>
              </w:rPr>
            </w:pPr>
          </w:p>
        </w:tc>
        <w:tc>
          <w:tcPr>
            <w:tcW w:w="1185" w:type="dxa"/>
            <w:vAlign w:val="center"/>
          </w:tcPr>
          <w:p w14:paraId="42C7E466">
            <w:pPr>
              <w:overflowPunct w:val="0"/>
              <w:spacing w:line="360" w:lineRule="auto"/>
              <w:jc w:val="center"/>
              <w:rPr>
                <w:rFonts w:ascii="仿宋" w:hAnsi="仿宋" w:eastAsia="仿宋" w:cs="仿宋"/>
                <w:sz w:val="24"/>
              </w:rPr>
            </w:pPr>
          </w:p>
        </w:tc>
        <w:tc>
          <w:tcPr>
            <w:tcW w:w="1267" w:type="dxa"/>
            <w:vAlign w:val="center"/>
          </w:tcPr>
          <w:p w14:paraId="07F1416A">
            <w:pPr>
              <w:overflowPunct w:val="0"/>
              <w:spacing w:line="360" w:lineRule="auto"/>
              <w:jc w:val="center"/>
              <w:rPr>
                <w:rFonts w:ascii="仿宋" w:hAnsi="仿宋" w:eastAsia="仿宋" w:cs="仿宋"/>
                <w:sz w:val="24"/>
              </w:rPr>
            </w:pPr>
          </w:p>
        </w:tc>
        <w:tc>
          <w:tcPr>
            <w:tcW w:w="1446" w:type="dxa"/>
            <w:vAlign w:val="center"/>
          </w:tcPr>
          <w:p w14:paraId="0E348B91">
            <w:pPr>
              <w:overflowPunct w:val="0"/>
              <w:spacing w:line="360" w:lineRule="auto"/>
              <w:jc w:val="center"/>
              <w:rPr>
                <w:rFonts w:ascii="仿宋" w:hAnsi="仿宋" w:eastAsia="仿宋" w:cs="仿宋"/>
                <w:sz w:val="24"/>
              </w:rPr>
            </w:pPr>
          </w:p>
        </w:tc>
        <w:tc>
          <w:tcPr>
            <w:tcW w:w="884" w:type="dxa"/>
            <w:vAlign w:val="center"/>
          </w:tcPr>
          <w:p w14:paraId="7B52E52F">
            <w:pPr>
              <w:overflowPunct w:val="0"/>
              <w:spacing w:line="360" w:lineRule="auto"/>
              <w:jc w:val="center"/>
              <w:rPr>
                <w:rFonts w:ascii="仿宋" w:hAnsi="仿宋" w:eastAsia="仿宋" w:cs="仿宋"/>
                <w:sz w:val="24"/>
              </w:rPr>
            </w:pPr>
          </w:p>
        </w:tc>
      </w:tr>
      <w:tr w14:paraId="15E4A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004676BD">
            <w:pPr>
              <w:overflowPunct w:val="0"/>
              <w:spacing w:line="360" w:lineRule="auto"/>
              <w:jc w:val="center"/>
              <w:rPr>
                <w:rFonts w:ascii="仿宋" w:hAnsi="仿宋" w:eastAsia="仿宋" w:cs="仿宋"/>
                <w:sz w:val="24"/>
              </w:rPr>
            </w:pPr>
            <w:r>
              <w:rPr>
                <w:rFonts w:hint="eastAsia" w:ascii="仿宋" w:hAnsi="仿宋" w:eastAsia="仿宋" w:cs="仿宋"/>
                <w:sz w:val="24"/>
              </w:rPr>
              <w:t>...</w:t>
            </w:r>
          </w:p>
        </w:tc>
        <w:tc>
          <w:tcPr>
            <w:tcW w:w="2315" w:type="dxa"/>
            <w:vAlign w:val="center"/>
          </w:tcPr>
          <w:p w14:paraId="26E792EE">
            <w:pPr>
              <w:pStyle w:val="24"/>
              <w:ind w:firstLine="0" w:firstLineChars="0"/>
              <w:rPr>
                <w:rFonts w:ascii="仿宋" w:hAnsi="仿宋" w:eastAsia="仿宋" w:cs="仿宋"/>
                <w:sz w:val="24"/>
              </w:rPr>
            </w:pPr>
          </w:p>
        </w:tc>
        <w:tc>
          <w:tcPr>
            <w:tcW w:w="1247" w:type="dxa"/>
            <w:vAlign w:val="center"/>
          </w:tcPr>
          <w:p w14:paraId="0A18B277">
            <w:pPr>
              <w:overflowPunct w:val="0"/>
              <w:spacing w:line="360" w:lineRule="auto"/>
              <w:jc w:val="center"/>
              <w:rPr>
                <w:rFonts w:ascii="仿宋" w:hAnsi="仿宋" w:eastAsia="仿宋" w:cs="仿宋"/>
                <w:sz w:val="24"/>
              </w:rPr>
            </w:pPr>
          </w:p>
        </w:tc>
        <w:tc>
          <w:tcPr>
            <w:tcW w:w="1185" w:type="dxa"/>
            <w:vAlign w:val="center"/>
          </w:tcPr>
          <w:p w14:paraId="7AFF6631">
            <w:pPr>
              <w:overflowPunct w:val="0"/>
              <w:spacing w:line="360" w:lineRule="auto"/>
              <w:jc w:val="center"/>
              <w:rPr>
                <w:rFonts w:ascii="仿宋" w:hAnsi="仿宋" w:eastAsia="仿宋" w:cs="仿宋"/>
                <w:sz w:val="24"/>
              </w:rPr>
            </w:pPr>
          </w:p>
        </w:tc>
        <w:tc>
          <w:tcPr>
            <w:tcW w:w="1267" w:type="dxa"/>
            <w:vAlign w:val="center"/>
          </w:tcPr>
          <w:p w14:paraId="635F17FF">
            <w:pPr>
              <w:overflowPunct w:val="0"/>
              <w:spacing w:line="360" w:lineRule="auto"/>
              <w:jc w:val="center"/>
              <w:rPr>
                <w:rFonts w:ascii="仿宋" w:hAnsi="仿宋" w:eastAsia="仿宋" w:cs="仿宋"/>
                <w:sz w:val="24"/>
              </w:rPr>
            </w:pPr>
          </w:p>
        </w:tc>
        <w:tc>
          <w:tcPr>
            <w:tcW w:w="1446" w:type="dxa"/>
            <w:vAlign w:val="center"/>
          </w:tcPr>
          <w:p w14:paraId="0A1C8D0A">
            <w:pPr>
              <w:overflowPunct w:val="0"/>
              <w:spacing w:line="360" w:lineRule="auto"/>
              <w:jc w:val="center"/>
              <w:rPr>
                <w:rFonts w:ascii="仿宋" w:hAnsi="仿宋" w:eastAsia="仿宋" w:cs="仿宋"/>
                <w:sz w:val="24"/>
              </w:rPr>
            </w:pPr>
          </w:p>
        </w:tc>
        <w:tc>
          <w:tcPr>
            <w:tcW w:w="884" w:type="dxa"/>
            <w:vAlign w:val="center"/>
          </w:tcPr>
          <w:p w14:paraId="6F3E10B0">
            <w:pPr>
              <w:overflowPunct w:val="0"/>
              <w:spacing w:line="360" w:lineRule="auto"/>
              <w:jc w:val="center"/>
              <w:rPr>
                <w:rFonts w:ascii="仿宋" w:hAnsi="仿宋" w:eastAsia="仿宋" w:cs="仿宋"/>
                <w:sz w:val="24"/>
              </w:rPr>
            </w:pPr>
          </w:p>
        </w:tc>
      </w:tr>
      <w:tr w14:paraId="24E02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3109" w:type="dxa"/>
            <w:gridSpan w:val="2"/>
            <w:vAlign w:val="center"/>
          </w:tcPr>
          <w:p w14:paraId="0D45806E">
            <w:pPr>
              <w:pStyle w:val="10"/>
              <w:ind w:firstLine="480"/>
              <w:jc w:val="center"/>
              <w:rPr>
                <w:rFonts w:ascii="仿宋" w:hAnsi="仿宋" w:eastAsia="仿宋" w:cs="仿宋"/>
                <w:szCs w:val="24"/>
              </w:rPr>
            </w:pPr>
            <w:r>
              <w:rPr>
                <w:rFonts w:hint="eastAsia" w:ascii="仿宋" w:hAnsi="仿宋" w:eastAsia="仿宋" w:cs="仿宋"/>
                <w:szCs w:val="24"/>
              </w:rPr>
              <w:t>合计</w:t>
            </w:r>
          </w:p>
        </w:tc>
        <w:tc>
          <w:tcPr>
            <w:tcW w:w="6029" w:type="dxa"/>
            <w:gridSpan w:val="5"/>
            <w:vAlign w:val="center"/>
          </w:tcPr>
          <w:p w14:paraId="1A8F9503">
            <w:pPr>
              <w:pStyle w:val="10"/>
              <w:ind w:left="0" w:firstLine="0" w:firstLineChars="0"/>
              <w:jc w:val="left"/>
              <w:rPr>
                <w:rFonts w:ascii="仿宋" w:hAnsi="仿宋" w:eastAsia="仿宋" w:cs="仿宋"/>
                <w:szCs w:val="24"/>
              </w:rPr>
            </w:pPr>
            <w:r>
              <w:rPr>
                <w:rFonts w:hint="eastAsia" w:ascii="仿宋" w:hAnsi="仿宋" w:eastAsia="仿宋" w:cs="仿宋"/>
                <w:szCs w:val="24"/>
              </w:rPr>
              <w:t>大写：</w:t>
            </w:r>
          </w:p>
          <w:p w14:paraId="18BFDC73">
            <w:pPr>
              <w:jc w:val="left"/>
              <w:rPr>
                <w:rFonts w:ascii="仿宋" w:hAnsi="仿宋" w:eastAsia="仿宋" w:cs="仿宋"/>
                <w:sz w:val="24"/>
              </w:rPr>
            </w:pPr>
            <w:r>
              <w:rPr>
                <w:rFonts w:hint="eastAsia" w:ascii="仿宋" w:hAnsi="仿宋" w:eastAsia="仿宋" w:cs="仿宋"/>
                <w:sz w:val="24"/>
              </w:rPr>
              <w:t>小写：</w:t>
            </w:r>
          </w:p>
        </w:tc>
      </w:tr>
    </w:tbl>
    <w:p w14:paraId="67C31774">
      <w:pPr>
        <w:spacing w:line="360" w:lineRule="auto"/>
        <w:ind w:firstLine="3840" w:firstLineChars="1600"/>
        <w:jc w:val="left"/>
        <w:rPr>
          <w:rFonts w:ascii="仿宋" w:hAnsi="仿宋" w:eastAsia="仿宋" w:cs="仿宋"/>
          <w:sz w:val="24"/>
        </w:rPr>
      </w:pPr>
    </w:p>
    <w:p w14:paraId="00E93C41">
      <w:pPr>
        <w:spacing w:line="360" w:lineRule="auto"/>
        <w:ind w:firstLine="3840" w:firstLineChars="1600"/>
        <w:jc w:val="left"/>
        <w:rPr>
          <w:rFonts w:ascii="仿宋" w:hAnsi="仿宋" w:eastAsia="仿宋" w:cs="仿宋"/>
          <w:sz w:val="24"/>
        </w:rPr>
      </w:pPr>
    </w:p>
    <w:p w14:paraId="722EC6A2">
      <w:pPr>
        <w:spacing w:line="480" w:lineRule="auto"/>
        <w:rPr>
          <w:rFonts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14:paraId="62E1472A">
      <w:pPr>
        <w:spacing w:line="360" w:lineRule="auto"/>
        <w:rPr>
          <w:rFonts w:ascii="仿宋" w:hAnsi="仿宋" w:eastAsia="仿宋" w:cs="仿宋"/>
          <w:sz w:val="24"/>
        </w:rPr>
      </w:pPr>
      <w:r>
        <w:rPr>
          <w:rFonts w:hint="eastAsia" w:ascii="仿宋" w:hAnsi="仿宋" w:eastAsia="仿宋" w:cs="仿宋"/>
          <w:sz w:val="24"/>
        </w:rPr>
        <w:t>法定代表人或被授权人：</w:t>
      </w:r>
      <w:r>
        <w:rPr>
          <w:rFonts w:hint="eastAsia" w:ascii="仿宋" w:hAnsi="仿宋" w:eastAsia="仿宋" w:cs="仿宋"/>
          <w:sz w:val="24"/>
          <w:u w:val="single"/>
        </w:rPr>
        <w:t xml:space="preserve">                </w:t>
      </w:r>
      <w:r>
        <w:rPr>
          <w:rFonts w:hint="eastAsia" w:ascii="仿宋" w:hAnsi="仿宋" w:eastAsia="仿宋" w:cs="仿宋"/>
          <w:sz w:val="24"/>
        </w:rPr>
        <w:t>(签字或盖章)</w:t>
      </w:r>
    </w:p>
    <w:p w14:paraId="3D6BAAB7">
      <w:pPr>
        <w:pStyle w:val="13"/>
        <w:spacing w:line="360" w:lineRule="auto"/>
        <w:rPr>
          <w:rFonts w:ascii="仿宋" w:hAnsi="仿宋" w:eastAsia="仿宋" w:cs="仿宋"/>
          <w:b/>
          <w:sz w:val="24"/>
          <w:szCs w:val="24"/>
        </w:rPr>
      </w:pPr>
      <w:r>
        <w:rPr>
          <w:rFonts w:hint="eastAsia" w:ascii="仿宋" w:hAnsi="仿宋" w:eastAsia="仿宋" w:cs="仿宋"/>
          <w:sz w:val="24"/>
          <w:szCs w:val="24"/>
        </w:rPr>
        <w:t>日        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3588BABA">
      <w:pPr>
        <w:rPr>
          <w:rFonts w:ascii="仿宋" w:hAnsi="仿宋" w:eastAsia="仿宋" w:cs="仿宋"/>
          <w:b/>
          <w:sz w:val="24"/>
        </w:rPr>
      </w:pPr>
    </w:p>
    <w:p w14:paraId="0662B3C9">
      <w:pPr>
        <w:pStyle w:val="30"/>
        <w:spacing w:line="360" w:lineRule="auto"/>
        <w:ind w:firstLine="482"/>
        <w:jc w:val="center"/>
        <w:outlineLvl w:val="1"/>
        <w:rPr>
          <w:rFonts w:ascii="仿宋" w:hAnsi="仿宋" w:eastAsia="仿宋" w:cs="仿宋"/>
          <w:b/>
          <w:bCs/>
          <w:sz w:val="24"/>
          <w:szCs w:val="24"/>
        </w:rPr>
        <w:sectPr>
          <w:pgSz w:w="11906" w:h="16838"/>
          <w:pgMar w:top="1417" w:right="1249" w:bottom="1417" w:left="1417" w:header="850" w:footer="992" w:gutter="0"/>
          <w:cols w:space="0" w:num="1"/>
          <w:docGrid w:type="lines" w:linePitch="312" w:charSpace="0"/>
        </w:sectPr>
      </w:pPr>
    </w:p>
    <w:p w14:paraId="11CA6BC5">
      <w:pPr>
        <w:pStyle w:val="30"/>
        <w:spacing w:line="360" w:lineRule="auto"/>
        <w:ind w:firstLine="562"/>
        <w:jc w:val="center"/>
        <w:outlineLvl w:val="1"/>
        <w:rPr>
          <w:rFonts w:ascii="仿宋" w:hAnsi="仿宋" w:eastAsia="仿宋" w:cs="仿宋"/>
          <w:sz w:val="28"/>
          <w:szCs w:val="28"/>
        </w:rPr>
      </w:pPr>
      <w:bookmarkStart w:id="82" w:name="_Toc19629"/>
      <w:r>
        <w:rPr>
          <w:rFonts w:hint="eastAsia" w:ascii="仿宋" w:hAnsi="仿宋" w:eastAsia="仿宋" w:cs="仿宋"/>
          <w:b/>
          <w:bCs/>
          <w:sz w:val="28"/>
          <w:szCs w:val="28"/>
        </w:rPr>
        <w:t>三、</w:t>
      </w:r>
      <w:bookmarkEnd w:id="79"/>
      <w:bookmarkEnd w:id="80"/>
      <w:bookmarkEnd w:id="81"/>
      <w:r>
        <w:rPr>
          <w:rFonts w:hint="eastAsia" w:ascii="仿宋" w:hAnsi="仿宋" w:eastAsia="仿宋" w:cs="仿宋"/>
          <w:b/>
          <w:bCs/>
          <w:sz w:val="28"/>
          <w:szCs w:val="28"/>
        </w:rPr>
        <w:t>资格证明文件</w:t>
      </w:r>
      <w:bookmarkEnd w:id="82"/>
    </w:p>
    <w:p w14:paraId="4815CD3C">
      <w:pPr>
        <w:overflowPunct w:val="0"/>
        <w:spacing w:before="156" w:beforeLines="50" w:after="156" w:afterLines="50" w:line="500" w:lineRule="exact"/>
        <w:jc w:val="center"/>
        <w:rPr>
          <w:rFonts w:ascii="仿宋" w:hAnsi="仿宋" w:eastAsia="仿宋" w:cs="仿宋"/>
          <w:b/>
          <w:bCs/>
          <w:sz w:val="28"/>
          <w:szCs w:val="28"/>
        </w:rPr>
      </w:pPr>
      <w:r>
        <w:rPr>
          <w:rFonts w:hint="eastAsia" w:ascii="仿宋" w:hAnsi="仿宋" w:eastAsia="仿宋" w:cs="仿宋"/>
          <w:b/>
          <w:bCs/>
          <w:sz w:val="28"/>
          <w:szCs w:val="28"/>
        </w:rPr>
        <w:t>供应商情况表</w:t>
      </w:r>
    </w:p>
    <w:tbl>
      <w:tblPr>
        <w:tblStyle w:val="25"/>
        <w:tblW w:w="9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5"/>
        <w:gridCol w:w="2764"/>
        <w:gridCol w:w="2265"/>
        <w:gridCol w:w="1848"/>
      </w:tblGrid>
      <w:tr w14:paraId="66533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155" w:type="dxa"/>
          </w:tcPr>
          <w:p w14:paraId="71F1D67D">
            <w:pPr>
              <w:overflowPunct w:val="0"/>
              <w:spacing w:line="400" w:lineRule="atLeast"/>
              <w:jc w:val="center"/>
              <w:rPr>
                <w:rFonts w:ascii="仿宋" w:hAnsi="仿宋" w:eastAsia="仿宋" w:cs="仿宋"/>
                <w:sz w:val="24"/>
              </w:rPr>
            </w:pPr>
            <w:r>
              <w:rPr>
                <w:rFonts w:hint="eastAsia" w:ascii="仿宋" w:hAnsi="仿宋" w:eastAsia="仿宋" w:cs="仿宋"/>
                <w:sz w:val="24"/>
              </w:rPr>
              <w:t>单位名称</w:t>
            </w:r>
          </w:p>
        </w:tc>
        <w:tc>
          <w:tcPr>
            <w:tcW w:w="6877" w:type="dxa"/>
            <w:gridSpan w:val="3"/>
          </w:tcPr>
          <w:p w14:paraId="41C49036">
            <w:pPr>
              <w:overflowPunct w:val="0"/>
              <w:spacing w:line="400" w:lineRule="atLeast"/>
              <w:jc w:val="center"/>
              <w:rPr>
                <w:rFonts w:ascii="仿宋" w:hAnsi="仿宋" w:eastAsia="仿宋" w:cs="仿宋"/>
                <w:sz w:val="24"/>
              </w:rPr>
            </w:pPr>
          </w:p>
        </w:tc>
      </w:tr>
      <w:tr w14:paraId="642EF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30375643">
            <w:pPr>
              <w:overflowPunct w:val="0"/>
              <w:spacing w:line="400" w:lineRule="atLeast"/>
              <w:jc w:val="center"/>
              <w:rPr>
                <w:rFonts w:ascii="仿宋" w:hAnsi="仿宋" w:eastAsia="仿宋" w:cs="仿宋"/>
                <w:sz w:val="24"/>
              </w:rPr>
            </w:pPr>
            <w:r>
              <w:rPr>
                <w:rFonts w:hint="eastAsia" w:ascii="仿宋" w:hAnsi="仿宋" w:eastAsia="仿宋" w:cs="仿宋"/>
                <w:sz w:val="24"/>
              </w:rPr>
              <w:t>统一社会信用代码</w:t>
            </w:r>
          </w:p>
        </w:tc>
        <w:tc>
          <w:tcPr>
            <w:tcW w:w="2764" w:type="dxa"/>
          </w:tcPr>
          <w:p w14:paraId="4D53B5C8">
            <w:pPr>
              <w:overflowPunct w:val="0"/>
              <w:spacing w:line="400" w:lineRule="atLeast"/>
              <w:jc w:val="center"/>
              <w:rPr>
                <w:rFonts w:ascii="仿宋" w:hAnsi="仿宋" w:eastAsia="仿宋" w:cs="仿宋"/>
                <w:sz w:val="24"/>
              </w:rPr>
            </w:pPr>
          </w:p>
        </w:tc>
        <w:tc>
          <w:tcPr>
            <w:tcW w:w="2265" w:type="dxa"/>
          </w:tcPr>
          <w:p w14:paraId="6EB1AD01">
            <w:pPr>
              <w:overflowPunct w:val="0"/>
              <w:spacing w:line="400" w:lineRule="atLeast"/>
              <w:jc w:val="center"/>
              <w:rPr>
                <w:rFonts w:ascii="仿宋" w:hAnsi="仿宋" w:eastAsia="仿宋" w:cs="仿宋"/>
                <w:sz w:val="24"/>
              </w:rPr>
            </w:pPr>
            <w:r>
              <w:rPr>
                <w:rFonts w:hint="eastAsia" w:ascii="仿宋" w:hAnsi="仿宋" w:eastAsia="仿宋" w:cs="仿宋"/>
                <w:sz w:val="24"/>
              </w:rPr>
              <w:t>注册日期</w:t>
            </w:r>
          </w:p>
        </w:tc>
        <w:tc>
          <w:tcPr>
            <w:tcW w:w="1848" w:type="dxa"/>
          </w:tcPr>
          <w:p w14:paraId="2BDB3E82">
            <w:pPr>
              <w:overflowPunct w:val="0"/>
              <w:spacing w:line="400" w:lineRule="atLeast"/>
              <w:jc w:val="center"/>
              <w:rPr>
                <w:rFonts w:ascii="仿宋" w:hAnsi="仿宋" w:eastAsia="仿宋" w:cs="仿宋"/>
                <w:sz w:val="24"/>
              </w:rPr>
            </w:pPr>
          </w:p>
        </w:tc>
      </w:tr>
      <w:tr w14:paraId="08F91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155" w:type="dxa"/>
          </w:tcPr>
          <w:p w14:paraId="672142F1">
            <w:pPr>
              <w:overflowPunct w:val="0"/>
              <w:spacing w:line="400" w:lineRule="atLeast"/>
              <w:jc w:val="center"/>
              <w:rPr>
                <w:rFonts w:ascii="仿宋" w:hAnsi="仿宋" w:eastAsia="仿宋" w:cs="仿宋"/>
                <w:sz w:val="24"/>
              </w:rPr>
            </w:pPr>
            <w:r>
              <w:rPr>
                <w:rFonts w:hint="eastAsia" w:ascii="仿宋" w:hAnsi="仿宋" w:eastAsia="仿宋" w:cs="仿宋"/>
                <w:sz w:val="24"/>
              </w:rPr>
              <w:t>营业地址</w:t>
            </w:r>
          </w:p>
        </w:tc>
        <w:tc>
          <w:tcPr>
            <w:tcW w:w="2764" w:type="dxa"/>
          </w:tcPr>
          <w:p w14:paraId="3FAF33B2">
            <w:pPr>
              <w:overflowPunct w:val="0"/>
              <w:spacing w:line="400" w:lineRule="atLeast"/>
              <w:jc w:val="center"/>
              <w:rPr>
                <w:rFonts w:ascii="仿宋" w:hAnsi="仿宋" w:eastAsia="仿宋" w:cs="仿宋"/>
                <w:sz w:val="24"/>
              </w:rPr>
            </w:pPr>
          </w:p>
        </w:tc>
        <w:tc>
          <w:tcPr>
            <w:tcW w:w="2265" w:type="dxa"/>
          </w:tcPr>
          <w:p w14:paraId="33FCE89C">
            <w:pPr>
              <w:overflowPunct w:val="0"/>
              <w:spacing w:line="400" w:lineRule="atLeast"/>
              <w:jc w:val="center"/>
              <w:rPr>
                <w:rFonts w:ascii="仿宋" w:hAnsi="仿宋" w:eastAsia="仿宋" w:cs="仿宋"/>
                <w:sz w:val="24"/>
              </w:rPr>
            </w:pPr>
            <w:r>
              <w:rPr>
                <w:rFonts w:hint="eastAsia" w:ascii="仿宋" w:hAnsi="仿宋" w:eastAsia="仿宋" w:cs="仿宋"/>
                <w:sz w:val="24"/>
              </w:rPr>
              <w:t>注册资金</w:t>
            </w:r>
          </w:p>
        </w:tc>
        <w:tc>
          <w:tcPr>
            <w:tcW w:w="1848" w:type="dxa"/>
          </w:tcPr>
          <w:p w14:paraId="419A3C8D">
            <w:pPr>
              <w:overflowPunct w:val="0"/>
              <w:spacing w:line="400" w:lineRule="atLeast"/>
              <w:jc w:val="center"/>
              <w:rPr>
                <w:rFonts w:ascii="仿宋" w:hAnsi="仿宋" w:eastAsia="仿宋" w:cs="仿宋"/>
                <w:sz w:val="24"/>
              </w:rPr>
            </w:pPr>
          </w:p>
        </w:tc>
      </w:tr>
      <w:tr w14:paraId="12C18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6444495B">
            <w:pPr>
              <w:overflowPunct w:val="0"/>
              <w:spacing w:line="400" w:lineRule="atLeast"/>
              <w:jc w:val="center"/>
              <w:rPr>
                <w:rFonts w:ascii="仿宋" w:hAnsi="仿宋" w:eastAsia="仿宋" w:cs="仿宋"/>
                <w:sz w:val="24"/>
              </w:rPr>
            </w:pPr>
            <w:r>
              <w:rPr>
                <w:rFonts w:hint="eastAsia" w:ascii="仿宋" w:hAnsi="仿宋" w:eastAsia="仿宋" w:cs="仿宋"/>
                <w:sz w:val="24"/>
              </w:rPr>
              <w:t>法定代表人</w:t>
            </w:r>
          </w:p>
        </w:tc>
        <w:tc>
          <w:tcPr>
            <w:tcW w:w="2764" w:type="dxa"/>
          </w:tcPr>
          <w:p w14:paraId="039D09F6">
            <w:pPr>
              <w:overflowPunct w:val="0"/>
              <w:spacing w:line="400" w:lineRule="atLeast"/>
              <w:jc w:val="center"/>
              <w:rPr>
                <w:rFonts w:ascii="仿宋" w:hAnsi="仿宋" w:eastAsia="仿宋" w:cs="仿宋"/>
                <w:sz w:val="24"/>
              </w:rPr>
            </w:pPr>
          </w:p>
        </w:tc>
        <w:tc>
          <w:tcPr>
            <w:tcW w:w="2265" w:type="dxa"/>
          </w:tcPr>
          <w:p w14:paraId="3E1CB92F">
            <w:pPr>
              <w:overflowPunct w:val="0"/>
              <w:spacing w:line="400" w:lineRule="atLeast"/>
              <w:jc w:val="center"/>
              <w:rPr>
                <w:rFonts w:ascii="仿宋" w:hAnsi="仿宋" w:eastAsia="仿宋" w:cs="仿宋"/>
                <w:sz w:val="24"/>
              </w:rPr>
            </w:pPr>
            <w:r>
              <w:rPr>
                <w:rFonts w:hint="eastAsia" w:ascii="仿宋" w:hAnsi="仿宋" w:eastAsia="仿宋" w:cs="仿宋"/>
                <w:sz w:val="24"/>
              </w:rPr>
              <w:t>联系方式</w:t>
            </w:r>
          </w:p>
        </w:tc>
        <w:tc>
          <w:tcPr>
            <w:tcW w:w="1848" w:type="dxa"/>
          </w:tcPr>
          <w:p w14:paraId="653FD2DB">
            <w:pPr>
              <w:overflowPunct w:val="0"/>
              <w:spacing w:line="400" w:lineRule="atLeast"/>
              <w:jc w:val="center"/>
              <w:rPr>
                <w:rFonts w:ascii="仿宋" w:hAnsi="仿宋" w:eastAsia="仿宋" w:cs="仿宋"/>
                <w:sz w:val="24"/>
              </w:rPr>
            </w:pPr>
          </w:p>
        </w:tc>
      </w:tr>
      <w:tr w14:paraId="7B10C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4D616272">
            <w:pPr>
              <w:overflowPunct w:val="0"/>
              <w:spacing w:line="400" w:lineRule="atLeast"/>
              <w:jc w:val="center"/>
              <w:rPr>
                <w:rFonts w:ascii="仿宋" w:hAnsi="仿宋" w:eastAsia="仿宋" w:cs="仿宋"/>
                <w:sz w:val="24"/>
              </w:rPr>
            </w:pPr>
            <w:r>
              <w:rPr>
                <w:rFonts w:hint="eastAsia" w:ascii="仿宋" w:hAnsi="仿宋" w:eastAsia="仿宋" w:cs="仿宋"/>
                <w:sz w:val="24"/>
              </w:rPr>
              <w:t>授权代表人</w:t>
            </w:r>
          </w:p>
        </w:tc>
        <w:tc>
          <w:tcPr>
            <w:tcW w:w="2764" w:type="dxa"/>
          </w:tcPr>
          <w:p w14:paraId="6B73E207">
            <w:pPr>
              <w:overflowPunct w:val="0"/>
              <w:spacing w:line="400" w:lineRule="atLeast"/>
              <w:jc w:val="center"/>
              <w:rPr>
                <w:rFonts w:ascii="仿宋" w:hAnsi="仿宋" w:eastAsia="仿宋" w:cs="仿宋"/>
                <w:sz w:val="24"/>
              </w:rPr>
            </w:pPr>
          </w:p>
        </w:tc>
        <w:tc>
          <w:tcPr>
            <w:tcW w:w="2265" w:type="dxa"/>
          </w:tcPr>
          <w:p w14:paraId="7A8FC650">
            <w:pPr>
              <w:overflowPunct w:val="0"/>
              <w:spacing w:line="400" w:lineRule="atLeast"/>
              <w:jc w:val="center"/>
              <w:rPr>
                <w:rFonts w:ascii="仿宋" w:hAnsi="仿宋" w:eastAsia="仿宋" w:cs="仿宋"/>
                <w:sz w:val="24"/>
              </w:rPr>
            </w:pPr>
            <w:r>
              <w:rPr>
                <w:rFonts w:hint="eastAsia" w:ascii="仿宋" w:hAnsi="仿宋" w:eastAsia="仿宋" w:cs="仿宋"/>
                <w:sz w:val="24"/>
              </w:rPr>
              <w:t>联系方式</w:t>
            </w:r>
          </w:p>
        </w:tc>
        <w:tc>
          <w:tcPr>
            <w:tcW w:w="1848" w:type="dxa"/>
          </w:tcPr>
          <w:p w14:paraId="0233CE92">
            <w:pPr>
              <w:overflowPunct w:val="0"/>
              <w:spacing w:line="400" w:lineRule="atLeast"/>
              <w:jc w:val="center"/>
              <w:rPr>
                <w:rFonts w:ascii="仿宋" w:hAnsi="仿宋" w:eastAsia="仿宋" w:cs="仿宋"/>
                <w:sz w:val="24"/>
              </w:rPr>
            </w:pPr>
          </w:p>
        </w:tc>
      </w:tr>
      <w:tr w14:paraId="4DEC9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333CA9E9">
            <w:pPr>
              <w:overflowPunct w:val="0"/>
              <w:spacing w:line="400" w:lineRule="atLeast"/>
              <w:jc w:val="center"/>
              <w:rPr>
                <w:rFonts w:ascii="仿宋" w:hAnsi="仿宋" w:eastAsia="仿宋" w:cs="仿宋"/>
                <w:sz w:val="24"/>
              </w:rPr>
            </w:pPr>
            <w:r>
              <w:rPr>
                <w:rFonts w:hint="eastAsia" w:ascii="仿宋" w:hAnsi="仿宋" w:eastAsia="仿宋" w:cs="仿宋"/>
                <w:sz w:val="24"/>
              </w:rPr>
              <w:t>企业基本户开户行</w:t>
            </w:r>
          </w:p>
        </w:tc>
        <w:tc>
          <w:tcPr>
            <w:tcW w:w="6877" w:type="dxa"/>
            <w:gridSpan w:val="3"/>
          </w:tcPr>
          <w:p w14:paraId="26733B8A">
            <w:pPr>
              <w:overflowPunct w:val="0"/>
              <w:spacing w:line="400" w:lineRule="atLeast"/>
              <w:jc w:val="center"/>
              <w:rPr>
                <w:rFonts w:ascii="仿宋" w:hAnsi="仿宋" w:eastAsia="仿宋" w:cs="仿宋"/>
                <w:sz w:val="24"/>
              </w:rPr>
            </w:pPr>
          </w:p>
        </w:tc>
      </w:tr>
      <w:tr w14:paraId="514F7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2155" w:type="dxa"/>
          </w:tcPr>
          <w:p w14:paraId="3D6AD3DA">
            <w:pPr>
              <w:overflowPunct w:val="0"/>
              <w:spacing w:line="400" w:lineRule="atLeast"/>
              <w:jc w:val="center"/>
              <w:rPr>
                <w:rFonts w:ascii="仿宋" w:hAnsi="仿宋" w:eastAsia="仿宋" w:cs="仿宋"/>
                <w:sz w:val="24"/>
              </w:rPr>
            </w:pPr>
            <w:r>
              <w:rPr>
                <w:rFonts w:hint="eastAsia" w:ascii="仿宋" w:hAnsi="仿宋" w:eastAsia="仿宋" w:cs="仿宋"/>
                <w:sz w:val="24"/>
              </w:rPr>
              <w:t>账号</w:t>
            </w:r>
          </w:p>
        </w:tc>
        <w:tc>
          <w:tcPr>
            <w:tcW w:w="6877" w:type="dxa"/>
            <w:gridSpan w:val="3"/>
          </w:tcPr>
          <w:p w14:paraId="2C6EC675">
            <w:pPr>
              <w:overflowPunct w:val="0"/>
              <w:spacing w:line="400" w:lineRule="atLeast"/>
              <w:jc w:val="center"/>
              <w:rPr>
                <w:rFonts w:ascii="仿宋" w:hAnsi="仿宋" w:eastAsia="仿宋" w:cs="仿宋"/>
                <w:sz w:val="24"/>
              </w:rPr>
            </w:pPr>
          </w:p>
        </w:tc>
      </w:tr>
      <w:tr w14:paraId="386B1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2155" w:type="dxa"/>
            <w:vAlign w:val="center"/>
          </w:tcPr>
          <w:p w14:paraId="1967E02C">
            <w:pPr>
              <w:overflowPunct w:val="0"/>
              <w:spacing w:line="400" w:lineRule="atLeast"/>
              <w:jc w:val="center"/>
              <w:rPr>
                <w:rFonts w:ascii="仿宋" w:hAnsi="仿宋" w:eastAsia="仿宋" w:cs="仿宋"/>
                <w:sz w:val="24"/>
              </w:rPr>
            </w:pPr>
            <w:r>
              <w:rPr>
                <w:rFonts w:hint="eastAsia" w:ascii="仿宋" w:hAnsi="仿宋" w:eastAsia="仿宋" w:cs="仿宋"/>
                <w:sz w:val="24"/>
              </w:rPr>
              <w:t>主要营业范围</w:t>
            </w:r>
          </w:p>
        </w:tc>
        <w:tc>
          <w:tcPr>
            <w:tcW w:w="6877" w:type="dxa"/>
            <w:gridSpan w:val="3"/>
          </w:tcPr>
          <w:p w14:paraId="7B49B07D">
            <w:pPr>
              <w:overflowPunct w:val="0"/>
              <w:spacing w:line="400" w:lineRule="atLeast"/>
              <w:jc w:val="center"/>
              <w:rPr>
                <w:rFonts w:ascii="仿宋" w:hAnsi="仿宋" w:eastAsia="仿宋" w:cs="仿宋"/>
                <w:sz w:val="24"/>
              </w:rPr>
            </w:pPr>
          </w:p>
        </w:tc>
      </w:tr>
      <w:tr w14:paraId="65383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2155" w:type="dxa"/>
            <w:vAlign w:val="center"/>
          </w:tcPr>
          <w:p w14:paraId="359562CB">
            <w:pPr>
              <w:overflowPunct w:val="0"/>
              <w:spacing w:line="400" w:lineRule="atLeast"/>
              <w:jc w:val="center"/>
              <w:rPr>
                <w:rFonts w:ascii="仿宋" w:hAnsi="仿宋" w:eastAsia="仿宋" w:cs="仿宋"/>
                <w:sz w:val="24"/>
              </w:rPr>
            </w:pPr>
            <w:r>
              <w:rPr>
                <w:rFonts w:hint="eastAsia" w:ascii="仿宋" w:hAnsi="仿宋" w:eastAsia="仿宋" w:cs="仿宋"/>
                <w:sz w:val="24"/>
              </w:rPr>
              <w:t>企业概况</w:t>
            </w:r>
          </w:p>
        </w:tc>
        <w:tc>
          <w:tcPr>
            <w:tcW w:w="6877" w:type="dxa"/>
            <w:gridSpan w:val="3"/>
          </w:tcPr>
          <w:p w14:paraId="770A5AB3">
            <w:pPr>
              <w:overflowPunct w:val="0"/>
              <w:spacing w:line="400" w:lineRule="atLeast"/>
              <w:jc w:val="center"/>
              <w:rPr>
                <w:rFonts w:ascii="仿宋" w:hAnsi="仿宋" w:eastAsia="仿宋" w:cs="仿宋"/>
                <w:sz w:val="24"/>
              </w:rPr>
            </w:pPr>
          </w:p>
        </w:tc>
      </w:tr>
      <w:tr w14:paraId="5DDDD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2155" w:type="dxa"/>
            <w:vAlign w:val="center"/>
          </w:tcPr>
          <w:p w14:paraId="5CABB2D9">
            <w:pPr>
              <w:overflowPunct w:val="0"/>
              <w:spacing w:line="400" w:lineRule="atLeast"/>
              <w:jc w:val="center"/>
              <w:rPr>
                <w:rFonts w:ascii="仿宋" w:hAnsi="仿宋" w:eastAsia="仿宋" w:cs="仿宋"/>
                <w:sz w:val="24"/>
              </w:rPr>
            </w:pPr>
            <w:r>
              <w:rPr>
                <w:rFonts w:hint="eastAsia" w:ascii="仿宋" w:hAnsi="仿宋" w:eastAsia="仿宋" w:cs="仿宋"/>
                <w:sz w:val="24"/>
              </w:rPr>
              <w:t>备注</w:t>
            </w:r>
          </w:p>
        </w:tc>
        <w:tc>
          <w:tcPr>
            <w:tcW w:w="6877" w:type="dxa"/>
            <w:gridSpan w:val="3"/>
          </w:tcPr>
          <w:p w14:paraId="72784AC9">
            <w:pPr>
              <w:overflowPunct w:val="0"/>
              <w:spacing w:line="400" w:lineRule="atLeast"/>
              <w:jc w:val="center"/>
              <w:rPr>
                <w:rFonts w:ascii="仿宋" w:hAnsi="仿宋" w:eastAsia="仿宋" w:cs="仿宋"/>
                <w:sz w:val="24"/>
              </w:rPr>
            </w:pPr>
          </w:p>
        </w:tc>
      </w:tr>
    </w:tbl>
    <w:p w14:paraId="153A27C0">
      <w:pPr>
        <w:pStyle w:val="22"/>
        <w:widowControl w:val="0"/>
        <w:adjustRightInd w:val="0"/>
        <w:snapToGrid w:val="0"/>
        <w:spacing w:before="0" w:beforeAutospacing="0" w:after="0" w:afterAutospacing="0" w:line="360" w:lineRule="auto"/>
        <w:ind w:firstLine="482" w:firstLineChars="200"/>
        <w:rPr>
          <w:rFonts w:ascii="仿宋" w:hAnsi="仿宋" w:eastAsia="仿宋" w:cs="仿宋"/>
          <w:b/>
          <w:bCs/>
          <w:shd w:val="clear" w:color="auto" w:fill="FFFFFF"/>
        </w:rPr>
      </w:pPr>
      <w:r>
        <w:rPr>
          <w:rFonts w:hint="eastAsia" w:ascii="仿宋" w:hAnsi="仿宋" w:eastAsia="仿宋" w:cs="仿宋"/>
          <w:b/>
          <w:bCs/>
        </w:rPr>
        <w:br w:type="page"/>
      </w:r>
      <w:r>
        <w:rPr>
          <w:rFonts w:hint="eastAsia" w:ascii="仿宋" w:hAnsi="仿宋" w:eastAsia="仿宋" w:cs="仿宋"/>
          <w:b/>
          <w:bCs/>
          <w:shd w:val="clear" w:color="auto" w:fill="FFFFFF"/>
        </w:rPr>
        <w:t>1.满足《中华人民共和国政府采购法》第二十二条规定；</w:t>
      </w:r>
    </w:p>
    <w:p w14:paraId="358D7147">
      <w:pPr>
        <w:pStyle w:val="22"/>
        <w:widowControl w:val="0"/>
        <w:adjustRightInd w:val="0"/>
        <w:snapToGrid w:val="0"/>
        <w:spacing w:before="0" w:beforeAutospacing="0" w:after="0" w:afterAutospacing="0" w:line="360" w:lineRule="auto"/>
        <w:ind w:firstLine="482" w:firstLineChars="200"/>
        <w:rPr>
          <w:rFonts w:ascii="仿宋" w:hAnsi="仿宋" w:eastAsia="仿宋" w:cs="仿宋"/>
          <w:b/>
          <w:bCs/>
          <w:shd w:val="clear" w:color="auto" w:fill="FFFFFF"/>
        </w:rPr>
      </w:pPr>
      <w:r>
        <w:rPr>
          <w:rFonts w:hint="eastAsia" w:ascii="仿宋" w:hAnsi="仿宋" w:eastAsia="仿宋" w:cs="仿宋"/>
          <w:b/>
          <w:bCs/>
          <w:shd w:val="clear" w:color="auto" w:fill="FFFFFF"/>
        </w:rPr>
        <w:t>2.落实政府采购政策需满足的资格要求：</w:t>
      </w:r>
    </w:p>
    <w:p w14:paraId="5C947A73">
      <w:pPr>
        <w:pStyle w:val="22"/>
        <w:widowControl w:val="0"/>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合同包1、2、4、5、6、7、8、9、10、11落实政府采购政策需满足的资格要求如下:本项目专门面向中小企业采购。</w:t>
      </w:r>
    </w:p>
    <w:p w14:paraId="63EFB526">
      <w:pPr>
        <w:pStyle w:val="22"/>
        <w:widowControl w:val="0"/>
        <w:adjustRightInd w:val="0"/>
        <w:snapToGrid w:val="0"/>
        <w:spacing w:before="0" w:beforeAutospacing="0" w:after="0" w:afterAutospacing="0" w:line="360" w:lineRule="auto"/>
        <w:ind w:firstLine="480" w:firstLineChars="200"/>
        <w:rPr>
          <w:rFonts w:ascii="仿宋" w:hAnsi="仿宋" w:eastAsia="仿宋" w:cs="仿宋"/>
          <w:shd w:val="clear" w:color="auto" w:fill="FFFFFF"/>
        </w:rPr>
      </w:pPr>
      <w:r>
        <w:rPr>
          <w:rFonts w:hint="eastAsia" w:ascii="仿宋" w:hAnsi="仿宋" w:eastAsia="仿宋" w:cs="仿宋"/>
          <w:shd w:val="clear" w:color="auto" w:fill="FFFFFF"/>
        </w:rPr>
        <w:t>合同包3落实政府采购政策需满足的资格要求如下:本项目非专门面向中小企业采购。</w:t>
      </w:r>
    </w:p>
    <w:p w14:paraId="5E5F7688">
      <w:pPr>
        <w:spacing w:line="360" w:lineRule="auto"/>
        <w:ind w:firstLine="482" w:firstLineChars="200"/>
        <w:rPr>
          <w:rFonts w:hint="eastAsia" w:ascii="仿宋" w:hAnsi="仿宋" w:eastAsia="仿宋" w:cs="仿宋"/>
          <w:b/>
          <w:bCs/>
          <w:kern w:val="0"/>
          <w:sz w:val="24"/>
        </w:rPr>
      </w:pPr>
      <w:r>
        <w:rPr>
          <w:rFonts w:hint="eastAsia" w:ascii="仿宋" w:hAnsi="仿宋" w:eastAsia="仿宋" w:cs="仿宋"/>
          <w:b/>
          <w:bCs/>
          <w:kern w:val="0"/>
          <w:sz w:val="24"/>
        </w:rPr>
        <w:t>3、合同包1、2、4、5、6、7、8、9、10、11特定资格要求如下：</w:t>
      </w:r>
    </w:p>
    <w:p w14:paraId="2D51AED9">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1、营业执照等主体资格证明文件：具有独立承担民事责任能力的法人、其他组织或自然人，提供合法有效的统一社会信用代码营业执照（事业单位法人证书/专业服务机构执业许可证/民办非企业单位登记证书，自然人提供身份证）；</w:t>
      </w:r>
    </w:p>
    <w:p w14:paraId="13DAAADA">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2、财务状况报告：提供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投标担保函（以上三种形式的资料提供任何一种即可）；</w:t>
      </w:r>
    </w:p>
    <w:p w14:paraId="665CC3A2">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30B1DA48">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11530F08">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5、书面声明：提供具有履行本合同所必需的专业技术能力的书面声明；</w:t>
      </w:r>
    </w:p>
    <w:p w14:paraId="5115C4E6">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6、无重大违法记录声明：参加本次政府采购活动前 3 年内在经营活动中没有重大违纪，以及未被列入失信被执行人、重大税收违法失信主体、政府采购严重违法失信行为记录名单的书面声明；</w:t>
      </w:r>
    </w:p>
    <w:p w14:paraId="24C7DE52">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7、法定代表人授权委托书：法定代表人直接参加协商的，须出具法定代表人身份证明书及身份证；授权代表参加协商的，须出具法定代表人授权书及授权代表身份证；</w:t>
      </w:r>
    </w:p>
    <w:p w14:paraId="287BDFF1">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8、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47BEC2BB">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9、中小企业声明函：本项目专门面向中小企业采购，供应商须提供中小企业声明函；</w:t>
      </w:r>
    </w:p>
    <w:p w14:paraId="6900B384">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10、非联合体声明：本项目不接受联合体协商。</w:t>
      </w:r>
    </w:p>
    <w:p w14:paraId="69131420">
      <w:pPr>
        <w:spacing w:line="360" w:lineRule="auto"/>
        <w:ind w:firstLine="482" w:firstLineChars="200"/>
        <w:rPr>
          <w:rFonts w:hint="eastAsia" w:ascii="仿宋" w:hAnsi="仿宋" w:eastAsia="仿宋" w:cs="仿宋"/>
          <w:b/>
          <w:bCs/>
          <w:kern w:val="0"/>
          <w:sz w:val="24"/>
        </w:rPr>
      </w:pPr>
      <w:r>
        <w:rPr>
          <w:rFonts w:hint="eastAsia" w:ascii="仿宋" w:hAnsi="仿宋" w:eastAsia="仿宋" w:cs="仿宋"/>
          <w:b/>
          <w:bCs/>
          <w:kern w:val="0"/>
          <w:sz w:val="24"/>
        </w:rPr>
        <w:t>4、合同包3特定资格要求如下：</w:t>
      </w:r>
    </w:p>
    <w:p w14:paraId="0E2DFEFB">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1、营业执照等主体资格证明文件：具有独立承担民事责任能力的法人、其他组织或自然人，提供合法有效的统一社会信用代码营业执照（事业单位法人证书/专业服务机构执业许可证/民办非企业单位登记证书，自然人提供身份证）；</w:t>
      </w:r>
    </w:p>
    <w:p w14:paraId="042AB992">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2、财务状况报告：提供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投标担保函（以上三种形式的资料提供任何一种即可）；</w:t>
      </w:r>
    </w:p>
    <w:p w14:paraId="3A0725AF">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4FF2219B">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0C7C1D0B">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5、书面声明：提供具有履行本合同所必需的专业技术能力的书面声明；</w:t>
      </w:r>
    </w:p>
    <w:p w14:paraId="7B53CECE">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6、无重大违法记录声明：参加本次政府采购活动前 3 年内在经营活动中没有重大违纪，以及未被列入失信被执行人、重大税收违法失信主体、政府采购严重违法失信行为记录名单的书面声明；</w:t>
      </w:r>
    </w:p>
    <w:p w14:paraId="3BF05FFB">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7、法定代表人授权委托书：法定代表人直接参加协商的，须出具法定代表人身份证明书及身份证；授权代表参加协商的，须出具法定代表人授权书及授权代表身份证；</w:t>
      </w:r>
    </w:p>
    <w:p w14:paraId="5E9F75C4">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8、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272F7972">
      <w:pPr>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9、非联合体声明：本项目不接受联合体协商。</w:t>
      </w:r>
    </w:p>
    <w:p w14:paraId="07133067">
      <w:pPr>
        <w:spacing w:line="480" w:lineRule="auto"/>
        <w:ind w:firstLine="482" w:firstLineChars="200"/>
        <w:rPr>
          <w:rFonts w:ascii="仿宋" w:hAnsi="仿宋" w:eastAsia="仿宋" w:cs="仿宋"/>
          <w:b/>
          <w:bCs/>
          <w:sz w:val="24"/>
        </w:rPr>
      </w:pPr>
      <w:r>
        <w:rPr>
          <w:rFonts w:hint="eastAsia" w:ascii="仿宋" w:hAnsi="仿宋" w:eastAsia="仿宋" w:cs="仿宋"/>
          <w:b/>
          <w:bCs/>
          <w:sz w:val="24"/>
        </w:rPr>
        <w:t>备注：以上资格证明文件（除信用查询结果外）供应商必须完全提供，复印件胶装在响应文件中并加盖单位公章（如相关证明材料由第三方出具，应有第三方公章），缺项或未按要求响应的视为无效响应，不通过资格性审查。</w:t>
      </w:r>
      <w:r>
        <w:rPr>
          <w:rFonts w:hint="eastAsia" w:ascii="仿宋" w:hAnsi="仿宋" w:eastAsia="仿宋" w:cs="仿宋"/>
          <w:b/>
          <w:bCs/>
          <w:sz w:val="24"/>
        </w:rPr>
        <w:br w:type="page"/>
      </w:r>
    </w:p>
    <w:p w14:paraId="0505D57A">
      <w:pPr>
        <w:tabs>
          <w:tab w:val="left" w:pos="210"/>
        </w:tabs>
        <w:spacing w:line="360" w:lineRule="auto"/>
        <w:rPr>
          <w:rFonts w:ascii="仿宋" w:hAnsi="仿宋" w:eastAsia="仿宋" w:cs="仿宋"/>
          <w:b/>
          <w:kern w:val="0"/>
          <w:sz w:val="28"/>
          <w:szCs w:val="28"/>
        </w:rPr>
      </w:pPr>
      <w:r>
        <w:rPr>
          <w:rFonts w:hint="eastAsia" w:ascii="仿宋" w:hAnsi="仿宋" w:eastAsia="仿宋" w:cs="仿宋"/>
          <w:b/>
          <w:kern w:val="0"/>
          <w:sz w:val="28"/>
          <w:szCs w:val="28"/>
        </w:rPr>
        <w:t>附件1：</w:t>
      </w:r>
    </w:p>
    <w:p w14:paraId="05035D38">
      <w:pPr>
        <w:tabs>
          <w:tab w:val="left" w:pos="210"/>
        </w:tabs>
        <w:spacing w:line="360" w:lineRule="auto"/>
        <w:jc w:val="center"/>
        <w:rPr>
          <w:rFonts w:ascii="仿宋" w:hAnsi="仿宋" w:eastAsia="仿宋" w:cs="仿宋"/>
          <w:b/>
          <w:kern w:val="0"/>
          <w:sz w:val="28"/>
          <w:szCs w:val="28"/>
        </w:rPr>
      </w:pPr>
      <w:r>
        <w:rPr>
          <w:rFonts w:hint="eastAsia" w:ascii="仿宋" w:hAnsi="仿宋" w:eastAsia="仿宋" w:cs="仿宋"/>
          <w:b/>
          <w:kern w:val="0"/>
          <w:sz w:val="28"/>
          <w:szCs w:val="28"/>
        </w:rPr>
        <w:t>法定代表人身份证明书</w:t>
      </w:r>
    </w:p>
    <w:tbl>
      <w:tblPr>
        <w:tblStyle w:val="25"/>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2030"/>
        <w:gridCol w:w="1895"/>
        <w:gridCol w:w="2186"/>
        <w:gridCol w:w="2190"/>
      </w:tblGrid>
      <w:tr w14:paraId="5255B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9540" w:type="dxa"/>
            <w:gridSpan w:val="5"/>
            <w:vAlign w:val="center"/>
          </w:tcPr>
          <w:p w14:paraId="5946B2A1">
            <w:pPr>
              <w:tabs>
                <w:tab w:val="left" w:pos="210"/>
              </w:tabs>
              <w:spacing w:line="360" w:lineRule="auto"/>
              <w:jc w:val="left"/>
              <w:rPr>
                <w:rFonts w:ascii="仿宋" w:hAnsi="仿宋" w:eastAsia="仿宋" w:cs="仿宋"/>
                <w:kern w:val="0"/>
                <w:sz w:val="24"/>
              </w:rPr>
            </w:pPr>
            <w:r>
              <w:rPr>
                <w:rFonts w:hint="eastAsia" w:ascii="仿宋" w:hAnsi="仿宋" w:eastAsia="仿宋" w:cs="仿宋"/>
                <w:kern w:val="0"/>
                <w:sz w:val="24"/>
              </w:rPr>
              <w:t>致：陕西德仁招标有限公司</w:t>
            </w:r>
          </w:p>
        </w:tc>
      </w:tr>
      <w:tr w14:paraId="2F759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restart"/>
            <w:vAlign w:val="center"/>
          </w:tcPr>
          <w:p w14:paraId="5F80CAF1">
            <w:pPr>
              <w:tabs>
                <w:tab w:val="left" w:pos="210"/>
              </w:tabs>
              <w:spacing w:line="360" w:lineRule="auto"/>
              <w:jc w:val="center"/>
              <w:rPr>
                <w:rFonts w:ascii="仿宋" w:hAnsi="仿宋" w:eastAsia="仿宋" w:cs="仿宋"/>
                <w:kern w:val="0"/>
                <w:sz w:val="24"/>
              </w:rPr>
            </w:pPr>
            <w:r>
              <w:rPr>
                <w:rFonts w:hint="eastAsia" w:ascii="仿宋" w:hAnsi="仿宋" w:eastAsia="仿宋" w:cs="仿宋"/>
                <w:kern w:val="0"/>
                <w:sz w:val="24"/>
              </w:rPr>
              <w:t>企</w:t>
            </w:r>
          </w:p>
          <w:p w14:paraId="51D3BDA8">
            <w:pPr>
              <w:tabs>
                <w:tab w:val="left" w:pos="210"/>
              </w:tabs>
              <w:spacing w:line="360" w:lineRule="auto"/>
              <w:jc w:val="center"/>
              <w:rPr>
                <w:rFonts w:ascii="仿宋" w:hAnsi="仿宋" w:eastAsia="仿宋" w:cs="仿宋"/>
                <w:kern w:val="0"/>
                <w:sz w:val="24"/>
              </w:rPr>
            </w:pPr>
            <w:r>
              <w:rPr>
                <w:rFonts w:hint="eastAsia" w:ascii="仿宋" w:hAnsi="仿宋" w:eastAsia="仿宋" w:cs="仿宋"/>
                <w:kern w:val="0"/>
                <w:sz w:val="24"/>
              </w:rPr>
              <w:t>业</w:t>
            </w:r>
          </w:p>
          <w:p w14:paraId="5FC98CE2">
            <w:pPr>
              <w:tabs>
                <w:tab w:val="left" w:pos="210"/>
              </w:tabs>
              <w:spacing w:line="360" w:lineRule="auto"/>
              <w:jc w:val="center"/>
              <w:rPr>
                <w:rFonts w:ascii="仿宋" w:hAnsi="仿宋" w:eastAsia="仿宋" w:cs="仿宋"/>
                <w:kern w:val="0"/>
                <w:sz w:val="24"/>
              </w:rPr>
            </w:pPr>
            <w:r>
              <w:rPr>
                <w:rFonts w:hint="eastAsia" w:ascii="仿宋" w:hAnsi="仿宋" w:eastAsia="仿宋" w:cs="仿宋"/>
                <w:kern w:val="0"/>
                <w:sz w:val="24"/>
              </w:rPr>
              <w:t>信</w:t>
            </w:r>
          </w:p>
          <w:p w14:paraId="20F2EFF8">
            <w:pPr>
              <w:tabs>
                <w:tab w:val="left" w:pos="210"/>
              </w:tabs>
              <w:spacing w:line="360" w:lineRule="auto"/>
              <w:jc w:val="center"/>
              <w:rPr>
                <w:rFonts w:ascii="仿宋" w:hAnsi="仿宋" w:eastAsia="仿宋" w:cs="仿宋"/>
                <w:kern w:val="0"/>
                <w:sz w:val="24"/>
              </w:rPr>
            </w:pPr>
            <w:r>
              <w:rPr>
                <w:rFonts w:hint="eastAsia" w:ascii="仿宋" w:hAnsi="仿宋" w:eastAsia="仿宋" w:cs="仿宋"/>
                <w:kern w:val="0"/>
                <w:sz w:val="24"/>
              </w:rPr>
              <w:t>息</w:t>
            </w:r>
          </w:p>
        </w:tc>
        <w:tc>
          <w:tcPr>
            <w:tcW w:w="2030" w:type="dxa"/>
            <w:vAlign w:val="center"/>
          </w:tcPr>
          <w:p w14:paraId="0EF52D17">
            <w:pPr>
              <w:tabs>
                <w:tab w:val="left" w:pos="210"/>
              </w:tabs>
              <w:spacing w:line="360" w:lineRule="auto"/>
              <w:rPr>
                <w:rFonts w:ascii="仿宋" w:hAnsi="仿宋" w:eastAsia="仿宋" w:cs="仿宋"/>
                <w:kern w:val="0"/>
                <w:sz w:val="24"/>
              </w:rPr>
            </w:pPr>
            <w:r>
              <w:rPr>
                <w:rFonts w:hint="eastAsia" w:ascii="仿宋" w:hAnsi="仿宋" w:eastAsia="仿宋" w:cs="仿宋"/>
                <w:kern w:val="0"/>
                <w:sz w:val="24"/>
              </w:rPr>
              <w:t>企业名称</w:t>
            </w:r>
          </w:p>
        </w:tc>
        <w:tc>
          <w:tcPr>
            <w:tcW w:w="6271" w:type="dxa"/>
            <w:gridSpan w:val="3"/>
            <w:vAlign w:val="center"/>
          </w:tcPr>
          <w:p w14:paraId="441D4851">
            <w:pPr>
              <w:tabs>
                <w:tab w:val="left" w:pos="210"/>
              </w:tabs>
              <w:spacing w:line="360" w:lineRule="auto"/>
              <w:jc w:val="left"/>
              <w:rPr>
                <w:rFonts w:ascii="仿宋" w:hAnsi="仿宋" w:eastAsia="仿宋" w:cs="仿宋"/>
                <w:kern w:val="0"/>
                <w:sz w:val="24"/>
              </w:rPr>
            </w:pPr>
          </w:p>
        </w:tc>
      </w:tr>
      <w:tr w14:paraId="38451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35B868E7">
            <w:pPr>
              <w:tabs>
                <w:tab w:val="left" w:pos="210"/>
              </w:tabs>
              <w:spacing w:line="360" w:lineRule="auto"/>
              <w:ind w:firstLine="480" w:firstLineChars="200"/>
              <w:jc w:val="center"/>
              <w:rPr>
                <w:rFonts w:ascii="仿宋" w:hAnsi="仿宋" w:eastAsia="仿宋" w:cs="仿宋"/>
                <w:kern w:val="0"/>
                <w:sz w:val="24"/>
              </w:rPr>
            </w:pPr>
          </w:p>
        </w:tc>
        <w:tc>
          <w:tcPr>
            <w:tcW w:w="2030" w:type="dxa"/>
            <w:vAlign w:val="center"/>
          </w:tcPr>
          <w:p w14:paraId="298E2F9A">
            <w:pPr>
              <w:tabs>
                <w:tab w:val="left" w:pos="210"/>
              </w:tabs>
              <w:spacing w:line="360" w:lineRule="auto"/>
              <w:rPr>
                <w:rFonts w:ascii="仿宋" w:hAnsi="仿宋" w:eastAsia="仿宋" w:cs="仿宋"/>
                <w:kern w:val="0"/>
                <w:sz w:val="24"/>
              </w:rPr>
            </w:pPr>
            <w:r>
              <w:rPr>
                <w:rFonts w:hint="eastAsia" w:ascii="仿宋" w:hAnsi="仿宋" w:eastAsia="仿宋" w:cs="仿宋"/>
                <w:kern w:val="0"/>
                <w:sz w:val="24"/>
              </w:rPr>
              <w:t>法定地址</w:t>
            </w:r>
          </w:p>
        </w:tc>
        <w:tc>
          <w:tcPr>
            <w:tcW w:w="6271" w:type="dxa"/>
            <w:gridSpan w:val="3"/>
            <w:vAlign w:val="center"/>
          </w:tcPr>
          <w:p w14:paraId="5C0D51F9">
            <w:pPr>
              <w:tabs>
                <w:tab w:val="left" w:pos="210"/>
              </w:tabs>
              <w:spacing w:line="360" w:lineRule="auto"/>
              <w:jc w:val="left"/>
              <w:rPr>
                <w:rFonts w:ascii="仿宋" w:hAnsi="仿宋" w:eastAsia="仿宋" w:cs="仿宋"/>
                <w:kern w:val="0"/>
                <w:sz w:val="24"/>
              </w:rPr>
            </w:pPr>
          </w:p>
        </w:tc>
      </w:tr>
      <w:tr w14:paraId="54088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2D76BE67">
            <w:pPr>
              <w:tabs>
                <w:tab w:val="left" w:pos="210"/>
              </w:tabs>
              <w:spacing w:line="360" w:lineRule="auto"/>
              <w:ind w:firstLine="480" w:firstLineChars="200"/>
              <w:jc w:val="center"/>
              <w:rPr>
                <w:rFonts w:ascii="仿宋" w:hAnsi="仿宋" w:eastAsia="仿宋" w:cs="仿宋"/>
                <w:kern w:val="0"/>
                <w:sz w:val="24"/>
              </w:rPr>
            </w:pPr>
          </w:p>
        </w:tc>
        <w:tc>
          <w:tcPr>
            <w:tcW w:w="2030" w:type="dxa"/>
            <w:vAlign w:val="center"/>
          </w:tcPr>
          <w:p w14:paraId="63B0AE1C">
            <w:pPr>
              <w:tabs>
                <w:tab w:val="left" w:pos="210"/>
              </w:tabs>
              <w:spacing w:line="360" w:lineRule="auto"/>
              <w:rPr>
                <w:rFonts w:ascii="仿宋" w:hAnsi="仿宋" w:eastAsia="仿宋" w:cs="仿宋"/>
                <w:kern w:val="0"/>
                <w:sz w:val="24"/>
              </w:rPr>
            </w:pPr>
            <w:r>
              <w:rPr>
                <w:rFonts w:hint="eastAsia" w:ascii="仿宋" w:hAnsi="仿宋" w:eastAsia="仿宋" w:cs="仿宋"/>
                <w:kern w:val="0"/>
                <w:sz w:val="24"/>
              </w:rPr>
              <w:t>邮政编码</w:t>
            </w:r>
          </w:p>
        </w:tc>
        <w:tc>
          <w:tcPr>
            <w:tcW w:w="6271" w:type="dxa"/>
            <w:gridSpan w:val="3"/>
            <w:vAlign w:val="center"/>
          </w:tcPr>
          <w:p w14:paraId="44F40C55">
            <w:pPr>
              <w:tabs>
                <w:tab w:val="left" w:pos="210"/>
              </w:tabs>
              <w:spacing w:line="360" w:lineRule="auto"/>
              <w:jc w:val="left"/>
              <w:rPr>
                <w:rFonts w:ascii="仿宋" w:hAnsi="仿宋" w:eastAsia="仿宋" w:cs="仿宋"/>
                <w:kern w:val="0"/>
                <w:sz w:val="24"/>
              </w:rPr>
            </w:pPr>
          </w:p>
        </w:tc>
      </w:tr>
      <w:tr w14:paraId="5A649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3576D097">
            <w:pPr>
              <w:tabs>
                <w:tab w:val="left" w:pos="210"/>
              </w:tabs>
              <w:spacing w:line="360" w:lineRule="auto"/>
              <w:ind w:firstLine="480" w:firstLineChars="200"/>
              <w:jc w:val="center"/>
              <w:rPr>
                <w:rFonts w:ascii="仿宋" w:hAnsi="仿宋" w:eastAsia="仿宋" w:cs="仿宋"/>
                <w:kern w:val="0"/>
                <w:sz w:val="24"/>
              </w:rPr>
            </w:pPr>
          </w:p>
        </w:tc>
        <w:tc>
          <w:tcPr>
            <w:tcW w:w="2030" w:type="dxa"/>
            <w:vAlign w:val="center"/>
          </w:tcPr>
          <w:p w14:paraId="18C95C6B">
            <w:pPr>
              <w:tabs>
                <w:tab w:val="left" w:pos="210"/>
              </w:tabs>
              <w:spacing w:line="360" w:lineRule="auto"/>
              <w:rPr>
                <w:rFonts w:ascii="仿宋" w:hAnsi="仿宋" w:eastAsia="仿宋" w:cs="仿宋"/>
                <w:kern w:val="0"/>
                <w:sz w:val="24"/>
              </w:rPr>
            </w:pPr>
            <w:r>
              <w:rPr>
                <w:rFonts w:hint="eastAsia" w:ascii="仿宋" w:hAnsi="仿宋" w:eastAsia="仿宋" w:cs="仿宋"/>
                <w:kern w:val="0"/>
                <w:sz w:val="24"/>
              </w:rPr>
              <w:t>工商登记机关</w:t>
            </w:r>
          </w:p>
        </w:tc>
        <w:tc>
          <w:tcPr>
            <w:tcW w:w="6271" w:type="dxa"/>
            <w:gridSpan w:val="3"/>
            <w:vAlign w:val="center"/>
          </w:tcPr>
          <w:p w14:paraId="27E94230">
            <w:pPr>
              <w:tabs>
                <w:tab w:val="left" w:pos="210"/>
              </w:tabs>
              <w:spacing w:line="360" w:lineRule="auto"/>
              <w:jc w:val="left"/>
              <w:rPr>
                <w:rFonts w:ascii="仿宋" w:hAnsi="仿宋" w:eastAsia="仿宋" w:cs="仿宋"/>
                <w:kern w:val="0"/>
                <w:sz w:val="24"/>
              </w:rPr>
            </w:pPr>
          </w:p>
        </w:tc>
      </w:tr>
      <w:tr w14:paraId="28DBA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239" w:type="dxa"/>
            <w:vMerge w:val="continue"/>
            <w:vAlign w:val="center"/>
          </w:tcPr>
          <w:p w14:paraId="28091E33">
            <w:pPr>
              <w:tabs>
                <w:tab w:val="left" w:pos="210"/>
              </w:tabs>
              <w:spacing w:line="360" w:lineRule="auto"/>
              <w:ind w:firstLine="480" w:firstLineChars="200"/>
              <w:jc w:val="center"/>
              <w:rPr>
                <w:rFonts w:ascii="仿宋" w:hAnsi="仿宋" w:eastAsia="仿宋" w:cs="仿宋"/>
                <w:kern w:val="0"/>
                <w:sz w:val="24"/>
              </w:rPr>
            </w:pPr>
          </w:p>
        </w:tc>
        <w:tc>
          <w:tcPr>
            <w:tcW w:w="2030" w:type="dxa"/>
            <w:vAlign w:val="center"/>
          </w:tcPr>
          <w:p w14:paraId="0F141C91">
            <w:pPr>
              <w:tabs>
                <w:tab w:val="left" w:pos="210"/>
              </w:tabs>
              <w:spacing w:line="360" w:lineRule="auto"/>
              <w:rPr>
                <w:rFonts w:ascii="仿宋" w:hAnsi="仿宋" w:eastAsia="仿宋" w:cs="仿宋"/>
                <w:kern w:val="0"/>
                <w:sz w:val="24"/>
              </w:rPr>
            </w:pPr>
            <w:r>
              <w:rPr>
                <w:rFonts w:hint="eastAsia" w:ascii="仿宋" w:hAnsi="仿宋" w:eastAsia="仿宋" w:cs="仿宋"/>
                <w:kern w:val="0"/>
                <w:sz w:val="24"/>
              </w:rPr>
              <w:t>税务登记机关</w:t>
            </w:r>
          </w:p>
        </w:tc>
        <w:tc>
          <w:tcPr>
            <w:tcW w:w="6271" w:type="dxa"/>
            <w:gridSpan w:val="3"/>
            <w:vAlign w:val="center"/>
          </w:tcPr>
          <w:p w14:paraId="7EF598CB">
            <w:pPr>
              <w:tabs>
                <w:tab w:val="left" w:pos="210"/>
              </w:tabs>
              <w:spacing w:line="360" w:lineRule="auto"/>
              <w:jc w:val="left"/>
              <w:rPr>
                <w:rFonts w:ascii="仿宋" w:hAnsi="仿宋" w:eastAsia="仿宋" w:cs="仿宋"/>
                <w:kern w:val="0"/>
                <w:sz w:val="24"/>
              </w:rPr>
            </w:pPr>
          </w:p>
        </w:tc>
      </w:tr>
      <w:tr w14:paraId="68548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3BD8127F">
            <w:pPr>
              <w:tabs>
                <w:tab w:val="left" w:pos="210"/>
              </w:tabs>
              <w:spacing w:line="360" w:lineRule="auto"/>
              <w:ind w:firstLine="480" w:firstLineChars="200"/>
              <w:jc w:val="center"/>
              <w:rPr>
                <w:rFonts w:ascii="仿宋" w:hAnsi="仿宋" w:eastAsia="仿宋" w:cs="仿宋"/>
                <w:kern w:val="0"/>
                <w:sz w:val="24"/>
              </w:rPr>
            </w:pPr>
          </w:p>
        </w:tc>
        <w:tc>
          <w:tcPr>
            <w:tcW w:w="2030" w:type="dxa"/>
            <w:vAlign w:val="center"/>
          </w:tcPr>
          <w:p w14:paraId="690F55FB">
            <w:pPr>
              <w:tabs>
                <w:tab w:val="left" w:pos="210"/>
              </w:tabs>
              <w:spacing w:line="360" w:lineRule="auto"/>
              <w:rPr>
                <w:rFonts w:ascii="仿宋" w:hAnsi="仿宋" w:eastAsia="仿宋" w:cs="仿宋"/>
                <w:kern w:val="0"/>
                <w:sz w:val="24"/>
              </w:rPr>
            </w:pPr>
            <w:r>
              <w:rPr>
                <w:rFonts w:hint="eastAsia" w:ascii="仿宋" w:hAnsi="仿宋" w:eastAsia="仿宋" w:cs="仿宋"/>
                <w:kern w:val="0"/>
                <w:sz w:val="24"/>
              </w:rPr>
              <w:t>统一社会信用代码</w:t>
            </w:r>
          </w:p>
        </w:tc>
        <w:tc>
          <w:tcPr>
            <w:tcW w:w="6271" w:type="dxa"/>
            <w:gridSpan w:val="3"/>
            <w:vAlign w:val="center"/>
          </w:tcPr>
          <w:p w14:paraId="6D009B36">
            <w:pPr>
              <w:tabs>
                <w:tab w:val="left" w:pos="210"/>
              </w:tabs>
              <w:spacing w:line="360" w:lineRule="auto"/>
              <w:jc w:val="left"/>
              <w:rPr>
                <w:rFonts w:ascii="仿宋" w:hAnsi="仿宋" w:eastAsia="仿宋" w:cs="仿宋"/>
                <w:kern w:val="0"/>
                <w:sz w:val="24"/>
              </w:rPr>
            </w:pPr>
          </w:p>
        </w:tc>
      </w:tr>
      <w:tr w14:paraId="0A5B7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239" w:type="dxa"/>
            <w:vMerge w:val="restart"/>
            <w:vAlign w:val="center"/>
          </w:tcPr>
          <w:p w14:paraId="18C3AB1B">
            <w:pPr>
              <w:tabs>
                <w:tab w:val="left" w:pos="210"/>
              </w:tabs>
              <w:spacing w:line="360" w:lineRule="auto"/>
              <w:jc w:val="center"/>
              <w:rPr>
                <w:rFonts w:ascii="仿宋" w:hAnsi="仿宋" w:eastAsia="仿宋" w:cs="仿宋"/>
                <w:kern w:val="0"/>
                <w:sz w:val="24"/>
              </w:rPr>
            </w:pPr>
            <w:r>
              <w:rPr>
                <w:rFonts w:hint="eastAsia" w:ascii="仿宋" w:hAnsi="仿宋" w:eastAsia="仿宋" w:cs="仿宋"/>
                <w:kern w:val="0"/>
                <w:sz w:val="24"/>
              </w:rPr>
              <w:t>法定代表</w:t>
            </w:r>
          </w:p>
          <w:p w14:paraId="422FC820">
            <w:pPr>
              <w:tabs>
                <w:tab w:val="left" w:pos="210"/>
              </w:tabs>
              <w:spacing w:line="360" w:lineRule="auto"/>
              <w:jc w:val="center"/>
              <w:rPr>
                <w:rFonts w:ascii="仿宋" w:hAnsi="仿宋" w:eastAsia="仿宋" w:cs="仿宋"/>
                <w:kern w:val="0"/>
                <w:sz w:val="24"/>
              </w:rPr>
            </w:pPr>
            <w:r>
              <w:rPr>
                <w:rFonts w:hint="eastAsia" w:ascii="仿宋" w:hAnsi="仿宋" w:eastAsia="仿宋" w:cs="仿宋"/>
                <w:kern w:val="0"/>
                <w:sz w:val="24"/>
              </w:rPr>
              <w:t>人</w:t>
            </w:r>
          </w:p>
        </w:tc>
        <w:tc>
          <w:tcPr>
            <w:tcW w:w="2030" w:type="dxa"/>
            <w:vAlign w:val="center"/>
          </w:tcPr>
          <w:p w14:paraId="3B6AEA90">
            <w:pPr>
              <w:tabs>
                <w:tab w:val="left" w:pos="210"/>
              </w:tabs>
              <w:spacing w:line="360" w:lineRule="auto"/>
              <w:rPr>
                <w:rFonts w:ascii="仿宋" w:hAnsi="仿宋" w:eastAsia="仿宋" w:cs="仿宋"/>
                <w:kern w:val="0"/>
                <w:sz w:val="24"/>
              </w:rPr>
            </w:pPr>
            <w:r>
              <w:rPr>
                <w:rFonts w:hint="eastAsia" w:ascii="仿宋" w:hAnsi="仿宋" w:eastAsia="仿宋" w:cs="仿宋"/>
                <w:kern w:val="0"/>
                <w:sz w:val="24"/>
              </w:rPr>
              <w:t>姓名</w:t>
            </w:r>
          </w:p>
        </w:tc>
        <w:tc>
          <w:tcPr>
            <w:tcW w:w="1895" w:type="dxa"/>
            <w:vAlign w:val="center"/>
          </w:tcPr>
          <w:p w14:paraId="7F35CFCD">
            <w:pPr>
              <w:tabs>
                <w:tab w:val="left" w:pos="210"/>
              </w:tabs>
              <w:spacing w:line="360" w:lineRule="auto"/>
              <w:ind w:firstLine="480" w:firstLineChars="200"/>
              <w:jc w:val="left"/>
              <w:rPr>
                <w:rFonts w:ascii="仿宋" w:hAnsi="仿宋" w:eastAsia="仿宋" w:cs="仿宋"/>
                <w:kern w:val="0"/>
                <w:sz w:val="24"/>
              </w:rPr>
            </w:pPr>
          </w:p>
        </w:tc>
        <w:tc>
          <w:tcPr>
            <w:tcW w:w="2186" w:type="dxa"/>
            <w:vAlign w:val="center"/>
          </w:tcPr>
          <w:p w14:paraId="2FAAED73">
            <w:pPr>
              <w:tabs>
                <w:tab w:val="left" w:pos="210"/>
              </w:tabs>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性别</w:t>
            </w:r>
          </w:p>
        </w:tc>
        <w:tc>
          <w:tcPr>
            <w:tcW w:w="2190" w:type="dxa"/>
            <w:vAlign w:val="center"/>
          </w:tcPr>
          <w:p w14:paraId="4E7D502C">
            <w:pPr>
              <w:tabs>
                <w:tab w:val="left" w:pos="210"/>
              </w:tabs>
              <w:spacing w:line="360" w:lineRule="auto"/>
              <w:ind w:firstLine="480" w:firstLineChars="200"/>
              <w:jc w:val="left"/>
              <w:rPr>
                <w:rFonts w:ascii="仿宋" w:hAnsi="仿宋" w:eastAsia="仿宋" w:cs="仿宋"/>
                <w:kern w:val="0"/>
                <w:sz w:val="24"/>
              </w:rPr>
            </w:pPr>
          </w:p>
        </w:tc>
      </w:tr>
      <w:tr w14:paraId="2E93E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239" w:type="dxa"/>
            <w:vMerge w:val="continue"/>
            <w:vAlign w:val="center"/>
          </w:tcPr>
          <w:p w14:paraId="7F194EA5">
            <w:pPr>
              <w:tabs>
                <w:tab w:val="left" w:pos="210"/>
              </w:tabs>
              <w:spacing w:line="360" w:lineRule="auto"/>
              <w:ind w:firstLine="480" w:firstLineChars="200"/>
              <w:jc w:val="center"/>
              <w:rPr>
                <w:rFonts w:ascii="仿宋" w:hAnsi="仿宋" w:eastAsia="仿宋" w:cs="仿宋"/>
                <w:kern w:val="0"/>
                <w:sz w:val="24"/>
              </w:rPr>
            </w:pPr>
          </w:p>
        </w:tc>
        <w:tc>
          <w:tcPr>
            <w:tcW w:w="2030" w:type="dxa"/>
            <w:vAlign w:val="center"/>
          </w:tcPr>
          <w:p w14:paraId="727A54C3">
            <w:pPr>
              <w:tabs>
                <w:tab w:val="left" w:pos="210"/>
              </w:tabs>
              <w:spacing w:line="360" w:lineRule="auto"/>
              <w:rPr>
                <w:rFonts w:ascii="仿宋" w:hAnsi="仿宋" w:eastAsia="仿宋" w:cs="仿宋"/>
                <w:kern w:val="0"/>
                <w:sz w:val="24"/>
              </w:rPr>
            </w:pPr>
            <w:r>
              <w:rPr>
                <w:rFonts w:hint="eastAsia" w:ascii="仿宋" w:hAnsi="仿宋" w:eastAsia="仿宋" w:cs="仿宋"/>
                <w:kern w:val="0"/>
                <w:sz w:val="24"/>
              </w:rPr>
              <w:t>职务</w:t>
            </w:r>
          </w:p>
        </w:tc>
        <w:tc>
          <w:tcPr>
            <w:tcW w:w="1895" w:type="dxa"/>
            <w:vAlign w:val="center"/>
          </w:tcPr>
          <w:p w14:paraId="3FABF91D">
            <w:pPr>
              <w:tabs>
                <w:tab w:val="left" w:pos="210"/>
              </w:tabs>
              <w:spacing w:line="360" w:lineRule="auto"/>
              <w:jc w:val="left"/>
              <w:rPr>
                <w:rFonts w:ascii="仿宋" w:hAnsi="仿宋" w:eastAsia="仿宋" w:cs="仿宋"/>
                <w:kern w:val="0"/>
                <w:sz w:val="24"/>
              </w:rPr>
            </w:pPr>
          </w:p>
        </w:tc>
        <w:tc>
          <w:tcPr>
            <w:tcW w:w="2186" w:type="dxa"/>
            <w:vAlign w:val="center"/>
          </w:tcPr>
          <w:p w14:paraId="48CA416F">
            <w:pPr>
              <w:tabs>
                <w:tab w:val="left" w:pos="210"/>
              </w:tabs>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联系电话</w:t>
            </w:r>
          </w:p>
        </w:tc>
        <w:tc>
          <w:tcPr>
            <w:tcW w:w="2190" w:type="dxa"/>
            <w:vAlign w:val="center"/>
          </w:tcPr>
          <w:p w14:paraId="2627B9C3">
            <w:pPr>
              <w:tabs>
                <w:tab w:val="left" w:pos="210"/>
              </w:tabs>
              <w:spacing w:line="360" w:lineRule="auto"/>
              <w:ind w:firstLine="480" w:firstLineChars="200"/>
              <w:jc w:val="left"/>
              <w:rPr>
                <w:rFonts w:ascii="仿宋" w:hAnsi="仿宋" w:eastAsia="仿宋" w:cs="仿宋"/>
                <w:kern w:val="0"/>
                <w:sz w:val="24"/>
              </w:rPr>
            </w:pPr>
          </w:p>
        </w:tc>
      </w:tr>
      <w:tr w14:paraId="0E6E0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1239" w:type="dxa"/>
            <w:vMerge w:val="restart"/>
            <w:vAlign w:val="center"/>
          </w:tcPr>
          <w:p w14:paraId="574209D6">
            <w:pPr>
              <w:tabs>
                <w:tab w:val="left" w:pos="210"/>
              </w:tabs>
              <w:spacing w:line="360" w:lineRule="auto"/>
              <w:jc w:val="center"/>
              <w:rPr>
                <w:rFonts w:ascii="仿宋" w:hAnsi="仿宋" w:eastAsia="仿宋" w:cs="仿宋"/>
                <w:kern w:val="0"/>
                <w:sz w:val="24"/>
              </w:rPr>
            </w:pPr>
            <w:r>
              <w:rPr>
                <w:rFonts w:hint="eastAsia" w:ascii="仿宋" w:hAnsi="仿宋" w:eastAsia="仿宋" w:cs="仿宋"/>
                <w:kern w:val="0"/>
                <w:sz w:val="24"/>
              </w:rPr>
              <w:t>法定代表</w:t>
            </w:r>
          </w:p>
          <w:p w14:paraId="64E6F981">
            <w:pPr>
              <w:tabs>
                <w:tab w:val="left" w:pos="210"/>
              </w:tabs>
              <w:spacing w:line="360" w:lineRule="auto"/>
              <w:jc w:val="center"/>
              <w:rPr>
                <w:rFonts w:ascii="仿宋" w:hAnsi="仿宋" w:eastAsia="仿宋" w:cs="仿宋"/>
                <w:kern w:val="0"/>
                <w:sz w:val="24"/>
              </w:rPr>
            </w:pPr>
            <w:r>
              <w:rPr>
                <w:rFonts w:hint="eastAsia" w:ascii="仿宋" w:hAnsi="仿宋" w:eastAsia="仿宋" w:cs="仿宋"/>
                <w:kern w:val="0"/>
                <w:sz w:val="24"/>
              </w:rPr>
              <w:t>人身份证复印件</w:t>
            </w:r>
          </w:p>
        </w:tc>
        <w:tc>
          <w:tcPr>
            <w:tcW w:w="3925" w:type="dxa"/>
            <w:gridSpan w:val="2"/>
            <w:vMerge w:val="restart"/>
            <w:vAlign w:val="center"/>
          </w:tcPr>
          <w:p w14:paraId="6F228024">
            <w:pPr>
              <w:tabs>
                <w:tab w:val="left" w:pos="210"/>
              </w:tabs>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（正反面）</w:t>
            </w:r>
          </w:p>
        </w:tc>
        <w:tc>
          <w:tcPr>
            <w:tcW w:w="4376" w:type="dxa"/>
            <w:gridSpan w:val="2"/>
            <w:vAlign w:val="center"/>
          </w:tcPr>
          <w:p w14:paraId="5647EDD4">
            <w:pPr>
              <w:tabs>
                <w:tab w:val="left" w:pos="210"/>
              </w:tabs>
              <w:spacing w:line="360" w:lineRule="auto"/>
              <w:jc w:val="left"/>
              <w:rPr>
                <w:rFonts w:ascii="仿宋" w:hAnsi="仿宋" w:eastAsia="仿宋" w:cs="仿宋"/>
                <w:kern w:val="0"/>
                <w:sz w:val="24"/>
              </w:rPr>
            </w:pPr>
            <w:r>
              <w:rPr>
                <w:rFonts w:hint="eastAsia" w:ascii="仿宋" w:hAnsi="仿宋" w:eastAsia="仿宋" w:cs="仿宋"/>
                <w:kern w:val="0"/>
                <w:sz w:val="24"/>
              </w:rPr>
              <w:t>法定代表人（签字或盖章）</w:t>
            </w:r>
          </w:p>
        </w:tc>
      </w:tr>
      <w:tr w14:paraId="2B06B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9" w:hRule="atLeast"/>
          <w:jc w:val="center"/>
        </w:trPr>
        <w:tc>
          <w:tcPr>
            <w:tcW w:w="1239" w:type="dxa"/>
            <w:vMerge w:val="continue"/>
            <w:vAlign w:val="center"/>
          </w:tcPr>
          <w:p w14:paraId="395B6C76">
            <w:pPr>
              <w:tabs>
                <w:tab w:val="left" w:pos="210"/>
              </w:tabs>
              <w:spacing w:line="360" w:lineRule="auto"/>
              <w:ind w:firstLine="480" w:firstLineChars="200"/>
              <w:jc w:val="left"/>
              <w:rPr>
                <w:rFonts w:ascii="仿宋" w:hAnsi="仿宋" w:eastAsia="仿宋" w:cs="仿宋"/>
                <w:kern w:val="0"/>
                <w:sz w:val="24"/>
              </w:rPr>
            </w:pPr>
          </w:p>
        </w:tc>
        <w:tc>
          <w:tcPr>
            <w:tcW w:w="3925" w:type="dxa"/>
            <w:gridSpan w:val="2"/>
            <w:vMerge w:val="continue"/>
            <w:vAlign w:val="center"/>
          </w:tcPr>
          <w:p w14:paraId="4350597C">
            <w:pPr>
              <w:tabs>
                <w:tab w:val="left" w:pos="210"/>
              </w:tabs>
              <w:spacing w:line="360" w:lineRule="auto"/>
              <w:ind w:firstLine="480" w:firstLineChars="200"/>
              <w:jc w:val="left"/>
              <w:rPr>
                <w:rFonts w:ascii="仿宋" w:hAnsi="仿宋" w:eastAsia="仿宋" w:cs="仿宋"/>
                <w:kern w:val="0"/>
                <w:sz w:val="24"/>
              </w:rPr>
            </w:pPr>
          </w:p>
        </w:tc>
        <w:tc>
          <w:tcPr>
            <w:tcW w:w="4376" w:type="dxa"/>
            <w:gridSpan w:val="2"/>
            <w:vAlign w:val="bottom"/>
          </w:tcPr>
          <w:p w14:paraId="1C8F8EFA">
            <w:pPr>
              <w:tabs>
                <w:tab w:val="left" w:pos="210"/>
              </w:tabs>
              <w:spacing w:line="360" w:lineRule="auto"/>
              <w:ind w:firstLine="2160" w:firstLineChars="900"/>
              <w:jc w:val="left"/>
              <w:rPr>
                <w:rFonts w:ascii="仿宋" w:hAnsi="仿宋" w:eastAsia="仿宋" w:cs="仿宋"/>
                <w:kern w:val="0"/>
                <w:sz w:val="24"/>
              </w:rPr>
            </w:pPr>
            <w:r>
              <w:rPr>
                <w:rFonts w:hint="eastAsia" w:ascii="仿宋" w:hAnsi="仿宋" w:eastAsia="仿宋" w:cs="仿宋"/>
                <w:kern w:val="0"/>
                <w:sz w:val="24"/>
              </w:rPr>
              <w:t>（公章）</w:t>
            </w:r>
          </w:p>
          <w:p w14:paraId="66E43293">
            <w:pPr>
              <w:tabs>
                <w:tab w:val="left" w:pos="210"/>
              </w:tabs>
              <w:spacing w:line="360" w:lineRule="auto"/>
              <w:jc w:val="left"/>
              <w:rPr>
                <w:rFonts w:ascii="仿宋" w:hAnsi="仿宋" w:eastAsia="仿宋" w:cs="仿宋"/>
                <w:kern w:val="0"/>
                <w:sz w:val="24"/>
              </w:rPr>
            </w:pPr>
          </w:p>
          <w:p w14:paraId="717953D7">
            <w:pPr>
              <w:tabs>
                <w:tab w:val="left" w:pos="210"/>
              </w:tabs>
              <w:spacing w:line="360" w:lineRule="auto"/>
              <w:jc w:val="left"/>
              <w:rPr>
                <w:rFonts w:ascii="仿宋" w:hAnsi="仿宋" w:eastAsia="仿宋" w:cs="仿宋"/>
                <w:kern w:val="0"/>
                <w:sz w:val="24"/>
              </w:rPr>
            </w:pPr>
          </w:p>
          <w:p w14:paraId="6DCF0911">
            <w:pPr>
              <w:tabs>
                <w:tab w:val="left" w:pos="210"/>
              </w:tabs>
              <w:spacing w:line="360" w:lineRule="auto"/>
              <w:jc w:val="left"/>
              <w:rPr>
                <w:rFonts w:ascii="仿宋" w:hAnsi="仿宋" w:eastAsia="仿宋" w:cs="仿宋"/>
                <w:kern w:val="0"/>
                <w:sz w:val="24"/>
              </w:rPr>
            </w:pPr>
          </w:p>
          <w:p w14:paraId="01558353">
            <w:pPr>
              <w:adjustRightInd w:val="0"/>
              <w:snapToGrid w:val="0"/>
              <w:spacing w:line="480" w:lineRule="auto"/>
              <w:ind w:firstLine="480" w:firstLineChars="200"/>
              <w:jc w:val="right"/>
              <w:rPr>
                <w:rFonts w:ascii="仿宋" w:hAnsi="仿宋" w:eastAsia="仿宋" w:cs="仿宋"/>
                <w:kern w:val="0"/>
                <w:sz w:val="24"/>
              </w:rPr>
            </w:pPr>
            <w:r>
              <w:rPr>
                <w:rFonts w:hint="eastAsia" w:ascii="仿宋" w:hAnsi="仿宋" w:eastAsia="仿宋" w:cs="仿宋"/>
                <w:sz w:val="24"/>
              </w:rPr>
              <w:t>年    月   日</w:t>
            </w:r>
          </w:p>
        </w:tc>
      </w:tr>
    </w:tbl>
    <w:p w14:paraId="53C331AB">
      <w:pPr>
        <w:overflowPunct w:val="0"/>
        <w:spacing w:line="360" w:lineRule="auto"/>
        <w:ind w:left="109" w:leftChars="51" w:hanging="2"/>
        <w:jc w:val="center"/>
        <w:rPr>
          <w:rFonts w:ascii="仿宋" w:hAnsi="仿宋" w:eastAsia="仿宋" w:cs="仿宋"/>
          <w:sz w:val="24"/>
        </w:rPr>
      </w:pPr>
    </w:p>
    <w:p w14:paraId="37C5E523">
      <w:pPr>
        <w:pStyle w:val="24"/>
        <w:ind w:firstLine="420"/>
      </w:pPr>
    </w:p>
    <w:p w14:paraId="311715AD">
      <w:pPr>
        <w:tabs>
          <w:tab w:val="left" w:pos="210"/>
        </w:tabs>
        <w:spacing w:line="360" w:lineRule="auto"/>
        <w:rPr>
          <w:rFonts w:ascii="仿宋" w:hAnsi="仿宋" w:eastAsia="仿宋" w:cs="仿宋"/>
          <w:b/>
          <w:kern w:val="0"/>
          <w:sz w:val="28"/>
          <w:szCs w:val="28"/>
        </w:rPr>
      </w:pPr>
      <w:r>
        <w:rPr>
          <w:rFonts w:hint="eastAsia" w:ascii="仿宋" w:hAnsi="仿宋" w:eastAsia="仿宋" w:cs="仿宋"/>
          <w:b/>
          <w:kern w:val="0"/>
          <w:sz w:val="28"/>
          <w:szCs w:val="28"/>
        </w:rPr>
        <w:t>附件2：</w:t>
      </w:r>
    </w:p>
    <w:p w14:paraId="05D0C104">
      <w:pPr>
        <w:tabs>
          <w:tab w:val="left" w:pos="210"/>
        </w:tabs>
        <w:spacing w:line="360" w:lineRule="auto"/>
        <w:jc w:val="center"/>
        <w:rPr>
          <w:rFonts w:ascii="仿宋" w:hAnsi="仿宋" w:eastAsia="仿宋" w:cs="仿宋"/>
          <w:b/>
          <w:kern w:val="0"/>
          <w:sz w:val="28"/>
          <w:szCs w:val="28"/>
        </w:rPr>
      </w:pPr>
      <w:r>
        <w:rPr>
          <w:rFonts w:hint="eastAsia" w:ascii="仿宋" w:hAnsi="仿宋" w:eastAsia="仿宋" w:cs="仿宋"/>
          <w:b/>
          <w:kern w:val="0"/>
          <w:sz w:val="28"/>
          <w:szCs w:val="28"/>
        </w:rPr>
        <w:t>法定代表人授权委托书</w:t>
      </w:r>
    </w:p>
    <w:p w14:paraId="3605EC0F">
      <w:pPr>
        <w:overflowPunct w:val="0"/>
        <w:spacing w:line="480" w:lineRule="auto"/>
        <w:ind w:left="109" w:leftChars="52" w:firstLine="600" w:firstLineChars="250"/>
        <w:rPr>
          <w:rFonts w:ascii="仿宋" w:hAnsi="仿宋" w:eastAsia="仿宋" w:cs="仿宋"/>
          <w:sz w:val="24"/>
        </w:rPr>
      </w:pPr>
      <w:r>
        <w:rPr>
          <w:rFonts w:hint="eastAsia" w:ascii="仿宋" w:hAnsi="仿宋" w:eastAsia="仿宋" w:cs="仿宋"/>
          <w:sz w:val="24"/>
        </w:rPr>
        <w:t>本授权委托书声明：我</w:t>
      </w:r>
      <w:r>
        <w:rPr>
          <w:rFonts w:hint="eastAsia" w:ascii="仿宋" w:hAnsi="仿宋" w:eastAsia="仿宋" w:cs="仿宋"/>
          <w:sz w:val="24"/>
          <w:u w:val="single"/>
        </w:rPr>
        <w:t>（法定代表人姓名）</w:t>
      </w:r>
      <w:r>
        <w:rPr>
          <w:rFonts w:hint="eastAsia" w:ascii="仿宋" w:hAnsi="仿宋" w:eastAsia="仿宋" w:cs="仿宋"/>
          <w:sz w:val="24"/>
        </w:rPr>
        <w:t>系注册于</w:t>
      </w:r>
      <w:r>
        <w:rPr>
          <w:rFonts w:hint="eastAsia" w:ascii="仿宋" w:hAnsi="仿宋" w:eastAsia="仿宋" w:cs="仿宋"/>
          <w:sz w:val="24"/>
          <w:u w:val="single"/>
        </w:rPr>
        <w:t xml:space="preserve">  （供应商地址）     </w:t>
      </w:r>
      <w:r>
        <w:rPr>
          <w:rFonts w:hint="eastAsia" w:ascii="仿宋" w:hAnsi="仿宋" w:eastAsia="仿宋" w:cs="仿宋"/>
          <w:sz w:val="24"/>
        </w:rPr>
        <w:t>的</w:t>
      </w:r>
      <w:r>
        <w:rPr>
          <w:rFonts w:hint="eastAsia" w:ascii="仿宋" w:hAnsi="仿宋" w:eastAsia="仿宋" w:cs="仿宋"/>
          <w:sz w:val="24"/>
          <w:u w:val="single"/>
        </w:rPr>
        <w:t xml:space="preserve">        （供应商名称）</w:t>
      </w:r>
      <w:r>
        <w:rPr>
          <w:rFonts w:hint="eastAsia" w:ascii="仿宋" w:hAnsi="仿宋" w:eastAsia="仿宋" w:cs="仿宋"/>
          <w:sz w:val="24"/>
        </w:rPr>
        <w:t>的法定代表人，现授权</w:t>
      </w:r>
      <w:r>
        <w:rPr>
          <w:rFonts w:hint="eastAsia" w:ascii="仿宋" w:hAnsi="仿宋" w:eastAsia="仿宋" w:cs="仿宋"/>
          <w:sz w:val="24"/>
          <w:u w:val="single"/>
        </w:rPr>
        <w:t>（被授权人姓名、职务）</w:t>
      </w:r>
      <w:r>
        <w:rPr>
          <w:rFonts w:hint="eastAsia" w:ascii="仿宋" w:hAnsi="仿宋" w:eastAsia="仿宋" w:cs="仿宋"/>
          <w:sz w:val="24"/>
        </w:rPr>
        <w:t>为我公司合法代理人，就签署</w:t>
      </w:r>
      <w:r>
        <w:rPr>
          <w:rFonts w:hint="eastAsia" w:ascii="仿宋" w:hAnsi="仿宋" w:eastAsia="仿宋" w:cs="仿宋"/>
          <w:sz w:val="24"/>
          <w:u w:val="single"/>
        </w:rPr>
        <w:t xml:space="preserve">  （项目名称</w:t>
      </w:r>
      <w:r>
        <w:rPr>
          <w:rFonts w:hint="eastAsia" w:ascii="仿宋" w:hAnsi="仿宋" w:eastAsia="仿宋" w:cs="仿宋"/>
          <w:sz w:val="24"/>
          <w:u w:val="single"/>
        </w:rPr>
        <w:tab/>
      </w:r>
      <w:r>
        <w:rPr>
          <w:rFonts w:hint="eastAsia" w:ascii="仿宋" w:hAnsi="仿宋" w:eastAsia="仿宋" w:cs="仿宋"/>
          <w:sz w:val="24"/>
          <w:u w:val="single"/>
        </w:rPr>
        <w:t xml:space="preserve">）（项目编号）（合同包号） </w:t>
      </w:r>
      <w:r>
        <w:rPr>
          <w:rFonts w:hint="eastAsia" w:ascii="仿宋" w:hAnsi="仿宋" w:eastAsia="仿宋" w:cs="仿宋"/>
          <w:sz w:val="24"/>
        </w:rPr>
        <w:t>的协商及合同的执行和完成，以本公司名义处理一切与之有关的事宜。</w:t>
      </w:r>
    </w:p>
    <w:p w14:paraId="6F1189AD">
      <w:pPr>
        <w:overflowPunct w:val="0"/>
        <w:spacing w:line="360" w:lineRule="auto"/>
        <w:ind w:left="109" w:leftChars="51" w:hanging="2"/>
        <w:rPr>
          <w:rFonts w:ascii="仿宋" w:hAnsi="仿宋" w:eastAsia="仿宋" w:cs="仿宋"/>
          <w:sz w:val="24"/>
        </w:rPr>
      </w:pPr>
      <w:r>
        <w:rPr>
          <w:rFonts w:hint="eastAsia" w:ascii="仿宋" w:hAnsi="仿宋" w:eastAsia="仿宋" w:cs="仿宋"/>
          <w:sz w:val="24"/>
        </w:rPr>
        <w:t xml:space="preserve">      代理人无转委托权，特此委托。</w:t>
      </w:r>
    </w:p>
    <w:p w14:paraId="1EC3DE05">
      <w:pPr>
        <w:overflowPunct w:val="0"/>
        <w:spacing w:line="480" w:lineRule="auto"/>
        <w:ind w:firstLine="840" w:firstLineChars="350"/>
        <w:rPr>
          <w:rFonts w:ascii="仿宋" w:hAnsi="仿宋" w:eastAsia="仿宋" w:cs="仿宋"/>
          <w:sz w:val="24"/>
        </w:rPr>
      </w:pPr>
      <w:r>
        <w:rPr>
          <w:rFonts w:hint="eastAsia" w:ascii="仿宋" w:hAnsi="仿宋" w:eastAsia="仿宋" w:cs="仿宋"/>
          <w:sz w:val="24"/>
        </w:rPr>
        <w:t>法定代表人（签字或盖章）：             被授权人签字：</w:t>
      </w:r>
    </w:p>
    <w:p w14:paraId="683E98AB">
      <w:pPr>
        <w:overflowPunct w:val="0"/>
        <w:spacing w:line="480" w:lineRule="auto"/>
        <w:ind w:firstLine="840" w:firstLineChars="350"/>
        <w:rPr>
          <w:rFonts w:ascii="仿宋" w:hAnsi="仿宋" w:eastAsia="仿宋" w:cs="仿宋"/>
          <w:sz w:val="24"/>
        </w:rPr>
      </w:pPr>
      <w:r>
        <w:rPr>
          <w:rFonts w:hint="eastAsia" w:ascii="仿宋" w:hAnsi="仿宋" w:eastAsia="仿宋" w:cs="仿宋"/>
          <w:sz w:val="24"/>
        </w:rPr>
        <w:t>职        务：                         职        务：</w:t>
      </w:r>
    </w:p>
    <w:p w14:paraId="40D76855">
      <w:pPr>
        <w:overflowPunct w:val="0"/>
        <w:spacing w:line="480" w:lineRule="auto"/>
        <w:ind w:firstLine="840" w:firstLineChars="350"/>
        <w:rPr>
          <w:rFonts w:ascii="仿宋" w:hAnsi="仿宋" w:eastAsia="仿宋" w:cs="仿宋"/>
          <w:sz w:val="24"/>
        </w:rPr>
      </w:pPr>
      <w:r>
        <w:rPr>
          <w:rFonts w:hint="eastAsia" w:ascii="仿宋" w:hAnsi="仿宋" w:eastAsia="仿宋" w:cs="仿宋"/>
          <w:sz w:val="24"/>
        </w:rPr>
        <w:t>身  份 证 号：                         身  份 证 号：</w:t>
      </w:r>
    </w:p>
    <w:p w14:paraId="67CF1858">
      <w:pPr>
        <w:overflowPunct w:val="0"/>
        <w:spacing w:line="480" w:lineRule="auto"/>
        <w:ind w:firstLine="240" w:firstLineChars="100"/>
        <w:rPr>
          <w:rFonts w:ascii="仿宋" w:hAnsi="仿宋" w:eastAsia="仿宋" w:cs="仿宋"/>
          <w:bCs/>
          <w:sz w:val="24"/>
        </w:rPr>
      </w:pPr>
      <w:r>
        <w:rPr>
          <w:rFonts w:hint="eastAsia" w:ascii="仿宋" w:hAnsi="仿宋" w:eastAsia="仿宋" w:cs="仿宋"/>
          <w:sz w:val="24"/>
        </w:rPr>
        <w:t>附：法定代表人、被授权人身份证复印件。</w:t>
      </w:r>
    </w:p>
    <w:tbl>
      <w:tblPr>
        <w:tblStyle w:val="25"/>
        <w:tblW w:w="9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0"/>
        <w:gridCol w:w="4790"/>
      </w:tblGrid>
      <w:tr w14:paraId="7D1E0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4" w:hRule="atLeast"/>
        </w:trPr>
        <w:tc>
          <w:tcPr>
            <w:tcW w:w="4790" w:type="dxa"/>
            <w:tcBorders>
              <w:top w:val="single" w:color="auto" w:sz="4" w:space="0"/>
              <w:left w:val="single" w:color="auto" w:sz="4" w:space="0"/>
              <w:right w:val="single" w:color="auto" w:sz="4" w:space="0"/>
            </w:tcBorders>
            <w:vAlign w:val="center"/>
          </w:tcPr>
          <w:p w14:paraId="6C569846">
            <w:pPr>
              <w:overflowPunct w:val="0"/>
              <w:spacing w:line="360" w:lineRule="auto"/>
              <w:jc w:val="center"/>
              <w:rPr>
                <w:rFonts w:ascii="仿宋" w:hAnsi="仿宋" w:eastAsia="仿宋" w:cs="仿宋"/>
                <w:sz w:val="24"/>
              </w:rPr>
            </w:pPr>
            <w:r>
              <w:rPr>
                <w:rFonts w:hint="eastAsia" w:ascii="仿宋" w:hAnsi="仿宋" w:eastAsia="仿宋" w:cs="仿宋"/>
                <w:sz w:val="24"/>
              </w:rPr>
              <w:t>法定代表人身份证复印件</w:t>
            </w:r>
          </w:p>
          <w:p w14:paraId="2C76AF0E">
            <w:pPr>
              <w:overflowPunct w:val="0"/>
              <w:spacing w:line="360" w:lineRule="auto"/>
              <w:jc w:val="center"/>
              <w:rPr>
                <w:rFonts w:ascii="仿宋" w:hAnsi="仿宋" w:eastAsia="仿宋" w:cs="仿宋"/>
                <w:sz w:val="24"/>
              </w:rPr>
            </w:pPr>
            <w:r>
              <w:rPr>
                <w:rFonts w:hint="eastAsia" w:ascii="仿宋" w:hAnsi="仿宋" w:eastAsia="仿宋" w:cs="仿宋"/>
                <w:sz w:val="24"/>
              </w:rPr>
              <w:t>（正、反面）</w:t>
            </w:r>
          </w:p>
        </w:tc>
        <w:tc>
          <w:tcPr>
            <w:tcW w:w="4790" w:type="dxa"/>
            <w:tcBorders>
              <w:left w:val="single" w:color="auto" w:sz="4" w:space="0"/>
            </w:tcBorders>
            <w:vAlign w:val="center"/>
          </w:tcPr>
          <w:p w14:paraId="1550702A">
            <w:pPr>
              <w:overflowPunct w:val="0"/>
              <w:spacing w:line="360" w:lineRule="auto"/>
              <w:jc w:val="center"/>
              <w:rPr>
                <w:rFonts w:ascii="仿宋" w:hAnsi="仿宋" w:eastAsia="仿宋" w:cs="仿宋"/>
                <w:sz w:val="24"/>
              </w:rPr>
            </w:pPr>
            <w:r>
              <w:rPr>
                <w:rFonts w:hint="eastAsia" w:ascii="仿宋" w:hAnsi="仿宋" w:eastAsia="仿宋" w:cs="仿宋"/>
                <w:sz w:val="24"/>
              </w:rPr>
              <w:t>被授权人身份证复印件</w:t>
            </w:r>
          </w:p>
          <w:p w14:paraId="1E40078E">
            <w:pPr>
              <w:overflowPunct w:val="0"/>
              <w:spacing w:line="360" w:lineRule="auto"/>
              <w:jc w:val="center"/>
              <w:rPr>
                <w:rFonts w:ascii="仿宋" w:hAnsi="仿宋" w:eastAsia="仿宋" w:cs="仿宋"/>
                <w:sz w:val="24"/>
              </w:rPr>
            </w:pPr>
            <w:r>
              <w:rPr>
                <w:rFonts w:hint="eastAsia" w:ascii="仿宋" w:hAnsi="仿宋" w:eastAsia="仿宋" w:cs="仿宋"/>
                <w:sz w:val="24"/>
              </w:rPr>
              <w:t>（正、反面）</w:t>
            </w:r>
          </w:p>
        </w:tc>
      </w:tr>
    </w:tbl>
    <w:p w14:paraId="6111B83C">
      <w:pPr>
        <w:overflowPunct w:val="0"/>
        <w:spacing w:line="360" w:lineRule="auto"/>
        <w:rPr>
          <w:rFonts w:ascii="仿宋" w:hAnsi="仿宋" w:eastAsia="仿宋" w:cs="仿宋"/>
          <w:sz w:val="24"/>
        </w:rPr>
      </w:pPr>
      <w:r>
        <w:rPr>
          <w:rFonts w:hint="eastAsia" w:ascii="仿宋" w:hAnsi="仿宋" w:eastAsia="仿宋" w:cs="仿宋"/>
          <w:sz w:val="24"/>
        </w:rPr>
        <w:t>（本授权的有效期为协商之日起90个日历日）</w:t>
      </w:r>
    </w:p>
    <w:p w14:paraId="603B4879">
      <w:pPr>
        <w:overflowPunct w:val="0"/>
        <w:spacing w:line="360" w:lineRule="auto"/>
        <w:rPr>
          <w:rFonts w:ascii="仿宋" w:hAnsi="仿宋" w:eastAsia="仿宋" w:cs="仿宋"/>
          <w:sz w:val="24"/>
        </w:rPr>
      </w:pPr>
    </w:p>
    <w:p w14:paraId="714AB684">
      <w:pPr>
        <w:overflowPunct w:val="0"/>
        <w:spacing w:line="360" w:lineRule="auto"/>
        <w:rPr>
          <w:rFonts w:ascii="仿宋" w:hAnsi="仿宋" w:eastAsia="仿宋" w:cs="仿宋"/>
          <w:sz w:val="24"/>
          <w:u w:val="single"/>
        </w:rPr>
      </w:pPr>
      <w:r>
        <w:rPr>
          <w:rFonts w:hint="eastAsia" w:ascii="仿宋" w:hAnsi="仿宋" w:eastAsia="仿宋" w:cs="仿宋"/>
          <w:sz w:val="24"/>
        </w:rPr>
        <w:t>供应商名称（盖章）：</w:t>
      </w:r>
      <w:r>
        <w:rPr>
          <w:rFonts w:hint="eastAsia" w:ascii="仿宋" w:hAnsi="仿宋" w:eastAsia="仿宋" w:cs="仿宋"/>
          <w:sz w:val="24"/>
          <w:u w:val="single"/>
        </w:rPr>
        <w:t xml:space="preserve">               </w:t>
      </w:r>
    </w:p>
    <w:p w14:paraId="6BDE3021">
      <w:pPr>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15F4E775">
      <w:pPr>
        <w:rPr>
          <w:rFonts w:ascii="仿宋" w:hAnsi="仿宋" w:eastAsia="仿宋" w:cs="仿宋"/>
          <w:sz w:val="24"/>
        </w:rPr>
      </w:pPr>
    </w:p>
    <w:p w14:paraId="3C176FE1">
      <w:pPr>
        <w:rPr>
          <w:rFonts w:ascii="仿宋" w:hAnsi="仿宋" w:eastAsia="仿宋" w:cs="仿宋"/>
          <w:b/>
          <w:sz w:val="24"/>
        </w:rPr>
      </w:pPr>
      <w:r>
        <w:rPr>
          <w:rFonts w:hint="eastAsia" w:ascii="仿宋" w:hAnsi="仿宋" w:eastAsia="仿宋" w:cs="仿宋"/>
          <w:b/>
          <w:sz w:val="24"/>
        </w:rPr>
        <w:br w:type="page"/>
      </w:r>
    </w:p>
    <w:p w14:paraId="2FE1C721">
      <w:pPr>
        <w:pStyle w:val="22"/>
        <w:spacing w:beforeAutospacing="0" w:afterAutospacing="0" w:line="360" w:lineRule="auto"/>
        <w:rPr>
          <w:rFonts w:ascii="仿宋" w:hAnsi="仿宋" w:eastAsia="仿宋" w:cs="仿宋"/>
          <w:b/>
          <w:sz w:val="28"/>
          <w:szCs w:val="28"/>
        </w:rPr>
      </w:pPr>
      <w:r>
        <w:rPr>
          <w:rFonts w:hint="eastAsia" w:ascii="仿宋" w:hAnsi="仿宋" w:eastAsia="仿宋" w:cs="仿宋"/>
          <w:b/>
          <w:sz w:val="28"/>
          <w:szCs w:val="28"/>
        </w:rPr>
        <w:t>附件3：</w:t>
      </w:r>
    </w:p>
    <w:p w14:paraId="1FF086E7">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参加政府采购活动前3年内在经营活动中没有重大违法记录的书面声明</w:t>
      </w:r>
    </w:p>
    <w:p w14:paraId="21CC817B">
      <w:pPr>
        <w:spacing w:line="500" w:lineRule="exact"/>
        <w:ind w:firstLine="480" w:firstLineChars="200"/>
        <w:rPr>
          <w:rFonts w:ascii="仿宋" w:hAnsi="仿宋" w:eastAsia="仿宋" w:cs="仿宋"/>
          <w:sz w:val="24"/>
          <w:shd w:val="clear" w:color="auto" w:fill="FFFFFF"/>
        </w:rPr>
      </w:pPr>
      <w:r>
        <w:rPr>
          <w:rFonts w:hint="eastAsia" w:ascii="仿宋" w:hAnsi="仿宋" w:eastAsia="仿宋" w:cs="仿宋"/>
          <w:sz w:val="24"/>
          <w:shd w:val="clear" w:color="auto" w:fill="FFFFFF"/>
        </w:rPr>
        <w:t>本单位郑重声明：</w:t>
      </w:r>
    </w:p>
    <w:p w14:paraId="3C67BC16">
      <w:pPr>
        <w:spacing w:line="500" w:lineRule="exact"/>
        <w:ind w:firstLine="480" w:firstLineChars="200"/>
        <w:rPr>
          <w:rFonts w:ascii="仿宋" w:hAnsi="仿宋" w:eastAsia="仿宋" w:cs="仿宋"/>
          <w:sz w:val="24"/>
          <w:shd w:val="clear" w:color="auto" w:fill="FFFFFF"/>
        </w:rPr>
      </w:pPr>
      <w:r>
        <w:rPr>
          <w:rFonts w:hint="eastAsia" w:ascii="仿宋" w:hAnsi="仿宋" w:eastAsia="仿宋" w:cs="仿宋"/>
          <w:sz w:val="24"/>
          <w:shd w:val="clear" w:color="auto" w:fill="FFFFFF"/>
        </w:rPr>
        <w:t>1、我单位在参加采购活动前三年内在经营活动中没有《中华人民共和国政府采购法》第二十二条第一款第(五)项所称重大违法记录。</w:t>
      </w:r>
    </w:p>
    <w:p w14:paraId="53D7C612">
      <w:pPr>
        <w:spacing w:line="500" w:lineRule="exact"/>
        <w:ind w:firstLine="480" w:firstLineChars="200"/>
        <w:rPr>
          <w:rFonts w:ascii="仿宋" w:hAnsi="仿宋" w:eastAsia="仿宋" w:cs="仿宋"/>
          <w:sz w:val="24"/>
          <w:shd w:val="clear" w:color="auto" w:fill="FFFFFF"/>
        </w:rPr>
      </w:pPr>
      <w:r>
        <w:rPr>
          <w:rFonts w:hint="eastAsia" w:ascii="仿宋" w:hAnsi="仿宋" w:eastAsia="仿宋" w:cs="仿宋"/>
          <w:sz w:val="24"/>
          <w:shd w:val="clear" w:color="auto" w:fill="FFFFFF"/>
        </w:rPr>
        <w:t>2、我单位或者其法定代表人、董事、监事、高级管理人员未因经营活动中的违法行为受到刑事处罚或者责令停产停业、吊销许可证或者执照、较大数额罚款等行政处罚。</w:t>
      </w:r>
    </w:p>
    <w:p w14:paraId="489AEE75">
      <w:pPr>
        <w:spacing w:line="500" w:lineRule="exact"/>
        <w:ind w:firstLine="480" w:firstLineChars="200"/>
        <w:rPr>
          <w:rFonts w:ascii="仿宋" w:hAnsi="仿宋" w:eastAsia="仿宋" w:cs="仿宋"/>
          <w:sz w:val="24"/>
          <w:shd w:val="clear" w:color="auto" w:fill="FFFFFF"/>
        </w:rPr>
      </w:pPr>
      <w:r>
        <w:rPr>
          <w:rFonts w:hint="eastAsia" w:ascii="仿宋" w:hAnsi="仿宋" w:eastAsia="仿宋" w:cs="仿宋"/>
          <w:sz w:val="24"/>
          <w:shd w:val="clear" w:color="auto" w:fill="FFFFFF"/>
        </w:rPr>
        <w:t>4、我方</w:t>
      </w:r>
      <w:r>
        <w:rPr>
          <w:rFonts w:hint="eastAsia" w:ascii="仿宋" w:hAnsi="仿宋" w:eastAsia="仿宋" w:cs="仿宋"/>
          <w:sz w:val="24"/>
          <w:u w:val="single"/>
          <w:shd w:val="clear" w:color="auto" w:fill="FFFFFF"/>
        </w:rPr>
        <w:t>______</w:t>
      </w:r>
      <w:r>
        <w:rPr>
          <w:rFonts w:hint="eastAsia" w:ascii="仿宋" w:hAnsi="仿宋" w:eastAsia="仿宋" w:cs="仿宋"/>
          <w:sz w:val="24"/>
          <w:shd w:val="clear" w:color="auto" w:fill="FFFFFF"/>
        </w:rPr>
        <w:t>（填“未被列入”或“被列入”）失信被执行人名单。</w:t>
      </w:r>
    </w:p>
    <w:p w14:paraId="38BC2F8D">
      <w:pPr>
        <w:spacing w:line="500" w:lineRule="exact"/>
        <w:ind w:firstLine="480" w:firstLineChars="200"/>
        <w:rPr>
          <w:rFonts w:ascii="仿宋" w:hAnsi="仿宋" w:eastAsia="仿宋" w:cs="仿宋"/>
          <w:sz w:val="24"/>
          <w:shd w:val="clear" w:color="auto" w:fill="FFFFFF"/>
        </w:rPr>
      </w:pPr>
      <w:r>
        <w:rPr>
          <w:rFonts w:hint="eastAsia" w:ascii="仿宋" w:hAnsi="仿宋" w:eastAsia="仿宋" w:cs="仿宋"/>
          <w:sz w:val="24"/>
          <w:shd w:val="clear" w:color="auto" w:fill="FFFFFF"/>
        </w:rPr>
        <w:t>5、我方</w:t>
      </w:r>
      <w:r>
        <w:rPr>
          <w:rFonts w:hint="eastAsia" w:ascii="仿宋" w:hAnsi="仿宋" w:eastAsia="仿宋" w:cs="仿宋"/>
          <w:sz w:val="24"/>
          <w:u w:val="single"/>
          <w:shd w:val="clear" w:color="auto" w:fill="FFFFFF"/>
        </w:rPr>
        <w:t>______</w:t>
      </w:r>
      <w:r>
        <w:rPr>
          <w:rFonts w:hint="eastAsia" w:ascii="仿宋" w:hAnsi="仿宋" w:eastAsia="仿宋" w:cs="仿宋"/>
          <w:sz w:val="24"/>
          <w:shd w:val="clear" w:color="auto" w:fill="FFFFFF"/>
        </w:rPr>
        <w:t>（填“未被列入”或“被列入”）重大税收违法失信主体。</w:t>
      </w:r>
    </w:p>
    <w:p w14:paraId="36452073">
      <w:pPr>
        <w:spacing w:line="500" w:lineRule="exact"/>
        <w:ind w:firstLine="480" w:firstLineChars="200"/>
        <w:rPr>
          <w:rFonts w:ascii="仿宋" w:hAnsi="仿宋" w:eastAsia="仿宋" w:cs="仿宋"/>
          <w:sz w:val="24"/>
          <w:shd w:val="clear" w:color="auto" w:fill="FFFFFF"/>
        </w:rPr>
      </w:pPr>
      <w:r>
        <w:rPr>
          <w:rFonts w:hint="eastAsia" w:ascii="仿宋" w:hAnsi="仿宋" w:eastAsia="仿宋" w:cs="仿宋"/>
          <w:sz w:val="24"/>
          <w:shd w:val="clear" w:color="auto" w:fill="FFFFFF"/>
        </w:rPr>
        <w:t>6、我方</w:t>
      </w:r>
      <w:r>
        <w:rPr>
          <w:rFonts w:hint="eastAsia" w:ascii="仿宋" w:hAnsi="仿宋" w:eastAsia="仿宋" w:cs="仿宋"/>
          <w:sz w:val="24"/>
          <w:u w:val="single"/>
          <w:shd w:val="clear" w:color="auto" w:fill="FFFFFF"/>
        </w:rPr>
        <w:t>______</w:t>
      </w:r>
      <w:r>
        <w:rPr>
          <w:rFonts w:hint="eastAsia" w:ascii="仿宋" w:hAnsi="仿宋" w:eastAsia="仿宋" w:cs="仿宋"/>
          <w:sz w:val="24"/>
          <w:shd w:val="clear" w:color="auto" w:fill="FFFFFF"/>
        </w:rPr>
        <w:t>（填“未被列入”或“被列入”）政府采购严重违法失信行为记录名单。</w:t>
      </w:r>
    </w:p>
    <w:p w14:paraId="4AE9E2AA">
      <w:pPr>
        <w:spacing w:line="500" w:lineRule="exact"/>
        <w:ind w:firstLine="480" w:firstLineChars="200"/>
        <w:rPr>
          <w:rFonts w:ascii="仿宋" w:hAnsi="仿宋" w:eastAsia="仿宋" w:cs="仿宋"/>
          <w:sz w:val="24"/>
          <w:shd w:val="clear" w:color="auto" w:fill="FFFFFF"/>
        </w:rPr>
      </w:pPr>
      <w:r>
        <w:rPr>
          <w:rFonts w:hint="eastAsia" w:ascii="仿宋" w:hAnsi="仿宋" w:eastAsia="仿宋" w:cs="仿宋"/>
          <w:sz w:val="24"/>
          <w:shd w:val="clear" w:color="auto" w:fill="FFFFFF"/>
        </w:rPr>
        <w:t>我单位已就上述不良信用行为按照采购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p>
    <w:p w14:paraId="607D4EEA">
      <w:pPr>
        <w:spacing w:line="500" w:lineRule="exact"/>
        <w:ind w:firstLine="480" w:firstLineChars="200"/>
        <w:rPr>
          <w:rFonts w:ascii="仿宋" w:hAnsi="仿宋" w:eastAsia="仿宋" w:cs="仿宋"/>
          <w:sz w:val="24"/>
          <w:shd w:val="clear" w:color="auto" w:fill="FFFFFF"/>
        </w:rPr>
      </w:pPr>
      <w:r>
        <w:rPr>
          <w:rFonts w:hint="eastAsia" w:ascii="仿宋" w:hAnsi="仿宋" w:eastAsia="仿宋" w:cs="仿宋"/>
          <w:sz w:val="24"/>
          <w:shd w:val="clear" w:color="auto" w:fill="FFFFFF"/>
        </w:rPr>
        <w:t>特此声明！</w:t>
      </w:r>
    </w:p>
    <w:p w14:paraId="7F3F0F10">
      <w:pPr>
        <w:spacing w:line="500" w:lineRule="exact"/>
        <w:ind w:firstLine="480" w:firstLineChars="200"/>
        <w:rPr>
          <w:rFonts w:ascii="仿宋" w:hAnsi="仿宋" w:eastAsia="仿宋" w:cs="仿宋"/>
          <w:sz w:val="24"/>
        </w:rPr>
      </w:pPr>
      <w:r>
        <w:rPr>
          <w:rFonts w:hint="eastAsia" w:ascii="仿宋" w:hAnsi="仿宋" w:eastAsia="仿宋" w:cs="仿宋"/>
          <w:sz w:val="24"/>
          <w:shd w:val="clear" w:color="auto" w:fill="FFFFFF"/>
        </w:rPr>
        <w:t>备注：供应商在参加政府采购活动前3年内因违法经营被禁止在一定期限内参加政府采购活动，期限届满的，可以参加政府采购活动，但应提供期限届满的证明材料。</w:t>
      </w:r>
    </w:p>
    <w:p w14:paraId="5DD23AC4">
      <w:pPr>
        <w:overflowPunct w:val="0"/>
        <w:spacing w:line="560" w:lineRule="exact"/>
        <w:ind w:firstLine="170"/>
        <w:rPr>
          <w:rFonts w:ascii="仿宋" w:hAnsi="仿宋" w:eastAsia="仿宋" w:cs="仿宋"/>
          <w:shd w:val="clear" w:color="auto" w:fill="FFFFFF"/>
        </w:rPr>
      </w:pPr>
    </w:p>
    <w:p w14:paraId="38BA7197">
      <w:pPr>
        <w:pStyle w:val="10"/>
        <w:ind w:firstLine="480"/>
        <w:rPr>
          <w:rFonts w:ascii="仿宋" w:hAnsi="仿宋" w:eastAsia="仿宋" w:cs="仿宋"/>
          <w:lang w:eastAsia="zh-CN"/>
        </w:rPr>
      </w:pPr>
    </w:p>
    <w:p w14:paraId="04C420F5">
      <w:pPr>
        <w:spacing w:line="500" w:lineRule="exact"/>
        <w:ind w:firstLine="2310" w:firstLineChars="1100"/>
        <w:rPr>
          <w:rFonts w:ascii="仿宋" w:hAnsi="仿宋" w:eastAsia="仿宋" w:cs="仿宋"/>
        </w:rPr>
      </w:pPr>
    </w:p>
    <w:p w14:paraId="73566679">
      <w:pPr>
        <w:spacing w:line="480" w:lineRule="auto"/>
        <w:rPr>
          <w:rFonts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14:paraId="4413F46E">
      <w:pPr>
        <w:spacing w:line="360" w:lineRule="auto"/>
        <w:rPr>
          <w:rFonts w:ascii="仿宋" w:hAnsi="仿宋" w:eastAsia="仿宋" w:cs="仿宋"/>
          <w:sz w:val="24"/>
        </w:rPr>
      </w:pPr>
      <w:r>
        <w:rPr>
          <w:rFonts w:hint="eastAsia" w:ascii="仿宋" w:hAnsi="仿宋" w:eastAsia="仿宋" w:cs="仿宋"/>
          <w:sz w:val="24"/>
        </w:rPr>
        <w:t>法定代表人或被授权人：</w:t>
      </w:r>
      <w:r>
        <w:rPr>
          <w:rFonts w:hint="eastAsia" w:ascii="仿宋" w:hAnsi="仿宋" w:eastAsia="仿宋" w:cs="仿宋"/>
          <w:sz w:val="24"/>
          <w:u w:val="single"/>
        </w:rPr>
        <w:t xml:space="preserve">                </w:t>
      </w:r>
      <w:r>
        <w:rPr>
          <w:rFonts w:hint="eastAsia" w:ascii="仿宋" w:hAnsi="仿宋" w:eastAsia="仿宋" w:cs="仿宋"/>
          <w:sz w:val="24"/>
        </w:rPr>
        <w:t>(签字或盖章)</w:t>
      </w:r>
    </w:p>
    <w:p w14:paraId="79449AF4">
      <w:pPr>
        <w:pStyle w:val="13"/>
        <w:spacing w:line="360" w:lineRule="auto"/>
        <w:rPr>
          <w:rFonts w:ascii="仿宋" w:hAnsi="仿宋" w:eastAsia="仿宋" w:cs="仿宋"/>
          <w:b/>
          <w:sz w:val="32"/>
          <w:szCs w:val="32"/>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6F96D440">
      <w:pPr>
        <w:rPr>
          <w:rFonts w:ascii="仿宋" w:hAnsi="仿宋" w:eastAsia="仿宋" w:cs="仿宋"/>
          <w:b/>
          <w:bCs/>
          <w:sz w:val="28"/>
          <w:szCs w:val="28"/>
        </w:rPr>
      </w:pPr>
      <w:r>
        <w:rPr>
          <w:rFonts w:hint="eastAsia" w:ascii="仿宋" w:hAnsi="仿宋" w:eastAsia="仿宋" w:cs="仿宋"/>
          <w:b/>
          <w:bCs/>
          <w:sz w:val="28"/>
          <w:szCs w:val="28"/>
        </w:rPr>
        <w:br w:type="page"/>
      </w:r>
    </w:p>
    <w:p w14:paraId="7A0647AA">
      <w:pPr>
        <w:spacing w:line="360" w:lineRule="auto"/>
        <w:rPr>
          <w:rFonts w:ascii="仿宋" w:hAnsi="仿宋" w:eastAsia="仿宋" w:cs="仿宋"/>
          <w:b/>
          <w:kern w:val="0"/>
          <w:sz w:val="28"/>
          <w:szCs w:val="28"/>
        </w:rPr>
      </w:pPr>
      <w:r>
        <w:rPr>
          <w:rFonts w:hint="eastAsia" w:ascii="仿宋" w:hAnsi="仿宋" w:eastAsia="仿宋" w:cs="仿宋"/>
          <w:b/>
          <w:kern w:val="0"/>
          <w:sz w:val="28"/>
          <w:szCs w:val="28"/>
        </w:rPr>
        <w:t>附件4：</w:t>
      </w:r>
    </w:p>
    <w:p w14:paraId="3C99B4DB">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履行合同所必需的设备和专业技术能力的书面声明</w:t>
      </w:r>
    </w:p>
    <w:p w14:paraId="2281CC05">
      <w:pPr>
        <w:spacing w:line="360" w:lineRule="auto"/>
        <w:rPr>
          <w:rFonts w:ascii="仿宋_GB2312" w:hAnsi="仿宋_GB2312" w:eastAsia="仿宋_GB2312" w:cs="仿宋_GB2312"/>
          <w:spacing w:val="4"/>
          <w:sz w:val="24"/>
          <w:u w:val="single"/>
        </w:rPr>
      </w:pPr>
      <w:r>
        <w:rPr>
          <w:rFonts w:hint="eastAsia" w:ascii="仿宋_GB2312" w:hAnsi="仿宋_GB2312" w:eastAsia="仿宋_GB2312" w:cs="仿宋_GB2312"/>
          <w:spacing w:val="4"/>
          <w:sz w:val="24"/>
          <w:u w:val="single"/>
        </w:rPr>
        <w:t>（采购人名称）：</w:t>
      </w:r>
    </w:p>
    <w:p w14:paraId="4CA460B4">
      <w:pPr>
        <w:overflowPunct w:val="0"/>
        <w:spacing w:line="560" w:lineRule="exact"/>
        <w:ind w:firstLine="496" w:firstLineChars="200"/>
        <w:rPr>
          <w:rFonts w:ascii="仿宋" w:hAnsi="仿宋" w:eastAsia="仿宋" w:cs="仿宋"/>
          <w:b/>
          <w:bCs/>
        </w:rPr>
      </w:pPr>
      <w:r>
        <w:rPr>
          <w:rFonts w:hint="eastAsia" w:ascii="仿宋_GB2312" w:hAnsi="仿宋_GB2312" w:eastAsia="仿宋_GB2312" w:cs="仿宋_GB2312"/>
          <w:spacing w:val="4"/>
          <w:sz w:val="24"/>
          <w:u w:val="single"/>
        </w:rPr>
        <w:t xml:space="preserve">      （供应商名称）    </w:t>
      </w:r>
      <w:r>
        <w:rPr>
          <w:rFonts w:hint="eastAsia" w:ascii="仿宋_GB2312" w:hAnsi="仿宋_GB2312" w:eastAsia="仿宋_GB2312" w:cs="仿宋_GB2312"/>
          <w:spacing w:val="4"/>
          <w:sz w:val="24"/>
        </w:rPr>
        <w:t xml:space="preserve"> 于</w:t>
      </w:r>
      <w:r>
        <w:rPr>
          <w:rFonts w:hint="eastAsia" w:ascii="仿宋_GB2312" w:hAnsi="仿宋_GB2312" w:eastAsia="仿宋_GB2312" w:cs="仿宋_GB2312"/>
          <w:spacing w:val="4"/>
          <w:sz w:val="24"/>
          <w:u w:val="single"/>
        </w:rPr>
        <w:t xml:space="preserve">     </w:t>
      </w:r>
      <w:r>
        <w:rPr>
          <w:rFonts w:hint="eastAsia" w:ascii="仿宋_GB2312" w:hAnsi="仿宋_GB2312" w:eastAsia="仿宋_GB2312" w:cs="仿宋_GB2312"/>
          <w:spacing w:val="4"/>
          <w:sz w:val="24"/>
        </w:rPr>
        <w:t>年</w:t>
      </w:r>
      <w:r>
        <w:rPr>
          <w:rFonts w:hint="eastAsia" w:ascii="仿宋_GB2312" w:hAnsi="仿宋_GB2312" w:eastAsia="仿宋_GB2312" w:cs="仿宋_GB2312"/>
          <w:spacing w:val="4"/>
          <w:sz w:val="24"/>
          <w:u w:val="single"/>
        </w:rPr>
        <w:t xml:space="preserve">    </w:t>
      </w:r>
      <w:r>
        <w:rPr>
          <w:rFonts w:hint="eastAsia" w:ascii="仿宋_GB2312" w:hAnsi="仿宋_GB2312" w:eastAsia="仿宋_GB2312" w:cs="仿宋_GB2312"/>
          <w:spacing w:val="4"/>
          <w:sz w:val="24"/>
        </w:rPr>
        <w:t>月</w:t>
      </w:r>
      <w:r>
        <w:rPr>
          <w:rFonts w:hint="eastAsia" w:ascii="仿宋_GB2312" w:hAnsi="仿宋_GB2312" w:eastAsia="仿宋_GB2312" w:cs="仿宋_GB2312"/>
          <w:spacing w:val="4"/>
          <w:sz w:val="24"/>
          <w:u w:val="single"/>
        </w:rPr>
        <w:t xml:space="preserve">   </w:t>
      </w:r>
      <w:r>
        <w:rPr>
          <w:rFonts w:hint="eastAsia" w:ascii="仿宋_GB2312" w:hAnsi="仿宋_GB2312" w:eastAsia="仿宋_GB2312" w:cs="仿宋_GB2312"/>
          <w:spacing w:val="4"/>
          <w:sz w:val="24"/>
        </w:rPr>
        <w:t>日在中华人民共和国境内</w:t>
      </w:r>
      <w:r>
        <w:rPr>
          <w:rFonts w:hint="eastAsia" w:ascii="仿宋_GB2312" w:hAnsi="仿宋_GB2312" w:eastAsia="仿宋_GB2312" w:cs="仿宋_GB2312"/>
          <w:spacing w:val="4"/>
          <w:sz w:val="24"/>
          <w:u w:val="single"/>
        </w:rPr>
        <w:t xml:space="preserve">               （详细注册地址）  </w:t>
      </w:r>
      <w:r>
        <w:rPr>
          <w:rFonts w:hint="eastAsia" w:ascii="仿宋_GB2312" w:hAnsi="仿宋_GB2312" w:eastAsia="仿宋_GB2312" w:cs="仿宋_GB2312"/>
          <w:spacing w:val="4"/>
          <w:sz w:val="24"/>
        </w:rPr>
        <w:t>合法注册并经营，公司主营业务为</w:t>
      </w:r>
      <w:r>
        <w:rPr>
          <w:rFonts w:hint="eastAsia" w:ascii="仿宋_GB2312" w:hAnsi="仿宋_GB2312" w:eastAsia="仿宋_GB2312" w:cs="仿宋_GB2312"/>
          <w:spacing w:val="4"/>
          <w:sz w:val="24"/>
          <w:u w:val="single"/>
        </w:rPr>
        <w:t xml:space="preserve">                  </w:t>
      </w:r>
      <w:r>
        <w:rPr>
          <w:rFonts w:hint="eastAsia" w:ascii="仿宋_GB2312" w:hAnsi="仿宋_GB2312" w:eastAsia="仿宋_GB2312" w:cs="仿宋_GB2312"/>
          <w:spacing w:val="4"/>
          <w:sz w:val="24"/>
        </w:rPr>
        <w:t>，营业（生产经营）面积为</w:t>
      </w:r>
      <w:r>
        <w:rPr>
          <w:rFonts w:hint="eastAsia" w:ascii="仿宋_GB2312" w:hAnsi="仿宋_GB2312" w:eastAsia="仿宋_GB2312" w:cs="仿宋_GB2312"/>
          <w:spacing w:val="4"/>
          <w:sz w:val="24"/>
          <w:u w:val="single"/>
        </w:rPr>
        <w:t xml:space="preserve">             </w:t>
      </w:r>
      <w:r>
        <w:rPr>
          <w:rFonts w:hint="eastAsia" w:ascii="仿宋_GB2312" w:hAnsi="仿宋_GB2312" w:eastAsia="仿宋_GB2312" w:cs="仿宋_GB2312"/>
          <w:spacing w:val="4"/>
          <w:sz w:val="24"/>
        </w:rPr>
        <w:t xml:space="preserve"> ，现有员工数量为</w:t>
      </w:r>
      <w:r>
        <w:rPr>
          <w:rFonts w:hint="eastAsia" w:ascii="仿宋_GB2312" w:hAnsi="仿宋_GB2312" w:eastAsia="仿宋_GB2312" w:cs="仿宋_GB2312"/>
          <w:spacing w:val="4"/>
          <w:sz w:val="24"/>
          <w:u w:val="single"/>
        </w:rPr>
        <w:t xml:space="preserve">         </w:t>
      </w:r>
      <w:r>
        <w:rPr>
          <w:rFonts w:hint="eastAsia" w:ascii="仿宋_GB2312" w:hAnsi="仿宋_GB2312" w:eastAsia="仿宋_GB2312" w:cs="仿宋_GB2312"/>
          <w:spacing w:val="4"/>
          <w:sz w:val="24"/>
        </w:rPr>
        <w:t>，本公司郑重承诺，具有履行本合同所必需的设备和专业技术能力。</w:t>
      </w:r>
      <w:r>
        <w:rPr>
          <w:rFonts w:hint="eastAsia" w:ascii="仿宋_GB2312" w:hAnsi="仿宋_GB2312" w:eastAsia="仿宋_GB2312" w:cs="仿宋_GB2312"/>
          <w:sz w:val="24"/>
        </w:rPr>
        <w:t>如有虚假，我方将无条件地退出本项目的采购活动，并遵照《中华人民共和国政府采购法》有关“提供虚假材料的规定”接受处罚</w:t>
      </w:r>
      <w:r>
        <w:rPr>
          <w:rFonts w:hint="eastAsia" w:ascii="仿宋" w:hAnsi="仿宋" w:eastAsia="仿宋" w:cs="仿宋"/>
          <w:spacing w:val="4"/>
        </w:rPr>
        <w:t>。</w:t>
      </w:r>
    </w:p>
    <w:p w14:paraId="4358893C">
      <w:pPr>
        <w:spacing w:line="500" w:lineRule="exact"/>
        <w:ind w:firstLine="2368" w:firstLineChars="1128"/>
        <w:rPr>
          <w:rFonts w:ascii="仿宋" w:hAnsi="仿宋" w:eastAsia="仿宋" w:cs="仿宋"/>
        </w:rPr>
      </w:pPr>
    </w:p>
    <w:p w14:paraId="114A1C67">
      <w:pPr>
        <w:spacing w:line="480" w:lineRule="auto"/>
        <w:rPr>
          <w:rFonts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14:paraId="0C41D387">
      <w:pPr>
        <w:spacing w:line="360" w:lineRule="auto"/>
        <w:rPr>
          <w:rFonts w:ascii="仿宋" w:hAnsi="仿宋" w:eastAsia="仿宋" w:cs="仿宋"/>
          <w:sz w:val="24"/>
        </w:rPr>
      </w:pPr>
      <w:r>
        <w:rPr>
          <w:rFonts w:hint="eastAsia" w:ascii="仿宋" w:hAnsi="仿宋" w:eastAsia="仿宋" w:cs="仿宋"/>
          <w:sz w:val="24"/>
        </w:rPr>
        <w:t>法定代表人或被授权人：</w:t>
      </w:r>
      <w:r>
        <w:rPr>
          <w:rFonts w:hint="eastAsia" w:ascii="仿宋" w:hAnsi="仿宋" w:eastAsia="仿宋" w:cs="仿宋"/>
          <w:sz w:val="24"/>
          <w:u w:val="single"/>
        </w:rPr>
        <w:t xml:space="preserve">                </w:t>
      </w:r>
      <w:r>
        <w:rPr>
          <w:rFonts w:hint="eastAsia" w:ascii="仿宋" w:hAnsi="仿宋" w:eastAsia="仿宋" w:cs="仿宋"/>
          <w:sz w:val="24"/>
        </w:rPr>
        <w:t>(签字或盖章)</w:t>
      </w:r>
    </w:p>
    <w:p w14:paraId="623CE920">
      <w:pPr>
        <w:pStyle w:val="13"/>
        <w:spacing w:line="360" w:lineRule="auto"/>
        <w:rPr>
          <w:rFonts w:ascii="仿宋" w:hAnsi="仿宋" w:eastAsia="仿宋" w:cs="仿宋"/>
          <w:b/>
          <w:sz w:val="32"/>
          <w:szCs w:val="32"/>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2DEEE956">
      <w:pPr>
        <w:tabs>
          <w:tab w:val="left" w:pos="-180"/>
        </w:tabs>
        <w:ind w:right="178" w:rightChars="85"/>
        <w:rPr>
          <w:rFonts w:ascii="仿宋" w:hAnsi="仿宋" w:eastAsia="仿宋" w:cs="仿宋"/>
        </w:rPr>
      </w:pPr>
    </w:p>
    <w:p w14:paraId="1CDC8733">
      <w:pPr>
        <w:rPr>
          <w:rFonts w:ascii="仿宋" w:hAnsi="仿宋" w:eastAsia="仿宋" w:cs="仿宋"/>
          <w:sz w:val="32"/>
          <w:szCs w:val="32"/>
        </w:rPr>
      </w:pPr>
      <w:r>
        <w:rPr>
          <w:rFonts w:hint="eastAsia" w:ascii="仿宋" w:hAnsi="仿宋" w:eastAsia="仿宋" w:cs="仿宋"/>
          <w:sz w:val="32"/>
          <w:szCs w:val="32"/>
        </w:rPr>
        <w:br w:type="page"/>
      </w:r>
    </w:p>
    <w:p w14:paraId="4FEA82F3">
      <w:pPr>
        <w:spacing w:line="360" w:lineRule="auto"/>
        <w:rPr>
          <w:rFonts w:ascii="仿宋" w:hAnsi="仿宋" w:eastAsia="仿宋" w:cs="仿宋"/>
          <w:sz w:val="28"/>
          <w:szCs w:val="28"/>
        </w:rPr>
      </w:pPr>
      <w:r>
        <w:rPr>
          <w:rFonts w:hint="eastAsia" w:ascii="仿宋" w:hAnsi="仿宋" w:eastAsia="仿宋" w:cs="仿宋"/>
          <w:b/>
          <w:bCs/>
          <w:sz w:val="28"/>
          <w:szCs w:val="28"/>
        </w:rPr>
        <w:t>附件5：</w:t>
      </w:r>
    </w:p>
    <w:p w14:paraId="1632FEE0">
      <w:pPr>
        <w:adjustRightInd w:val="0"/>
        <w:snapToGrid w:val="0"/>
        <w:spacing w:line="360" w:lineRule="auto"/>
        <w:jc w:val="center"/>
        <w:rPr>
          <w:b/>
          <w:bCs/>
          <w:sz w:val="28"/>
          <w:szCs w:val="28"/>
        </w:rPr>
      </w:pPr>
    </w:p>
    <w:p w14:paraId="572DF90F">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非联合体不分包响应声明</w:t>
      </w:r>
    </w:p>
    <w:p w14:paraId="3F268E02">
      <w:pPr>
        <w:spacing w:line="480" w:lineRule="auto"/>
        <w:ind w:right="-197" w:rightChars="-94"/>
        <w:jc w:val="left"/>
        <w:rPr>
          <w:rFonts w:ascii="仿宋_GB2312" w:eastAsia="仿宋_GB2312"/>
          <w:sz w:val="24"/>
          <w:u w:val="single"/>
        </w:rPr>
      </w:pPr>
      <w:r>
        <w:rPr>
          <w:rFonts w:hint="eastAsia" w:ascii="仿宋_GB2312" w:eastAsia="仿宋_GB2312"/>
          <w:sz w:val="24"/>
          <w:u w:val="single"/>
        </w:rPr>
        <w:t>（采购人名称）    ：</w:t>
      </w:r>
    </w:p>
    <w:p w14:paraId="7995CC6F">
      <w:pPr>
        <w:widowControl/>
        <w:spacing w:line="480" w:lineRule="auto"/>
        <w:ind w:firstLine="480" w:firstLineChars="200"/>
        <w:jc w:val="left"/>
        <w:rPr>
          <w:rFonts w:ascii="仿宋_GB2312" w:eastAsia="仿宋_GB2312"/>
          <w:sz w:val="24"/>
        </w:rPr>
      </w:pPr>
      <w:r>
        <w:rPr>
          <w:rFonts w:hint="eastAsia" w:ascii="仿宋_GB2312" w:eastAsia="仿宋_GB2312"/>
          <w:sz w:val="24"/>
        </w:rPr>
        <w:t>我单位作为</w:t>
      </w:r>
      <w:r>
        <w:rPr>
          <w:rFonts w:hint="eastAsia" w:ascii="仿宋_GB2312" w:eastAsia="仿宋_GB2312"/>
          <w:sz w:val="24"/>
          <w:u w:val="single"/>
        </w:rPr>
        <w:t xml:space="preserve">   （项目名称）    </w:t>
      </w:r>
      <w:r>
        <w:rPr>
          <w:rFonts w:hint="eastAsia" w:ascii="仿宋_GB2312" w:eastAsia="仿宋_GB2312"/>
          <w:sz w:val="24"/>
        </w:rPr>
        <w:t xml:space="preserve">的供应商，在此郑重声明本项目为非联合体协商，本项目实施过程由本单位独立承担。 </w:t>
      </w:r>
    </w:p>
    <w:p w14:paraId="790C009B">
      <w:pPr>
        <w:widowControl/>
        <w:spacing w:line="480" w:lineRule="auto"/>
        <w:ind w:firstLine="480" w:firstLineChars="200"/>
        <w:jc w:val="left"/>
        <w:rPr>
          <w:rFonts w:ascii="仿宋_GB2312" w:eastAsia="仿宋_GB2312"/>
          <w:sz w:val="24"/>
        </w:rPr>
      </w:pPr>
      <w:r>
        <w:rPr>
          <w:rFonts w:hint="eastAsia" w:ascii="仿宋_GB2312" w:eastAsia="仿宋_GB2312"/>
          <w:sz w:val="24"/>
        </w:rPr>
        <w:t>本单位对上述声明的真实性负责。如有虚假，将依法承担相应责任。</w:t>
      </w:r>
    </w:p>
    <w:p w14:paraId="56E82B0B">
      <w:pPr>
        <w:rPr>
          <w:rFonts w:ascii="仿宋_GB2312" w:eastAsia="仿宋_GB2312"/>
          <w:sz w:val="28"/>
          <w:szCs w:val="28"/>
        </w:rPr>
      </w:pPr>
    </w:p>
    <w:p w14:paraId="6098536F">
      <w:pPr>
        <w:spacing w:line="360" w:lineRule="auto"/>
        <w:jc w:val="left"/>
        <w:rPr>
          <w:rFonts w:ascii="仿宋" w:hAnsi="仿宋" w:eastAsia="仿宋" w:cs="仿宋"/>
          <w:sz w:val="24"/>
        </w:rPr>
      </w:pPr>
    </w:p>
    <w:p w14:paraId="63966FD9">
      <w:pPr>
        <w:spacing w:line="480" w:lineRule="auto"/>
        <w:rPr>
          <w:rFonts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14:paraId="6BD30BC8">
      <w:pPr>
        <w:spacing w:line="360" w:lineRule="auto"/>
        <w:rPr>
          <w:rFonts w:ascii="仿宋" w:hAnsi="仿宋" w:eastAsia="仿宋" w:cs="仿宋"/>
          <w:sz w:val="24"/>
        </w:rPr>
      </w:pPr>
      <w:r>
        <w:rPr>
          <w:rFonts w:hint="eastAsia" w:ascii="仿宋" w:hAnsi="仿宋" w:eastAsia="仿宋" w:cs="仿宋"/>
          <w:sz w:val="24"/>
        </w:rPr>
        <w:t>法定代表人或被授权人：</w:t>
      </w:r>
      <w:r>
        <w:rPr>
          <w:rFonts w:hint="eastAsia" w:ascii="仿宋" w:hAnsi="仿宋" w:eastAsia="仿宋" w:cs="仿宋"/>
          <w:sz w:val="24"/>
          <w:u w:val="single"/>
        </w:rPr>
        <w:t xml:space="preserve">                </w:t>
      </w:r>
      <w:r>
        <w:rPr>
          <w:rFonts w:hint="eastAsia" w:ascii="仿宋" w:hAnsi="仿宋" w:eastAsia="仿宋" w:cs="仿宋"/>
          <w:sz w:val="24"/>
        </w:rPr>
        <w:t>(签字或盖章)</w:t>
      </w:r>
    </w:p>
    <w:p w14:paraId="5BA4C7C6">
      <w:pPr>
        <w:pStyle w:val="13"/>
        <w:spacing w:line="360" w:lineRule="auto"/>
        <w:rPr>
          <w:rFonts w:ascii="仿宋" w:hAnsi="仿宋" w:eastAsia="仿宋" w:cs="仿宋"/>
          <w:b/>
          <w:sz w:val="32"/>
          <w:szCs w:val="32"/>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0E46C3DB">
      <w:pPr>
        <w:pStyle w:val="35"/>
        <w:spacing w:before="156" w:beforeLines="50"/>
        <w:ind w:firstLine="3920" w:firstLineChars="1400"/>
        <w:rPr>
          <w:rFonts w:ascii="仿宋" w:hAnsi="仿宋" w:eastAsia="仿宋" w:cs="仿宋"/>
          <w:sz w:val="28"/>
          <w:szCs w:val="28"/>
        </w:rPr>
      </w:pPr>
      <w:r>
        <w:rPr>
          <w:rFonts w:hint="eastAsia" w:ascii="仿宋" w:hAnsi="仿宋" w:eastAsia="仿宋" w:cs="仿宋"/>
          <w:sz w:val="28"/>
          <w:szCs w:val="28"/>
        </w:rPr>
        <w:br w:type="page"/>
      </w:r>
    </w:p>
    <w:p w14:paraId="5E819B48">
      <w:pPr>
        <w:overflowPunct w:val="0"/>
        <w:adjustRightInd w:val="0"/>
        <w:snapToGrid w:val="0"/>
        <w:spacing w:line="440" w:lineRule="exact"/>
        <w:jc w:val="left"/>
        <w:rPr>
          <w:rFonts w:ascii="仿宋" w:hAnsi="仿宋" w:eastAsia="仿宋" w:cs="仿宋"/>
          <w:b/>
          <w:sz w:val="30"/>
          <w:szCs w:val="30"/>
        </w:rPr>
      </w:pPr>
      <w:r>
        <w:rPr>
          <w:rFonts w:hint="eastAsia" w:ascii="仿宋" w:hAnsi="仿宋" w:eastAsia="仿宋" w:cs="仿宋"/>
          <w:b/>
          <w:sz w:val="28"/>
          <w:szCs w:val="28"/>
        </w:rPr>
        <w:t>附件6：</w:t>
      </w:r>
    </w:p>
    <w:p w14:paraId="195A33FA">
      <w:pPr>
        <w:spacing w:line="480" w:lineRule="auto"/>
        <w:jc w:val="center"/>
        <w:rPr>
          <w:rFonts w:ascii="仿宋" w:hAnsi="仿宋" w:eastAsia="仿宋" w:cs="仿宋"/>
          <w:b/>
          <w:sz w:val="28"/>
          <w:szCs w:val="28"/>
        </w:rPr>
      </w:pPr>
      <w:r>
        <w:rPr>
          <w:rFonts w:hint="eastAsia" w:ascii="仿宋" w:hAnsi="仿宋" w:eastAsia="仿宋" w:cs="仿宋"/>
          <w:b/>
          <w:sz w:val="28"/>
          <w:szCs w:val="28"/>
        </w:rPr>
        <w:t>拒绝商业贿赂承诺书</w:t>
      </w:r>
    </w:p>
    <w:p w14:paraId="2D8799A8">
      <w:pPr>
        <w:overflowPunct w:val="0"/>
        <w:spacing w:line="500" w:lineRule="exact"/>
        <w:ind w:firstLine="496" w:firstLineChars="200"/>
        <w:rPr>
          <w:rFonts w:ascii="仿宋" w:hAnsi="仿宋" w:eastAsia="仿宋" w:cs="仿宋"/>
          <w:b/>
          <w:bCs/>
          <w:sz w:val="24"/>
        </w:rPr>
      </w:pPr>
      <w:r>
        <w:rPr>
          <w:rFonts w:hint="eastAsia" w:ascii="仿宋" w:hAnsi="仿宋" w:eastAsia="仿宋" w:cs="仿宋"/>
          <w:spacing w:val="4"/>
          <w:sz w:val="24"/>
        </w:rPr>
        <w:t>为响应党中央、国务院关于治理政府采购领域商业贿赂行为的号召，我公司在此庄严承诺：</w:t>
      </w:r>
      <w:r>
        <w:rPr>
          <w:rFonts w:hint="eastAsia" w:ascii="仿宋" w:hAnsi="仿宋" w:eastAsia="仿宋" w:cs="仿宋"/>
          <w:spacing w:val="4"/>
          <w:sz w:val="24"/>
        </w:rPr>
        <w:br w:type="textWrapping"/>
      </w:r>
      <w:r>
        <w:rPr>
          <w:rFonts w:hint="eastAsia" w:ascii="仿宋" w:hAnsi="仿宋" w:eastAsia="仿宋" w:cs="仿宋"/>
          <w:spacing w:val="4"/>
          <w:sz w:val="24"/>
        </w:rPr>
        <w:t>1、在参与政府采购活动中遵纪守法、诚信经营、公平竞标。</w:t>
      </w:r>
      <w:r>
        <w:rPr>
          <w:rFonts w:hint="eastAsia" w:ascii="仿宋" w:hAnsi="仿宋" w:eastAsia="仿宋" w:cs="仿宋"/>
          <w:spacing w:val="4"/>
          <w:sz w:val="24"/>
        </w:rPr>
        <w:br w:type="textWrapping"/>
      </w:r>
      <w:r>
        <w:rPr>
          <w:rFonts w:hint="eastAsia" w:ascii="仿宋" w:hAnsi="仿宋" w:eastAsia="仿宋" w:cs="仿宋"/>
          <w:spacing w:val="4"/>
          <w:sz w:val="24"/>
        </w:rPr>
        <w:t>2、不向政府采购人、采购代理机构和政府采购评审专家进行任何形式的商业贿赂以谋取交易机会。</w:t>
      </w:r>
      <w:r>
        <w:rPr>
          <w:rFonts w:hint="eastAsia" w:ascii="仿宋" w:hAnsi="仿宋" w:eastAsia="仿宋" w:cs="仿宋"/>
          <w:spacing w:val="4"/>
          <w:sz w:val="24"/>
        </w:rPr>
        <w:br w:type="textWrapping"/>
      </w:r>
      <w:r>
        <w:rPr>
          <w:rFonts w:hint="eastAsia" w:ascii="仿宋" w:hAnsi="仿宋" w:eastAsia="仿宋" w:cs="仿宋"/>
          <w:spacing w:val="4"/>
          <w:sz w:val="24"/>
        </w:rPr>
        <w:t>3、不向政府采购代理机构和采购人提供虚假资质证明文件或采用虚假应标方式参与政府采购市场竞争并谋取中标、成交。</w:t>
      </w:r>
      <w:r>
        <w:rPr>
          <w:rFonts w:hint="eastAsia" w:ascii="仿宋" w:hAnsi="仿宋" w:eastAsia="仿宋" w:cs="仿宋"/>
          <w:spacing w:val="4"/>
          <w:sz w:val="24"/>
        </w:rPr>
        <w:br w:type="textWrapping"/>
      </w:r>
      <w:r>
        <w:rPr>
          <w:rFonts w:hint="eastAsia" w:ascii="仿宋" w:hAnsi="仿宋" w:eastAsia="仿宋" w:cs="仿宋"/>
          <w:spacing w:val="4"/>
          <w:sz w:val="24"/>
        </w:rPr>
        <w:t>4、不采取“围标、陪标”等商业欺诈手段获得政府采购订单。</w:t>
      </w:r>
      <w:r>
        <w:rPr>
          <w:rFonts w:hint="eastAsia" w:ascii="仿宋" w:hAnsi="仿宋" w:eastAsia="仿宋" w:cs="仿宋"/>
          <w:spacing w:val="4"/>
          <w:sz w:val="24"/>
        </w:rPr>
        <w:br w:type="textWrapping"/>
      </w:r>
      <w:r>
        <w:rPr>
          <w:rFonts w:hint="eastAsia" w:ascii="仿宋" w:hAnsi="仿宋" w:eastAsia="仿宋" w:cs="仿宋"/>
          <w:spacing w:val="4"/>
          <w:sz w:val="24"/>
        </w:rPr>
        <w:t>5、不采取不正当手段诋毁、排挤其他投标人。</w:t>
      </w:r>
      <w:r>
        <w:rPr>
          <w:rFonts w:hint="eastAsia" w:ascii="仿宋" w:hAnsi="仿宋" w:eastAsia="仿宋" w:cs="仿宋"/>
          <w:spacing w:val="4"/>
          <w:sz w:val="24"/>
        </w:rPr>
        <w:br w:type="textWrapping"/>
      </w:r>
      <w:r>
        <w:rPr>
          <w:rFonts w:hint="eastAsia" w:ascii="仿宋" w:hAnsi="仿宋" w:eastAsia="仿宋" w:cs="仿宋"/>
          <w:spacing w:val="4"/>
          <w:sz w:val="24"/>
        </w:rPr>
        <w:t>6、不在提供商品和服务时“偷梁换柱、以次充好”损害采购人的合法权益。</w:t>
      </w:r>
      <w:r>
        <w:rPr>
          <w:rFonts w:hint="eastAsia" w:ascii="仿宋" w:hAnsi="仿宋" w:eastAsia="仿宋" w:cs="仿宋"/>
          <w:spacing w:val="4"/>
          <w:sz w:val="24"/>
        </w:rPr>
        <w:br w:type="textWrapping"/>
      </w:r>
      <w:r>
        <w:rPr>
          <w:rFonts w:hint="eastAsia" w:ascii="仿宋" w:hAnsi="仿宋" w:eastAsia="仿宋" w:cs="仿宋"/>
          <w:spacing w:val="4"/>
          <w:sz w:val="24"/>
        </w:rPr>
        <w:t>7、不与采购人、采购代理机构、政府采购评审专家或其他投标人恶意串通，进行质疑和投诉，维护政府采购市场秩序。</w:t>
      </w:r>
      <w:r>
        <w:rPr>
          <w:rFonts w:hint="eastAsia" w:ascii="仿宋" w:hAnsi="仿宋" w:eastAsia="仿宋" w:cs="仿宋"/>
          <w:spacing w:val="4"/>
          <w:sz w:val="24"/>
        </w:rPr>
        <w:br w:type="textWrapping"/>
      </w:r>
      <w:r>
        <w:rPr>
          <w:rFonts w:hint="eastAsia" w:ascii="仿宋" w:hAnsi="仿宋" w:eastAsia="仿宋" w:cs="仿宋"/>
          <w:spacing w:val="4"/>
          <w:sz w:val="24"/>
        </w:rPr>
        <w:t>8、尊重和接受政府采购监督管理部门的监督和政府采购代理机构招标采购要求，承担因违约行为给采购人造成的损失。</w:t>
      </w:r>
      <w:r>
        <w:rPr>
          <w:rFonts w:hint="eastAsia" w:ascii="仿宋" w:hAnsi="仿宋" w:eastAsia="仿宋" w:cs="仿宋"/>
          <w:spacing w:val="4"/>
          <w:sz w:val="24"/>
        </w:rPr>
        <w:br w:type="textWrapping"/>
      </w:r>
      <w:r>
        <w:rPr>
          <w:rFonts w:hint="eastAsia" w:ascii="仿宋" w:hAnsi="仿宋" w:eastAsia="仿宋" w:cs="仿宋"/>
          <w:spacing w:val="4"/>
          <w:sz w:val="24"/>
        </w:rPr>
        <w:t>9、不发生其他有悖于政府采购公开、公平、公正和诚信原则的行为。</w:t>
      </w:r>
    </w:p>
    <w:p w14:paraId="208E085A">
      <w:pPr>
        <w:pStyle w:val="35"/>
        <w:spacing w:before="156" w:beforeLines="50"/>
        <w:ind w:firstLine="0" w:firstLineChars="0"/>
        <w:rPr>
          <w:rFonts w:ascii="仿宋" w:hAnsi="仿宋" w:eastAsia="仿宋" w:cs="仿宋"/>
          <w:sz w:val="28"/>
          <w:szCs w:val="28"/>
        </w:rPr>
      </w:pPr>
    </w:p>
    <w:p w14:paraId="4C09DBC3">
      <w:pPr>
        <w:spacing w:line="360" w:lineRule="auto"/>
        <w:jc w:val="left"/>
        <w:rPr>
          <w:rFonts w:ascii="仿宋" w:hAnsi="仿宋" w:eastAsia="仿宋" w:cs="仿宋"/>
          <w:sz w:val="24"/>
        </w:rPr>
      </w:pPr>
    </w:p>
    <w:p w14:paraId="60509187">
      <w:pPr>
        <w:spacing w:line="480" w:lineRule="auto"/>
        <w:rPr>
          <w:rFonts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14:paraId="66F849FB">
      <w:pPr>
        <w:spacing w:line="360" w:lineRule="auto"/>
        <w:rPr>
          <w:rFonts w:ascii="仿宋" w:hAnsi="仿宋" w:eastAsia="仿宋" w:cs="仿宋"/>
          <w:sz w:val="24"/>
        </w:rPr>
      </w:pPr>
      <w:r>
        <w:rPr>
          <w:rFonts w:hint="eastAsia" w:ascii="仿宋" w:hAnsi="仿宋" w:eastAsia="仿宋" w:cs="仿宋"/>
          <w:sz w:val="24"/>
        </w:rPr>
        <w:t>法定代表人或被授权人：</w:t>
      </w:r>
      <w:r>
        <w:rPr>
          <w:rFonts w:hint="eastAsia" w:ascii="仿宋" w:hAnsi="仿宋" w:eastAsia="仿宋" w:cs="仿宋"/>
          <w:sz w:val="24"/>
          <w:u w:val="single"/>
        </w:rPr>
        <w:t xml:space="preserve">                </w:t>
      </w:r>
      <w:r>
        <w:rPr>
          <w:rFonts w:hint="eastAsia" w:ascii="仿宋" w:hAnsi="仿宋" w:eastAsia="仿宋" w:cs="仿宋"/>
          <w:sz w:val="24"/>
        </w:rPr>
        <w:t>(签字或盖章)</w:t>
      </w:r>
    </w:p>
    <w:p w14:paraId="10D313F5">
      <w:pPr>
        <w:pStyle w:val="13"/>
        <w:spacing w:line="360" w:lineRule="auto"/>
        <w:rPr>
          <w:rFonts w:ascii="仿宋" w:hAnsi="仿宋" w:eastAsia="仿宋" w:cs="仿宋"/>
          <w:b/>
          <w:sz w:val="32"/>
          <w:szCs w:val="32"/>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50A3B643">
      <w:pPr>
        <w:rPr>
          <w:rFonts w:ascii="仿宋" w:hAnsi="仿宋" w:eastAsia="仿宋" w:cs="仿宋"/>
          <w:sz w:val="28"/>
          <w:szCs w:val="28"/>
        </w:rPr>
      </w:pPr>
      <w:r>
        <w:rPr>
          <w:rFonts w:hint="eastAsia" w:ascii="仿宋" w:hAnsi="仿宋" w:eastAsia="仿宋" w:cs="仿宋"/>
          <w:sz w:val="28"/>
          <w:szCs w:val="28"/>
        </w:rPr>
        <w:br w:type="page"/>
      </w:r>
    </w:p>
    <w:p w14:paraId="4DB9B379">
      <w:pPr>
        <w:pStyle w:val="35"/>
        <w:spacing w:before="156" w:beforeLines="50"/>
        <w:ind w:firstLine="0" w:firstLineChars="0"/>
        <w:rPr>
          <w:rFonts w:ascii="仿宋" w:hAnsi="仿宋" w:eastAsia="仿宋" w:cs="仿宋"/>
          <w:sz w:val="28"/>
          <w:szCs w:val="28"/>
        </w:rPr>
      </w:pPr>
      <w:r>
        <w:rPr>
          <w:rFonts w:hint="eastAsia" w:ascii="仿宋" w:hAnsi="仿宋" w:eastAsia="仿宋" w:cs="仿宋"/>
          <w:b/>
          <w:bCs/>
          <w:sz w:val="28"/>
          <w:szCs w:val="28"/>
        </w:rPr>
        <w:t>附件7：</w:t>
      </w:r>
    </w:p>
    <w:p w14:paraId="1DE9464C">
      <w:pPr>
        <w:spacing w:line="360" w:lineRule="auto"/>
        <w:jc w:val="center"/>
        <w:rPr>
          <w:rFonts w:ascii="仿宋" w:hAnsi="仿宋" w:eastAsia="仿宋" w:cs="仿宋"/>
          <w:b/>
          <w:bCs/>
          <w:sz w:val="28"/>
        </w:rPr>
      </w:pPr>
      <w:bookmarkStart w:id="83" w:name="_Toc61531865"/>
      <w:r>
        <w:rPr>
          <w:rFonts w:hint="eastAsia" w:ascii="仿宋" w:hAnsi="仿宋" w:eastAsia="仿宋" w:cs="仿宋"/>
          <w:b/>
          <w:bCs/>
          <w:sz w:val="28"/>
        </w:rPr>
        <w:t>中小企业声明函(服务</w:t>
      </w:r>
      <w:bookmarkEnd w:id="83"/>
      <w:r>
        <w:rPr>
          <w:rFonts w:hint="eastAsia" w:ascii="仿宋" w:hAnsi="仿宋" w:eastAsia="仿宋" w:cs="仿宋"/>
          <w:b/>
          <w:bCs/>
          <w:sz w:val="28"/>
        </w:rPr>
        <w:t>）</w:t>
      </w:r>
    </w:p>
    <w:p w14:paraId="74305D97">
      <w:pPr>
        <w:jc w:val="center"/>
        <w:rPr>
          <w:rFonts w:ascii="仿宋" w:hAnsi="仿宋" w:eastAsia="仿宋"/>
          <w:b/>
          <w:bCs/>
          <w:sz w:val="24"/>
          <w:szCs w:val="22"/>
        </w:rPr>
      </w:pPr>
      <w:r>
        <w:rPr>
          <w:rFonts w:hint="eastAsia" w:ascii="仿宋" w:hAnsi="仿宋" w:eastAsia="仿宋"/>
          <w:b/>
          <w:bCs/>
          <w:sz w:val="24"/>
          <w:szCs w:val="22"/>
        </w:rPr>
        <w:t>（注：符合中小企业划型标准的企业请提供本函，不符合的不提供本函）</w:t>
      </w:r>
    </w:p>
    <w:p w14:paraId="28A3BF03">
      <w:pPr>
        <w:spacing w:line="360" w:lineRule="auto"/>
        <w:ind w:firstLine="480" w:firstLineChars="200"/>
        <w:rPr>
          <w:rFonts w:ascii="仿宋" w:hAnsi="仿宋" w:eastAsia="仿宋" w:cs="宋体"/>
          <w:kern w:val="0"/>
          <w:sz w:val="24"/>
        </w:rPr>
      </w:pPr>
      <w:r>
        <w:rPr>
          <w:rFonts w:hint="eastAsia" w:ascii="仿宋" w:hAnsi="仿宋" w:eastAsia="仿宋" w:cs="宋体"/>
          <w:kern w:val="0"/>
          <w:sz w:val="24"/>
        </w:rPr>
        <w:t>本公司(联合体)郑重声明，根据《政府采购促进中小企业发展管理办法》(财库(2020)46号)的规定，本公司(联合体)参加</w:t>
      </w:r>
      <w:r>
        <w:rPr>
          <w:rFonts w:hint="eastAsia" w:ascii="仿宋" w:hAnsi="仿宋" w:eastAsia="仿宋" w:cs="宋体"/>
          <w:kern w:val="0"/>
          <w:sz w:val="24"/>
          <w:u w:val="single"/>
        </w:rPr>
        <w:t xml:space="preserve">  (单位名称) </w:t>
      </w:r>
      <w:r>
        <w:rPr>
          <w:rFonts w:hint="eastAsia" w:ascii="仿宋" w:hAnsi="仿宋" w:eastAsia="仿宋" w:cs="宋体"/>
          <w:kern w:val="0"/>
          <w:sz w:val="24"/>
        </w:rPr>
        <w:t xml:space="preserve"> 的</w:t>
      </w:r>
      <w:r>
        <w:rPr>
          <w:rFonts w:hint="eastAsia" w:ascii="仿宋" w:hAnsi="仿宋" w:eastAsia="仿宋" w:cs="宋体"/>
          <w:kern w:val="0"/>
          <w:sz w:val="24"/>
          <w:u w:val="single"/>
        </w:rPr>
        <w:t xml:space="preserve"> (项目名称) 采购</w:t>
      </w:r>
      <w:r>
        <w:rPr>
          <w:rFonts w:hint="eastAsia" w:ascii="仿宋" w:hAnsi="仿宋" w:eastAsia="仿宋" w:cs="宋体"/>
          <w:kern w:val="0"/>
          <w:sz w:val="24"/>
        </w:rPr>
        <w:t>活动，服务全部由符合政策要求的中小企业承接。相关企业(含联合体中的中小企业、签订分包意向协议的中小企业)的具体情况如下：</w:t>
      </w:r>
    </w:p>
    <w:p w14:paraId="23766CCA">
      <w:pPr>
        <w:spacing w:line="360" w:lineRule="auto"/>
        <w:ind w:firstLine="480" w:firstLineChars="200"/>
        <w:rPr>
          <w:rFonts w:ascii="仿宋" w:hAnsi="仿宋" w:eastAsia="仿宋" w:cs="宋体"/>
          <w:kern w:val="0"/>
          <w:sz w:val="24"/>
        </w:rPr>
      </w:pPr>
      <w:r>
        <w:rPr>
          <w:rFonts w:ascii="仿宋" w:hAnsi="仿宋" w:eastAsia="仿宋" w:cs="宋体"/>
          <w:kern w:val="0"/>
          <w:sz w:val="24"/>
        </w:rPr>
        <w:t>1.</w:t>
      </w:r>
      <w:r>
        <w:rPr>
          <w:rFonts w:hint="eastAsia" w:ascii="仿宋" w:hAnsi="仿宋" w:eastAsia="仿宋" w:cs="宋体"/>
          <w:kern w:val="0"/>
          <w:sz w:val="24"/>
          <w:u w:val="single"/>
        </w:rPr>
        <w:t xml:space="preserve"> (标的名称) </w:t>
      </w:r>
      <w:r>
        <w:rPr>
          <w:rFonts w:hint="eastAsia" w:ascii="仿宋" w:hAnsi="仿宋" w:eastAsia="仿宋" w:cs="宋体"/>
          <w:kern w:val="0"/>
          <w:sz w:val="24"/>
        </w:rPr>
        <w:t>，属于</w:t>
      </w:r>
      <w:r>
        <w:rPr>
          <w:rFonts w:hint="eastAsia" w:ascii="仿宋" w:hAnsi="仿宋" w:eastAsia="仿宋" w:cs="宋体"/>
          <w:kern w:val="0"/>
          <w:sz w:val="24"/>
          <w:u w:val="single"/>
        </w:rPr>
        <w:t xml:space="preserve"> (采购文件中明确的所属行业) </w:t>
      </w:r>
      <w:r>
        <w:rPr>
          <w:rFonts w:hint="eastAsia" w:ascii="仿宋" w:hAnsi="仿宋" w:eastAsia="仿宋" w:cs="宋体"/>
          <w:kern w:val="0"/>
          <w:sz w:val="24"/>
        </w:rPr>
        <w:t>；承建(承接)企业为</w:t>
      </w:r>
      <w:r>
        <w:rPr>
          <w:rFonts w:hint="eastAsia" w:ascii="仿宋" w:hAnsi="仿宋" w:eastAsia="仿宋" w:cs="宋体"/>
          <w:kern w:val="0"/>
          <w:sz w:val="24"/>
          <w:u w:val="single"/>
        </w:rPr>
        <w:t xml:space="preserve"> (企业名称) </w:t>
      </w:r>
      <w:r>
        <w:rPr>
          <w:rFonts w:hint="eastAsia" w:ascii="仿宋" w:hAnsi="仿宋" w:eastAsia="仿宋" w:cs="宋体"/>
          <w:kern w:val="0"/>
          <w:sz w:val="24"/>
        </w:rPr>
        <w:t>，从业人员</w:t>
      </w:r>
      <w:r>
        <w:rPr>
          <w:rFonts w:hint="eastAsia" w:ascii="仿宋" w:hAnsi="仿宋" w:eastAsia="仿宋" w:cs="宋体"/>
          <w:kern w:val="0"/>
          <w:sz w:val="24"/>
          <w:u w:val="single"/>
        </w:rPr>
        <w:t xml:space="preserve">   </w:t>
      </w:r>
      <w:r>
        <w:rPr>
          <w:rFonts w:hint="eastAsia" w:ascii="仿宋" w:hAnsi="仿宋" w:eastAsia="仿宋" w:cs="宋体"/>
          <w:kern w:val="0"/>
          <w:sz w:val="24"/>
        </w:rPr>
        <w:t>人，营业收入为</w:t>
      </w:r>
      <w:r>
        <w:rPr>
          <w:rFonts w:hint="eastAsia" w:ascii="仿宋" w:hAnsi="仿宋" w:eastAsia="仿宋" w:cs="宋体"/>
          <w:kern w:val="0"/>
          <w:sz w:val="24"/>
          <w:u w:val="single"/>
        </w:rPr>
        <w:t xml:space="preserve">   </w:t>
      </w:r>
      <w:r>
        <w:rPr>
          <w:rFonts w:hint="eastAsia" w:ascii="仿宋" w:hAnsi="仿宋" w:eastAsia="仿宋" w:cs="宋体"/>
          <w:kern w:val="0"/>
          <w:sz w:val="24"/>
        </w:rPr>
        <w:t>万元，资产总额为</w:t>
      </w:r>
      <w:r>
        <w:rPr>
          <w:rFonts w:hint="eastAsia" w:ascii="仿宋" w:hAnsi="仿宋" w:eastAsia="仿宋" w:cs="宋体"/>
          <w:kern w:val="0"/>
          <w:sz w:val="24"/>
          <w:u w:val="single"/>
        </w:rPr>
        <w:t xml:space="preserve">    </w:t>
      </w:r>
      <w:r>
        <w:rPr>
          <w:rFonts w:hint="eastAsia" w:ascii="仿宋" w:hAnsi="仿宋" w:eastAsia="仿宋" w:cs="宋体"/>
          <w:kern w:val="0"/>
          <w:sz w:val="24"/>
        </w:rPr>
        <w:t>万元，属于</w:t>
      </w:r>
      <w:r>
        <w:rPr>
          <w:rFonts w:hint="eastAsia" w:ascii="仿宋" w:hAnsi="仿宋" w:eastAsia="仿宋" w:cs="宋体"/>
          <w:kern w:val="0"/>
          <w:sz w:val="24"/>
          <w:u w:val="single"/>
        </w:rPr>
        <w:t xml:space="preserve"> (中型企业、小型企业、微型企业) </w:t>
      </w:r>
      <w:r>
        <w:rPr>
          <w:rFonts w:hint="eastAsia" w:ascii="仿宋" w:hAnsi="仿宋" w:eastAsia="仿宋" w:cs="宋体"/>
          <w:kern w:val="0"/>
          <w:sz w:val="24"/>
        </w:rPr>
        <w:t>；</w:t>
      </w:r>
    </w:p>
    <w:p w14:paraId="09F9EE11">
      <w:pPr>
        <w:spacing w:line="360" w:lineRule="auto"/>
        <w:ind w:firstLine="480" w:firstLineChars="200"/>
        <w:rPr>
          <w:rFonts w:ascii="仿宋" w:hAnsi="仿宋" w:eastAsia="仿宋" w:cs="宋体"/>
          <w:kern w:val="0"/>
          <w:sz w:val="24"/>
        </w:rPr>
      </w:pPr>
      <w:r>
        <w:rPr>
          <w:rFonts w:hint="eastAsia" w:ascii="仿宋" w:hAnsi="仿宋" w:eastAsia="仿宋" w:cs="宋体"/>
          <w:kern w:val="0"/>
          <w:sz w:val="24"/>
        </w:rPr>
        <w:t xml:space="preserve">2. </w:t>
      </w:r>
      <w:r>
        <w:rPr>
          <w:rFonts w:hint="eastAsia" w:ascii="仿宋" w:hAnsi="仿宋" w:eastAsia="仿宋" w:cs="宋体"/>
          <w:kern w:val="0"/>
          <w:sz w:val="24"/>
          <w:u w:val="single"/>
        </w:rPr>
        <w:t xml:space="preserve"> (标的名称) </w:t>
      </w:r>
      <w:r>
        <w:rPr>
          <w:rFonts w:hint="eastAsia" w:ascii="仿宋" w:hAnsi="仿宋" w:eastAsia="仿宋" w:cs="宋体"/>
          <w:kern w:val="0"/>
          <w:sz w:val="24"/>
        </w:rPr>
        <w:t>，属于</w:t>
      </w:r>
      <w:r>
        <w:rPr>
          <w:rFonts w:hint="eastAsia" w:ascii="仿宋" w:hAnsi="仿宋" w:eastAsia="仿宋" w:cs="宋体"/>
          <w:kern w:val="0"/>
          <w:sz w:val="24"/>
          <w:u w:val="single"/>
        </w:rPr>
        <w:t xml:space="preserve"> (采购文件中明确的所属行业) </w:t>
      </w:r>
      <w:r>
        <w:rPr>
          <w:rFonts w:hint="eastAsia" w:ascii="仿宋" w:hAnsi="仿宋" w:eastAsia="仿宋" w:cs="宋体"/>
          <w:kern w:val="0"/>
          <w:sz w:val="24"/>
        </w:rPr>
        <w:t>；承建(承接)企业为</w:t>
      </w:r>
      <w:r>
        <w:rPr>
          <w:rFonts w:hint="eastAsia" w:ascii="仿宋" w:hAnsi="仿宋" w:eastAsia="仿宋" w:cs="宋体"/>
          <w:kern w:val="0"/>
          <w:sz w:val="24"/>
          <w:u w:val="single"/>
        </w:rPr>
        <w:t xml:space="preserve"> (企业名称) </w:t>
      </w:r>
      <w:r>
        <w:rPr>
          <w:rFonts w:hint="eastAsia" w:ascii="仿宋" w:hAnsi="仿宋" w:eastAsia="仿宋" w:cs="宋体"/>
          <w:kern w:val="0"/>
          <w:sz w:val="24"/>
        </w:rPr>
        <w:t>，从业人员</w:t>
      </w:r>
      <w:r>
        <w:rPr>
          <w:rFonts w:hint="eastAsia" w:ascii="仿宋" w:hAnsi="仿宋" w:eastAsia="仿宋" w:cs="宋体"/>
          <w:kern w:val="0"/>
          <w:sz w:val="24"/>
          <w:u w:val="single"/>
        </w:rPr>
        <w:t xml:space="preserve">   </w:t>
      </w:r>
      <w:r>
        <w:rPr>
          <w:rFonts w:hint="eastAsia" w:ascii="仿宋" w:hAnsi="仿宋" w:eastAsia="仿宋" w:cs="宋体"/>
          <w:kern w:val="0"/>
          <w:sz w:val="24"/>
        </w:rPr>
        <w:t>人，营业收入为</w:t>
      </w:r>
      <w:r>
        <w:rPr>
          <w:rFonts w:hint="eastAsia" w:ascii="仿宋" w:hAnsi="仿宋" w:eastAsia="仿宋" w:cs="宋体"/>
          <w:kern w:val="0"/>
          <w:sz w:val="24"/>
          <w:u w:val="single"/>
        </w:rPr>
        <w:t xml:space="preserve">   </w:t>
      </w:r>
      <w:r>
        <w:rPr>
          <w:rFonts w:hint="eastAsia" w:ascii="仿宋" w:hAnsi="仿宋" w:eastAsia="仿宋" w:cs="宋体"/>
          <w:kern w:val="0"/>
          <w:sz w:val="24"/>
        </w:rPr>
        <w:t>万元，资产总额为</w:t>
      </w:r>
      <w:r>
        <w:rPr>
          <w:rFonts w:hint="eastAsia" w:ascii="仿宋" w:hAnsi="仿宋" w:eastAsia="仿宋" w:cs="宋体"/>
          <w:kern w:val="0"/>
          <w:sz w:val="24"/>
          <w:u w:val="single"/>
        </w:rPr>
        <w:t xml:space="preserve">    </w:t>
      </w:r>
      <w:r>
        <w:rPr>
          <w:rFonts w:hint="eastAsia" w:ascii="仿宋" w:hAnsi="仿宋" w:eastAsia="仿宋" w:cs="宋体"/>
          <w:kern w:val="0"/>
          <w:sz w:val="24"/>
        </w:rPr>
        <w:t>万元，属于</w:t>
      </w:r>
      <w:r>
        <w:rPr>
          <w:rFonts w:hint="eastAsia" w:ascii="仿宋" w:hAnsi="仿宋" w:eastAsia="仿宋" w:cs="宋体"/>
          <w:kern w:val="0"/>
          <w:sz w:val="24"/>
          <w:u w:val="single"/>
        </w:rPr>
        <w:t xml:space="preserve"> (中型企业、小型企业、微型企业) </w:t>
      </w:r>
      <w:r>
        <w:rPr>
          <w:rFonts w:hint="eastAsia" w:ascii="仿宋" w:hAnsi="仿宋" w:eastAsia="仿宋" w:cs="宋体"/>
          <w:kern w:val="0"/>
          <w:sz w:val="24"/>
        </w:rPr>
        <w:t>；</w:t>
      </w:r>
    </w:p>
    <w:p w14:paraId="481B3FDC">
      <w:pPr>
        <w:spacing w:line="360" w:lineRule="auto"/>
        <w:ind w:firstLine="480" w:firstLineChars="200"/>
        <w:rPr>
          <w:rFonts w:ascii="仿宋" w:hAnsi="仿宋" w:eastAsia="仿宋" w:cs="宋体"/>
          <w:kern w:val="0"/>
          <w:sz w:val="24"/>
        </w:rPr>
      </w:pPr>
      <w:r>
        <w:rPr>
          <w:rFonts w:hint="eastAsia" w:ascii="仿宋" w:hAnsi="仿宋" w:eastAsia="仿宋" w:cs="宋体"/>
          <w:kern w:val="0"/>
          <w:sz w:val="24"/>
        </w:rPr>
        <w:t>……</w:t>
      </w:r>
    </w:p>
    <w:p w14:paraId="256A9D20">
      <w:pPr>
        <w:spacing w:line="360" w:lineRule="auto"/>
        <w:ind w:firstLine="480" w:firstLineChars="200"/>
        <w:rPr>
          <w:rFonts w:ascii="仿宋" w:hAnsi="仿宋" w:eastAsia="仿宋" w:cs="宋体"/>
          <w:kern w:val="0"/>
          <w:sz w:val="24"/>
        </w:rPr>
      </w:pPr>
      <w:r>
        <w:rPr>
          <w:rFonts w:hint="eastAsia" w:ascii="仿宋" w:hAnsi="仿宋" w:eastAsia="仿宋" w:cs="宋体"/>
          <w:kern w:val="0"/>
          <w:sz w:val="24"/>
        </w:rPr>
        <w:t>以上企业，不属于大企业的分支机构，不存在控股股东为大企业的情形，也不存在与大企业的负责人为同一人的情形。</w:t>
      </w:r>
    </w:p>
    <w:p w14:paraId="57869EAE">
      <w:pPr>
        <w:spacing w:line="360" w:lineRule="auto"/>
        <w:ind w:firstLine="480" w:firstLineChars="200"/>
        <w:rPr>
          <w:rFonts w:ascii="仿宋" w:hAnsi="仿宋" w:eastAsia="仿宋" w:cs="宋体"/>
          <w:kern w:val="0"/>
          <w:sz w:val="24"/>
        </w:rPr>
      </w:pPr>
      <w:r>
        <w:rPr>
          <w:rFonts w:hint="eastAsia" w:ascii="仿宋" w:hAnsi="仿宋" w:eastAsia="仿宋" w:cs="宋体"/>
          <w:kern w:val="0"/>
          <w:sz w:val="24"/>
        </w:rPr>
        <w:t>本企业对上述声明内容的真实性负责。如有虚假，将依法承担相应责任。</w:t>
      </w:r>
    </w:p>
    <w:p w14:paraId="56C967C5">
      <w:pPr>
        <w:spacing w:line="360" w:lineRule="auto"/>
        <w:rPr>
          <w:rFonts w:ascii="仿宋" w:hAnsi="仿宋" w:eastAsia="仿宋" w:cs="宋体"/>
          <w:kern w:val="0"/>
          <w:sz w:val="24"/>
        </w:rPr>
      </w:pPr>
      <w:r>
        <w:rPr>
          <w:rFonts w:hint="eastAsia" w:ascii="仿宋" w:hAnsi="仿宋" w:eastAsia="仿宋" w:cs="宋体"/>
          <w:kern w:val="0"/>
          <w:sz w:val="24"/>
        </w:rPr>
        <w:t xml:space="preserve">                                </w:t>
      </w:r>
    </w:p>
    <w:p w14:paraId="20727D5B">
      <w:pPr>
        <w:spacing w:line="360" w:lineRule="auto"/>
        <w:ind w:firstLine="4200" w:firstLineChars="1750"/>
        <w:rPr>
          <w:rFonts w:ascii="仿宋" w:hAnsi="仿宋" w:eastAsia="仿宋" w:cs="宋体"/>
          <w:kern w:val="0"/>
          <w:sz w:val="24"/>
        </w:rPr>
      </w:pPr>
      <w:r>
        <w:rPr>
          <w:rFonts w:hint="eastAsia" w:ascii="仿宋" w:hAnsi="仿宋" w:eastAsia="仿宋" w:cs="宋体"/>
          <w:kern w:val="0"/>
          <w:sz w:val="24"/>
        </w:rPr>
        <w:t>企业名称(盖章):</w:t>
      </w:r>
    </w:p>
    <w:p w14:paraId="4CF16E24">
      <w:pPr>
        <w:spacing w:line="360" w:lineRule="auto"/>
        <w:ind w:firstLine="4320" w:firstLineChars="1800"/>
        <w:rPr>
          <w:rFonts w:ascii="仿宋" w:hAnsi="仿宋" w:eastAsia="仿宋" w:cs="宋体"/>
          <w:kern w:val="0"/>
          <w:sz w:val="24"/>
        </w:rPr>
      </w:pPr>
      <w:r>
        <w:rPr>
          <w:rFonts w:hint="eastAsia" w:ascii="仿宋" w:hAnsi="仿宋" w:eastAsia="仿宋" w:cs="宋体"/>
          <w:kern w:val="0"/>
          <w:sz w:val="24"/>
        </w:rPr>
        <w:t>日期：</w:t>
      </w:r>
    </w:p>
    <w:p w14:paraId="0DC67646">
      <w:pPr>
        <w:spacing w:line="360" w:lineRule="auto"/>
        <w:rPr>
          <w:rFonts w:ascii="华文仿宋" w:hAnsi="华文仿宋" w:eastAsia="华文仿宋" w:cs="宋体"/>
          <w:kern w:val="0"/>
          <w:sz w:val="30"/>
          <w:szCs w:val="30"/>
          <w:u w:val="single"/>
        </w:rPr>
      </w:pPr>
      <w:r>
        <w:rPr>
          <w:rFonts w:hint="eastAsia" w:ascii="华文仿宋" w:hAnsi="华文仿宋" w:eastAsia="华文仿宋" w:cs="宋体"/>
          <w:kern w:val="0"/>
          <w:sz w:val="30"/>
          <w:szCs w:val="30"/>
          <w:u w:val="single"/>
        </w:rPr>
        <w:t xml:space="preserve">                                                            </w:t>
      </w:r>
    </w:p>
    <w:p w14:paraId="34E398C1">
      <w:pPr>
        <w:spacing w:before="65" w:line="280" w:lineRule="exact"/>
        <w:ind w:right="70"/>
        <w:rPr>
          <w:rFonts w:ascii="仿宋" w:hAnsi="仿宋" w:eastAsia="仿宋" w:cs="仿宋"/>
          <w:sz w:val="24"/>
        </w:rPr>
      </w:pPr>
      <w:r>
        <w:rPr>
          <w:rFonts w:hint="eastAsia" w:ascii="仿宋" w:hAnsi="仿宋" w:eastAsia="仿宋" w:cs="仿宋"/>
          <w:spacing w:val="12"/>
          <w:sz w:val="24"/>
        </w:rPr>
        <w:t>备注：</w:t>
      </w:r>
      <w:r>
        <w:rPr>
          <w:rFonts w:hint="eastAsia" w:ascii="仿宋" w:hAnsi="仿宋" w:eastAsia="仿宋" w:cs="仿宋"/>
          <w:spacing w:val="-58"/>
          <w:sz w:val="24"/>
        </w:rPr>
        <w:t xml:space="preserve"> </w:t>
      </w:r>
      <w:r>
        <w:rPr>
          <w:rFonts w:hint="eastAsia" w:ascii="仿宋" w:hAnsi="仿宋" w:eastAsia="仿宋" w:cs="仿宋"/>
          <w:spacing w:val="12"/>
          <w:sz w:val="24"/>
        </w:rPr>
        <w:t>1、填写前请认真阅读《工业和信息化部、国家统计局、国家发展和</w:t>
      </w:r>
      <w:r>
        <w:rPr>
          <w:rFonts w:hint="eastAsia" w:ascii="仿宋" w:hAnsi="仿宋" w:eastAsia="仿宋" w:cs="仿宋"/>
          <w:spacing w:val="11"/>
          <w:sz w:val="24"/>
        </w:rPr>
        <w:t>改革委员会、财政</w:t>
      </w:r>
      <w:r>
        <w:rPr>
          <w:rFonts w:hint="eastAsia" w:ascii="仿宋" w:hAnsi="仿宋" w:eastAsia="仿宋" w:cs="仿宋"/>
          <w:spacing w:val="10"/>
          <w:sz w:val="24"/>
        </w:rPr>
        <w:t>部关于印发中小企业划型标准规定的通知》（工信部联企业[2011]300</w:t>
      </w:r>
      <w:r>
        <w:rPr>
          <w:rFonts w:hint="eastAsia" w:ascii="仿宋" w:hAnsi="仿宋" w:eastAsia="仿宋" w:cs="仿宋"/>
          <w:spacing w:val="-16"/>
          <w:sz w:val="24"/>
        </w:rPr>
        <w:t xml:space="preserve"> </w:t>
      </w:r>
      <w:r>
        <w:rPr>
          <w:rFonts w:hint="eastAsia" w:ascii="仿宋" w:hAnsi="仿宋" w:eastAsia="仿宋" w:cs="仿宋"/>
          <w:spacing w:val="10"/>
          <w:sz w:val="24"/>
        </w:rPr>
        <w:t>号）和财政部、工业和信息化部关于印发《政府采购促进中小企业发展管理办法》</w:t>
      </w:r>
      <w:r>
        <w:rPr>
          <w:rFonts w:hint="eastAsia" w:ascii="仿宋" w:hAnsi="仿宋" w:eastAsia="仿宋" w:cs="仿宋"/>
          <w:spacing w:val="-59"/>
          <w:sz w:val="24"/>
        </w:rPr>
        <w:t xml:space="preserve"> </w:t>
      </w:r>
      <w:r>
        <w:rPr>
          <w:rFonts w:hint="eastAsia" w:ascii="仿宋" w:hAnsi="仿宋" w:eastAsia="仿宋" w:cs="仿宋"/>
          <w:spacing w:val="10"/>
          <w:sz w:val="24"/>
        </w:rPr>
        <w:t>的通知(财库[2020]46</w:t>
      </w:r>
      <w:r>
        <w:rPr>
          <w:rFonts w:hint="eastAsia" w:ascii="仿宋" w:hAnsi="仿宋" w:eastAsia="仿宋" w:cs="仿宋"/>
          <w:spacing w:val="-30"/>
          <w:sz w:val="24"/>
        </w:rPr>
        <w:t xml:space="preserve"> </w:t>
      </w:r>
      <w:r>
        <w:rPr>
          <w:rFonts w:hint="eastAsia" w:ascii="仿宋" w:hAnsi="仿宋" w:eastAsia="仿宋" w:cs="仿宋"/>
          <w:spacing w:val="10"/>
          <w:sz w:val="24"/>
        </w:rPr>
        <w:t>号)相关规定。</w:t>
      </w:r>
    </w:p>
    <w:p w14:paraId="07D9E7BD">
      <w:pPr>
        <w:spacing w:before="94" w:line="280" w:lineRule="exact"/>
        <w:ind w:left="6" w:right="70" w:firstLine="431"/>
        <w:rPr>
          <w:rFonts w:ascii="仿宋" w:hAnsi="仿宋" w:eastAsia="仿宋" w:cs="仿宋"/>
          <w:sz w:val="24"/>
        </w:rPr>
      </w:pPr>
      <w:r>
        <w:rPr>
          <w:rFonts w:hint="eastAsia" w:ascii="仿宋" w:hAnsi="仿宋" w:eastAsia="仿宋" w:cs="仿宋"/>
          <w:spacing w:val="13"/>
          <w:sz w:val="24"/>
        </w:rPr>
        <w:t>2、从业人员、营业收入、资产总额填报上一年度数据，无上一年度数据的新</w:t>
      </w:r>
      <w:r>
        <w:rPr>
          <w:rFonts w:hint="eastAsia" w:ascii="仿宋" w:hAnsi="仿宋" w:eastAsia="仿宋" w:cs="仿宋"/>
          <w:spacing w:val="12"/>
          <w:sz w:val="24"/>
        </w:rPr>
        <w:t>成立企业可不填</w:t>
      </w:r>
      <w:r>
        <w:rPr>
          <w:rFonts w:hint="eastAsia" w:ascii="仿宋" w:hAnsi="仿宋" w:eastAsia="仿宋" w:cs="仿宋"/>
          <w:spacing w:val="1"/>
          <w:sz w:val="24"/>
        </w:rPr>
        <w:t>报。</w:t>
      </w:r>
    </w:p>
    <w:p w14:paraId="2561CBE8">
      <w:pPr>
        <w:spacing w:line="280" w:lineRule="exact"/>
        <w:ind w:firstLine="532" w:firstLineChars="200"/>
        <w:rPr>
          <w:rFonts w:ascii="仿宋" w:hAnsi="仿宋" w:eastAsia="仿宋" w:cs="仿宋"/>
          <w:kern w:val="0"/>
          <w:sz w:val="24"/>
        </w:rPr>
      </w:pPr>
      <w:r>
        <w:rPr>
          <w:rFonts w:hint="eastAsia" w:ascii="仿宋" w:hAnsi="仿宋" w:eastAsia="仿宋" w:cs="仿宋"/>
          <w:spacing w:val="13"/>
          <w:sz w:val="24"/>
        </w:rPr>
        <w:t>3、根据《工业和信息化部、国家统计局、国家发展和改革委员会、财政</w:t>
      </w:r>
      <w:r>
        <w:rPr>
          <w:rFonts w:hint="eastAsia" w:ascii="仿宋" w:hAnsi="仿宋" w:eastAsia="仿宋" w:cs="仿宋"/>
          <w:spacing w:val="12"/>
          <w:sz w:val="24"/>
        </w:rPr>
        <w:t>部关于印发中小企业</w:t>
      </w:r>
      <w:r>
        <w:rPr>
          <w:rFonts w:hint="eastAsia" w:ascii="仿宋" w:hAnsi="仿宋" w:eastAsia="仿宋" w:cs="仿宋"/>
          <w:sz w:val="24"/>
        </w:rPr>
        <w:t xml:space="preserve"> </w:t>
      </w:r>
      <w:r>
        <w:rPr>
          <w:rFonts w:hint="eastAsia" w:ascii="仿宋" w:hAnsi="仿宋" w:eastAsia="仿宋" w:cs="仿宋"/>
          <w:spacing w:val="12"/>
          <w:sz w:val="24"/>
        </w:rPr>
        <w:t>划型标准规定的通知》（工信部联企业[201</w:t>
      </w:r>
      <w:r>
        <w:rPr>
          <w:rFonts w:hint="eastAsia" w:ascii="仿宋" w:hAnsi="仿宋" w:eastAsia="仿宋" w:cs="仿宋"/>
          <w:spacing w:val="11"/>
          <w:sz w:val="24"/>
        </w:rPr>
        <w:t>1]300</w:t>
      </w:r>
      <w:r>
        <w:rPr>
          <w:rFonts w:hint="eastAsia" w:ascii="仿宋" w:hAnsi="仿宋" w:eastAsia="仿宋" w:cs="仿宋"/>
          <w:spacing w:val="-28"/>
          <w:sz w:val="24"/>
        </w:rPr>
        <w:t xml:space="preserve"> </w:t>
      </w:r>
      <w:r>
        <w:rPr>
          <w:rFonts w:hint="eastAsia" w:ascii="仿宋" w:hAnsi="仿宋" w:eastAsia="仿宋" w:cs="仿宋"/>
          <w:spacing w:val="11"/>
          <w:sz w:val="24"/>
        </w:rPr>
        <w:t>号</w:t>
      </w:r>
      <w:r>
        <w:rPr>
          <w:rFonts w:hint="eastAsia" w:ascii="仿宋" w:hAnsi="仿宋" w:eastAsia="仿宋" w:cs="仿宋"/>
          <w:spacing w:val="1"/>
          <w:sz w:val="24"/>
        </w:rPr>
        <w:t>）</w:t>
      </w:r>
      <w:r>
        <w:rPr>
          <w:rFonts w:hint="eastAsia" w:ascii="仿宋" w:hAnsi="仿宋" w:eastAsia="仿宋" w:cs="仿宋"/>
          <w:spacing w:val="-57"/>
          <w:sz w:val="24"/>
        </w:rPr>
        <w:t xml:space="preserve"> </w:t>
      </w:r>
      <w:r>
        <w:rPr>
          <w:rFonts w:hint="eastAsia" w:ascii="仿宋" w:hAnsi="仿宋" w:eastAsia="仿宋" w:cs="仿宋"/>
          <w:spacing w:val="1"/>
          <w:sz w:val="24"/>
        </w:rPr>
        <w:t>，</w:t>
      </w:r>
      <w:r>
        <w:rPr>
          <w:rFonts w:hint="eastAsia" w:ascii="仿宋" w:hAnsi="仿宋" w:eastAsia="仿宋" w:cs="仿宋"/>
          <w:spacing w:val="11"/>
          <w:sz w:val="24"/>
        </w:rPr>
        <w:t>本项目所属行业中小企业划型标准具体</w:t>
      </w:r>
      <w:r>
        <w:rPr>
          <w:rFonts w:hint="eastAsia" w:ascii="仿宋" w:hAnsi="仿宋" w:eastAsia="仿宋" w:cs="仿宋"/>
          <w:sz w:val="24"/>
        </w:rPr>
        <w:t>，</w:t>
      </w:r>
      <w:r>
        <w:rPr>
          <w:rFonts w:hint="eastAsia" w:ascii="仿宋" w:hAnsi="仿宋" w:eastAsia="仿宋" w:cs="仿宋"/>
          <w:spacing w:val="10"/>
          <w:sz w:val="24"/>
        </w:rPr>
        <w:t>如：工业。从业人员</w:t>
      </w:r>
      <w:r>
        <w:rPr>
          <w:rFonts w:hint="eastAsia" w:ascii="仿宋" w:hAnsi="仿宋" w:eastAsia="仿宋" w:cs="仿宋"/>
          <w:spacing w:val="-4"/>
          <w:sz w:val="24"/>
        </w:rPr>
        <w:t xml:space="preserve"> </w:t>
      </w:r>
      <w:r>
        <w:rPr>
          <w:rFonts w:hint="eastAsia" w:ascii="仿宋" w:hAnsi="仿宋" w:eastAsia="仿宋" w:cs="仿宋"/>
          <w:spacing w:val="10"/>
          <w:sz w:val="24"/>
        </w:rPr>
        <w:t>1000</w:t>
      </w:r>
      <w:r>
        <w:rPr>
          <w:rFonts w:hint="eastAsia" w:ascii="仿宋" w:hAnsi="仿宋" w:eastAsia="仿宋" w:cs="仿宋"/>
          <w:spacing w:val="-34"/>
          <w:sz w:val="24"/>
        </w:rPr>
        <w:t xml:space="preserve"> </w:t>
      </w:r>
      <w:r>
        <w:rPr>
          <w:rFonts w:hint="eastAsia" w:ascii="仿宋" w:hAnsi="仿宋" w:eastAsia="仿宋" w:cs="仿宋"/>
          <w:spacing w:val="10"/>
          <w:sz w:val="24"/>
        </w:rPr>
        <w:t>人以下或营业收入</w:t>
      </w:r>
      <w:r>
        <w:rPr>
          <w:rFonts w:hint="eastAsia" w:ascii="仿宋" w:hAnsi="仿宋" w:eastAsia="仿宋" w:cs="仿宋"/>
          <w:spacing w:val="-35"/>
          <w:sz w:val="24"/>
        </w:rPr>
        <w:t xml:space="preserve"> </w:t>
      </w:r>
      <w:r>
        <w:rPr>
          <w:rFonts w:hint="eastAsia" w:ascii="仿宋" w:hAnsi="仿宋" w:eastAsia="仿宋" w:cs="仿宋"/>
          <w:spacing w:val="10"/>
          <w:sz w:val="24"/>
        </w:rPr>
        <w:t>40000</w:t>
      </w:r>
      <w:r>
        <w:rPr>
          <w:rFonts w:hint="eastAsia" w:ascii="仿宋" w:hAnsi="仿宋" w:eastAsia="仿宋" w:cs="仿宋"/>
          <w:spacing w:val="-31"/>
          <w:sz w:val="24"/>
        </w:rPr>
        <w:t xml:space="preserve"> </w:t>
      </w:r>
      <w:r>
        <w:rPr>
          <w:rFonts w:hint="eastAsia" w:ascii="仿宋" w:hAnsi="仿宋" w:eastAsia="仿宋" w:cs="仿宋"/>
          <w:spacing w:val="10"/>
          <w:sz w:val="24"/>
        </w:rPr>
        <w:t>万元以下的为中小微型企业。其中，从业人</w:t>
      </w:r>
      <w:r>
        <w:rPr>
          <w:rFonts w:hint="eastAsia" w:ascii="仿宋" w:hAnsi="仿宋" w:eastAsia="仿宋" w:cs="仿宋"/>
          <w:spacing w:val="8"/>
          <w:sz w:val="24"/>
        </w:rPr>
        <w:t>员</w:t>
      </w:r>
      <w:r>
        <w:rPr>
          <w:rFonts w:hint="eastAsia" w:ascii="仿宋" w:hAnsi="仿宋" w:eastAsia="仿宋" w:cs="仿宋"/>
          <w:spacing w:val="-30"/>
          <w:sz w:val="24"/>
        </w:rPr>
        <w:t xml:space="preserve"> </w:t>
      </w:r>
      <w:r>
        <w:rPr>
          <w:rFonts w:hint="eastAsia" w:ascii="仿宋" w:hAnsi="仿宋" w:eastAsia="仿宋" w:cs="仿宋"/>
          <w:spacing w:val="8"/>
          <w:sz w:val="24"/>
        </w:rPr>
        <w:t>300</w:t>
      </w:r>
      <w:r>
        <w:rPr>
          <w:rFonts w:hint="eastAsia" w:ascii="仿宋" w:hAnsi="仿宋" w:eastAsia="仿宋" w:cs="仿宋"/>
          <w:spacing w:val="-34"/>
          <w:sz w:val="24"/>
        </w:rPr>
        <w:t xml:space="preserve"> </w:t>
      </w:r>
      <w:r>
        <w:rPr>
          <w:rFonts w:hint="eastAsia" w:ascii="仿宋" w:hAnsi="仿宋" w:eastAsia="仿宋" w:cs="仿宋"/>
          <w:spacing w:val="8"/>
          <w:sz w:val="24"/>
        </w:rPr>
        <w:t>人及以上，且营业收入</w:t>
      </w:r>
      <w:r>
        <w:rPr>
          <w:rFonts w:hint="eastAsia" w:ascii="仿宋" w:hAnsi="仿宋" w:eastAsia="仿宋" w:cs="仿宋"/>
          <w:spacing w:val="-32"/>
          <w:sz w:val="24"/>
        </w:rPr>
        <w:t xml:space="preserve"> </w:t>
      </w:r>
      <w:r>
        <w:rPr>
          <w:rFonts w:hint="eastAsia" w:ascii="仿宋" w:hAnsi="仿宋" w:eastAsia="仿宋" w:cs="仿宋"/>
          <w:spacing w:val="8"/>
          <w:sz w:val="24"/>
        </w:rPr>
        <w:t>2000</w:t>
      </w:r>
      <w:r>
        <w:rPr>
          <w:rFonts w:hint="eastAsia" w:ascii="仿宋" w:hAnsi="仿宋" w:eastAsia="仿宋" w:cs="仿宋"/>
          <w:spacing w:val="-31"/>
          <w:sz w:val="24"/>
        </w:rPr>
        <w:t xml:space="preserve"> </w:t>
      </w:r>
      <w:r>
        <w:rPr>
          <w:rFonts w:hint="eastAsia" w:ascii="仿宋" w:hAnsi="仿宋" w:eastAsia="仿宋" w:cs="仿宋"/>
          <w:spacing w:val="8"/>
          <w:sz w:val="24"/>
        </w:rPr>
        <w:t>万元及以上的为中型企业</w:t>
      </w:r>
      <w:r>
        <w:rPr>
          <w:rFonts w:hint="eastAsia" w:ascii="仿宋" w:hAnsi="仿宋" w:eastAsia="仿宋" w:cs="仿宋"/>
          <w:spacing w:val="7"/>
          <w:sz w:val="24"/>
        </w:rPr>
        <w:t>；从业人员</w:t>
      </w:r>
      <w:r>
        <w:rPr>
          <w:rFonts w:hint="eastAsia" w:ascii="仿宋" w:hAnsi="仿宋" w:eastAsia="仿宋" w:cs="仿宋"/>
          <w:spacing w:val="-32"/>
          <w:sz w:val="24"/>
        </w:rPr>
        <w:t xml:space="preserve"> </w:t>
      </w:r>
      <w:r>
        <w:rPr>
          <w:rFonts w:hint="eastAsia" w:ascii="仿宋" w:hAnsi="仿宋" w:eastAsia="仿宋" w:cs="仿宋"/>
          <w:spacing w:val="7"/>
          <w:sz w:val="24"/>
        </w:rPr>
        <w:t>20</w:t>
      </w:r>
      <w:r>
        <w:rPr>
          <w:rFonts w:hint="eastAsia" w:ascii="仿宋" w:hAnsi="仿宋" w:eastAsia="仿宋" w:cs="仿宋"/>
          <w:spacing w:val="-36"/>
          <w:sz w:val="24"/>
        </w:rPr>
        <w:t xml:space="preserve"> </w:t>
      </w:r>
      <w:r>
        <w:rPr>
          <w:rFonts w:hint="eastAsia" w:ascii="仿宋" w:hAnsi="仿宋" w:eastAsia="仿宋" w:cs="仿宋"/>
          <w:spacing w:val="7"/>
          <w:sz w:val="24"/>
        </w:rPr>
        <w:t>人及以上，且营业收入</w:t>
      </w:r>
      <w:r>
        <w:rPr>
          <w:rFonts w:hint="eastAsia" w:ascii="仿宋" w:hAnsi="仿宋" w:eastAsia="仿宋" w:cs="仿宋"/>
          <w:sz w:val="24"/>
        </w:rPr>
        <w:t xml:space="preserve"> </w:t>
      </w:r>
      <w:r>
        <w:rPr>
          <w:rFonts w:hint="eastAsia" w:ascii="仿宋" w:hAnsi="仿宋" w:eastAsia="仿宋" w:cs="仿宋"/>
          <w:spacing w:val="10"/>
          <w:sz w:val="24"/>
        </w:rPr>
        <w:t>300</w:t>
      </w:r>
      <w:r>
        <w:rPr>
          <w:rFonts w:hint="eastAsia" w:ascii="仿宋" w:hAnsi="仿宋" w:eastAsia="仿宋" w:cs="仿宋"/>
          <w:spacing w:val="-30"/>
          <w:sz w:val="24"/>
        </w:rPr>
        <w:t xml:space="preserve"> </w:t>
      </w:r>
      <w:r>
        <w:rPr>
          <w:rFonts w:hint="eastAsia" w:ascii="仿宋" w:hAnsi="仿宋" w:eastAsia="仿宋" w:cs="仿宋"/>
          <w:spacing w:val="10"/>
          <w:sz w:val="24"/>
        </w:rPr>
        <w:t>万元及以上的为小型企业；从业人员</w:t>
      </w:r>
      <w:r>
        <w:rPr>
          <w:rFonts w:hint="eastAsia" w:ascii="仿宋" w:hAnsi="仿宋" w:eastAsia="仿宋" w:cs="仿宋"/>
          <w:spacing w:val="-32"/>
          <w:sz w:val="24"/>
        </w:rPr>
        <w:t xml:space="preserve"> </w:t>
      </w:r>
      <w:r>
        <w:rPr>
          <w:rFonts w:hint="eastAsia" w:ascii="仿宋" w:hAnsi="仿宋" w:eastAsia="仿宋" w:cs="仿宋"/>
          <w:spacing w:val="10"/>
          <w:sz w:val="24"/>
        </w:rPr>
        <w:t>20</w:t>
      </w:r>
      <w:r>
        <w:rPr>
          <w:rFonts w:hint="eastAsia" w:ascii="仿宋" w:hAnsi="仿宋" w:eastAsia="仿宋" w:cs="仿宋"/>
          <w:spacing w:val="-34"/>
          <w:sz w:val="24"/>
        </w:rPr>
        <w:t xml:space="preserve"> </w:t>
      </w:r>
      <w:r>
        <w:rPr>
          <w:rFonts w:hint="eastAsia" w:ascii="仿宋" w:hAnsi="仿宋" w:eastAsia="仿宋" w:cs="仿宋"/>
          <w:spacing w:val="10"/>
          <w:sz w:val="24"/>
        </w:rPr>
        <w:t>人以下或营业收入</w:t>
      </w:r>
      <w:r>
        <w:rPr>
          <w:rFonts w:hint="eastAsia" w:ascii="仿宋" w:hAnsi="仿宋" w:eastAsia="仿宋" w:cs="仿宋"/>
          <w:spacing w:val="-30"/>
          <w:sz w:val="24"/>
        </w:rPr>
        <w:t xml:space="preserve"> </w:t>
      </w:r>
      <w:r>
        <w:rPr>
          <w:rFonts w:hint="eastAsia" w:ascii="仿宋" w:hAnsi="仿宋" w:eastAsia="仿宋" w:cs="仿宋"/>
          <w:spacing w:val="10"/>
          <w:sz w:val="24"/>
        </w:rPr>
        <w:t>3</w:t>
      </w:r>
      <w:r>
        <w:rPr>
          <w:rFonts w:hint="eastAsia" w:ascii="仿宋" w:hAnsi="仿宋" w:eastAsia="仿宋" w:cs="仿宋"/>
          <w:spacing w:val="9"/>
          <w:sz w:val="24"/>
        </w:rPr>
        <w:t>00</w:t>
      </w:r>
      <w:r>
        <w:rPr>
          <w:rFonts w:hint="eastAsia" w:ascii="仿宋" w:hAnsi="仿宋" w:eastAsia="仿宋" w:cs="仿宋"/>
          <w:spacing w:val="-31"/>
          <w:sz w:val="24"/>
        </w:rPr>
        <w:t xml:space="preserve"> </w:t>
      </w:r>
      <w:r>
        <w:rPr>
          <w:rFonts w:hint="eastAsia" w:ascii="仿宋" w:hAnsi="仿宋" w:eastAsia="仿宋" w:cs="仿宋"/>
          <w:spacing w:val="9"/>
          <w:sz w:val="24"/>
        </w:rPr>
        <w:t>万元以下的为微型企业。</w:t>
      </w:r>
      <w:r>
        <w:rPr>
          <w:rFonts w:hint="eastAsia" w:ascii="仿宋" w:hAnsi="仿宋" w:eastAsia="仿宋" w:cs="仿宋"/>
          <w:kern w:val="0"/>
          <w:sz w:val="24"/>
        </w:rPr>
        <w:t xml:space="preserve"> </w:t>
      </w:r>
    </w:p>
    <w:p w14:paraId="53405278">
      <w:pPr>
        <w:spacing w:line="500" w:lineRule="exact"/>
        <w:jc w:val="left"/>
        <w:rPr>
          <w:rFonts w:ascii="仿宋" w:hAnsi="仿宋" w:eastAsia="仿宋" w:cs="仿宋"/>
          <w:b/>
          <w:bCs/>
          <w:sz w:val="28"/>
          <w:szCs w:val="28"/>
        </w:rPr>
      </w:pPr>
      <w:r>
        <w:rPr>
          <w:rFonts w:hint="eastAsia" w:ascii="华文仿宋" w:hAnsi="华文仿宋" w:eastAsia="华文仿宋" w:cs="宋体"/>
          <w:b/>
          <w:bCs/>
          <w:kern w:val="0"/>
          <w:sz w:val="22"/>
          <w:szCs w:val="22"/>
        </w:rPr>
        <w:t xml:space="preserve"> </w:t>
      </w:r>
      <w:r>
        <w:rPr>
          <w:rFonts w:hint="eastAsia" w:ascii="仿宋" w:hAnsi="仿宋" w:eastAsia="仿宋" w:cs="仿宋"/>
          <w:b/>
          <w:bCs/>
          <w:sz w:val="28"/>
          <w:szCs w:val="28"/>
        </w:rPr>
        <w:t>附件8：</w:t>
      </w:r>
    </w:p>
    <w:p w14:paraId="1C2C6341">
      <w:pPr>
        <w:spacing w:line="360" w:lineRule="auto"/>
        <w:jc w:val="center"/>
        <w:rPr>
          <w:rFonts w:ascii="仿宋" w:hAnsi="仿宋" w:eastAsia="仿宋" w:cs="仿宋"/>
          <w:b/>
          <w:spacing w:val="6"/>
          <w:sz w:val="28"/>
          <w:szCs w:val="28"/>
        </w:rPr>
      </w:pPr>
      <w:r>
        <w:rPr>
          <w:rFonts w:hint="eastAsia" w:ascii="仿宋" w:hAnsi="仿宋" w:eastAsia="仿宋" w:cs="仿宋"/>
          <w:b/>
          <w:spacing w:val="6"/>
          <w:sz w:val="28"/>
          <w:szCs w:val="28"/>
        </w:rPr>
        <w:t>残疾人福利性单位声明函</w:t>
      </w:r>
    </w:p>
    <w:p w14:paraId="7AFBA744">
      <w:pPr>
        <w:pStyle w:val="10"/>
        <w:spacing w:line="360" w:lineRule="auto"/>
        <w:ind w:firstLine="964" w:firstLineChars="400"/>
        <w:rPr>
          <w:rFonts w:ascii="仿宋" w:hAnsi="仿宋" w:eastAsia="仿宋" w:cs="仿宋"/>
          <w:lang w:eastAsia="zh-CN"/>
        </w:rPr>
      </w:pPr>
      <w:r>
        <w:rPr>
          <w:rFonts w:hint="eastAsia" w:ascii="仿宋" w:hAnsi="仿宋" w:eastAsia="仿宋" w:cs="仿宋"/>
          <w:b/>
          <w:bCs/>
          <w:lang w:eastAsia="zh-CN"/>
        </w:rPr>
        <w:t>（注：符合残疾人福利性的企业请提供本函，不符合的不提供本函）</w:t>
      </w:r>
    </w:p>
    <w:p w14:paraId="2538EAC8">
      <w:pPr>
        <w:pStyle w:val="10"/>
        <w:spacing w:before="133" w:line="360" w:lineRule="auto"/>
        <w:ind w:left="11" w:right="2" w:firstLine="480"/>
        <w:rPr>
          <w:rFonts w:ascii="仿宋" w:hAnsi="仿宋" w:eastAsia="仿宋" w:cs="宋体"/>
          <w:kern w:val="0"/>
          <w:lang w:eastAsia="zh-CN"/>
        </w:rPr>
      </w:pPr>
      <w:r>
        <w:rPr>
          <w:rFonts w:hint="eastAsia" w:ascii="仿宋" w:hAnsi="仿宋" w:eastAsia="仿宋" w:cs="宋体"/>
          <w:kern w:val="0"/>
          <w:lang w:eastAsia="zh-CN"/>
        </w:rPr>
        <w:t>本单位郑重声明，根据《财政部民政部中国残疾人联合会关于促进残疾人就业政府采购政策的通知》 （财库[2017]141 号） 的规定，本单位为符合条件的残疾人福利性单位，且本单位参加</w:t>
      </w:r>
      <w:r>
        <w:rPr>
          <w:rFonts w:hint="eastAsia" w:ascii="仿宋" w:hAnsi="仿宋" w:eastAsia="仿宋" w:cs="宋体"/>
          <w:kern w:val="0"/>
          <w:u w:val="single"/>
          <w:lang w:eastAsia="zh-CN"/>
        </w:rPr>
        <w:t xml:space="preserve">    项目名称  </w:t>
      </w:r>
      <w:r>
        <w:rPr>
          <w:rFonts w:hint="eastAsia" w:ascii="仿宋" w:hAnsi="仿宋" w:eastAsia="仿宋" w:cs="宋体"/>
          <w:kern w:val="0"/>
          <w:lang w:eastAsia="zh-CN"/>
        </w:rPr>
        <w:t>（项目编号：</w:t>
      </w:r>
      <w:r>
        <w:rPr>
          <w:rFonts w:hint="eastAsia" w:ascii="仿宋" w:hAnsi="仿宋" w:eastAsia="仿宋" w:cs="宋体"/>
          <w:kern w:val="0"/>
          <w:u w:val="single"/>
          <w:lang w:eastAsia="zh-CN"/>
        </w:rPr>
        <w:t xml:space="preserve">      </w:t>
      </w:r>
      <w:r>
        <w:rPr>
          <w:rFonts w:hint="eastAsia" w:ascii="仿宋" w:hAnsi="仿宋" w:eastAsia="仿宋" w:cs="宋体"/>
          <w:kern w:val="0"/>
          <w:lang w:eastAsia="zh-CN"/>
        </w:rPr>
        <w:t>）第</w:t>
      </w:r>
      <w:r>
        <w:rPr>
          <w:rFonts w:hint="eastAsia" w:ascii="仿宋" w:hAnsi="仿宋" w:eastAsia="仿宋" w:cs="宋体"/>
          <w:kern w:val="0"/>
          <w:u w:val="single"/>
          <w:lang w:eastAsia="zh-CN"/>
        </w:rPr>
        <w:t xml:space="preserve">     </w:t>
      </w:r>
      <w:r>
        <w:rPr>
          <w:rFonts w:hint="eastAsia" w:ascii="仿宋" w:hAnsi="仿宋" w:eastAsia="仿宋" w:cs="宋体"/>
          <w:kern w:val="0"/>
          <w:lang w:eastAsia="zh-CN"/>
        </w:rPr>
        <w:t>标段采购活动提供本单位制造的货物（由本单位承担工程/提供服务），或者提供其他残疾人福利性单位制造的货物（不包括使用非残疾人福利性单位注册商标的货物）。</w:t>
      </w:r>
    </w:p>
    <w:p w14:paraId="2EF7F209">
      <w:pPr>
        <w:spacing w:line="500" w:lineRule="exact"/>
        <w:ind w:firstLine="480" w:firstLineChars="200"/>
        <w:rPr>
          <w:rFonts w:ascii="仿宋" w:hAnsi="仿宋" w:eastAsia="仿宋" w:cs="仿宋"/>
          <w:spacing w:val="6"/>
          <w:sz w:val="28"/>
          <w:szCs w:val="28"/>
        </w:rPr>
      </w:pPr>
      <w:r>
        <w:rPr>
          <w:rFonts w:hint="eastAsia" w:ascii="仿宋" w:hAnsi="仿宋" w:eastAsia="仿宋" w:cs="宋体"/>
          <w:kern w:val="0"/>
          <w:sz w:val="24"/>
        </w:rPr>
        <w:t>本单位对上述声明的真实性负责。如有虚假，将依法承担相应责任。</w:t>
      </w:r>
    </w:p>
    <w:p w14:paraId="3D4B03D5">
      <w:pPr>
        <w:spacing w:line="500" w:lineRule="exact"/>
        <w:ind w:left="1258" w:leftChars="599" w:firstLine="2740" w:firstLineChars="1142"/>
        <w:rPr>
          <w:rFonts w:ascii="仿宋" w:hAnsi="仿宋" w:eastAsia="仿宋" w:cs="仿宋"/>
          <w:kern w:val="0"/>
          <w:sz w:val="24"/>
          <w:szCs w:val="20"/>
        </w:rPr>
      </w:pPr>
    </w:p>
    <w:p w14:paraId="6CD836FA">
      <w:pPr>
        <w:spacing w:line="500" w:lineRule="exact"/>
        <w:ind w:left="1258" w:leftChars="599" w:firstLine="2740" w:firstLineChars="1142"/>
        <w:rPr>
          <w:rFonts w:ascii="仿宋" w:hAnsi="仿宋" w:eastAsia="仿宋" w:cs="仿宋"/>
          <w:kern w:val="0"/>
          <w:sz w:val="24"/>
          <w:szCs w:val="20"/>
          <w:u w:val="single"/>
        </w:rPr>
      </w:pPr>
      <w:r>
        <w:rPr>
          <w:rFonts w:hint="eastAsia" w:ascii="仿宋" w:hAnsi="仿宋" w:eastAsia="仿宋" w:cs="仿宋"/>
          <w:kern w:val="0"/>
          <w:sz w:val="24"/>
          <w:szCs w:val="20"/>
        </w:rPr>
        <w:t>残疾人福利性单位（盖公章）：</w:t>
      </w:r>
    </w:p>
    <w:p w14:paraId="59F71191">
      <w:pPr>
        <w:spacing w:line="500" w:lineRule="exact"/>
        <w:ind w:left="1258" w:leftChars="599" w:firstLine="2740" w:firstLineChars="1142"/>
        <w:rPr>
          <w:rFonts w:ascii="仿宋" w:hAnsi="仿宋" w:eastAsia="仿宋" w:cs="仿宋"/>
          <w:kern w:val="0"/>
          <w:sz w:val="24"/>
          <w:szCs w:val="20"/>
        </w:rPr>
      </w:pPr>
      <w:r>
        <w:rPr>
          <w:rFonts w:hint="eastAsia" w:ascii="仿宋" w:hAnsi="仿宋" w:eastAsia="仿宋" w:cs="仿宋"/>
          <w:kern w:val="0"/>
          <w:sz w:val="24"/>
        </w:rPr>
        <w:t xml:space="preserve">法定代表人或被授权人（签字或盖章）:  </w:t>
      </w:r>
    </w:p>
    <w:p w14:paraId="25558413">
      <w:pPr>
        <w:spacing w:line="500" w:lineRule="exact"/>
        <w:ind w:firstLine="4080" w:firstLineChars="1700"/>
        <w:rPr>
          <w:rFonts w:ascii="仿宋" w:hAnsi="仿宋" w:eastAsia="仿宋" w:cs="仿宋"/>
          <w:kern w:val="0"/>
          <w:sz w:val="24"/>
          <w:szCs w:val="20"/>
          <w:u w:val="single"/>
        </w:rPr>
      </w:pPr>
      <w:r>
        <w:rPr>
          <w:rFonts w:hint="eastAsia" w:ascii="仿宋" w:hAnsi="仿宋" w:eastAsia="仿宋" w:cs="仿宋"/>
          <w:kern w:val="0"/>
          <w:sz w:val="24"/>
          <w:szCs w:val="20"/>
        </w:rPr>
        <w:t>日          期：</w:t>
      </w:r>
    </w:p>
    <w:p w14:paraId="50F78D51">
      <w:pPr>
        <w:spacing w:line="300" w:lineRule="exact"/>
        <w:ind w:firstLine="494" w:firstLineChars="200"/>
        <w:rPr>
          <w:rFonts w:ascii="仿宋" w:hAnsi="仿宋" w:eastAsia="仿宋" w:cs="仿宋"/>
          <w:b/>
          <w:bCs/>
          <w:spacing w:val="13"/>
          <w:sz w:val="22"/>
          <w:szCs w:val="22"/>
        </w:rPr>
      </w:pPr>
    </w:p>
    <w:p w14:paraId="00C763A6">
      <w:pPr>
        <w:spacing w:line="300" w:lineRule="exact"/>
        <w:ind w:firstLine="494" w:firstLineChars="200"/>
        <w:rPr>
          <w:rFonts w:ascii="仿宋" w:hAnsi="仿宋" w:eastAsia="仿宋" w:cs="仿宋"/>
          <w:b/>
          <w:bCs/>
          <w:spacing w:val="13"/>
          <w:sz w:val="22"/>
          <w:szCs w:val="22"/>
        </w:rPr>
      </w:pPr>
    </w:p>
    <w:p w14:paraId="2C60DA5F">
      <w:pPr>
        <w:spacing w:line="300" w:lineRule="exact"/>
        <w:ind w:firstLine="534" w:firstLineChars="200"/>
        <w:rPr>
          <w:rFonts w:ascii="仿宋" w:hAnsi="仿宋" w:eastAsia="仿宋" w:cs="仿宋"/>
          <w:spacing w:val="13"/>
          <w:sz w:val="24"/>
        </w:rPr>
      </w:pPr>
      <w:r>
        <w:rPr>
          <w:rFonts w:hint="eastAsia" w:ascii="仿宋" w:hAnsi="仿宋" w:eastAsia="仿宋" w:cs="仿宋"/>
          <w:b/>
          <w:bCs/>
          <w:spacing w:val="13"/>
          <w:sz w:val="24"/>
        </w:rPr>
        <w:t>备注：</w:t>
      </w:r>
      <w:r>
        <w:rPr>
          <w:rFonts w:hint="eastAsia" w:ascii="仿宋" w:hAnsi="仿宋" w:eastAsia="仿宋" w:cs="仿宋"/>
          <w:spacing w:val="13"/>
          <w:sz w:val="24"/>
        </w:rPr>
        <w:t>项目不分标段的，第</w:t>
      </w:r>
      <w:r>
        <w:rPr>
          <w:rFonts w:hint="eastAsia" w:ascii="仿宋" w:hAnsi="仿宋" w:eastAsia="仿宋" w:cs="仿宋"/>
          <w:spacing w:val="13"/>
          <w:sz w:val="24"/>
          <w:u w:val="single"/>
        </w:rPr>
        <w:t xml:space="preserve">     </w:t>
      </w:r>
      <w:r>
        <w:rPr>
          <w:rFonts w:hint="eastAsia" w:ascii="仿宋" w:hAnsi="仿宋" w:eastAsia="仿宋" w:cs="仿宋"/>
          <w:spacing w:val="13"/>
          <w:sz w:val="24"/>
        </w:rPr>
        <w:t>标段空白处填写“/ ”。</w:t>
      </w:r>
    </w:p>
    <w:p w14:paraId="16A3839F">
      <w:pPr>
        <w:spacing w:line="300" w:lineRule="exact"/>
        <w:ind w:firstLine="532" w:firstLineChars="200"/>
        <w:rPr>
          <w:rFonts w:ascii="仿宋" w:hAnsi="仿宋" w:eastAsia="仿宋" w:cs="仿宋"/>
          <w:spacing w:val="13"/>
          <w:sz w:val="24"/>
        </w:rPr>
      </w:pPr>
      <w:r>
        <w:rPr>
          <w:rFonts w:hint="eastAsia" w:ascii="仿宋" w:hAnsi="仿宋" w:eastAsia="仿宋" w:cs="仿宋"/>
          <w:spacing w:val="13"/>
          <w:sz w:val="24"/>
        </w:rPr>
        <w:t>根据《财政部 民政部 中国残疾人联合会关于促进残疾人就业政府采购政策的通知》（财库[2017] 141 号） 的规定：</w:t>
      </w:r>
    </w:p>
    <w:p w14:paraId="2A3C1E83">
      <w:pPr>
        <w:spacing w:line="300" w:lineRule="exact"/>
        <w:ind w:firstLine="266" w:firstLineChars="100"/>
        <w:rPr>
          <w:rFonts w:ascii="仿宋" w:hAnsi="仿宋" w:eastAsia="仿宋" w:cs="仿宋"/>
          <w:spacing w:val="13"/>
          <w:sz w:val="24"/>
        </w:rPr>
      </w:pPr>
      <w:r>
        <w:rPr>
          <w:rFonts w:hint="eastAsia" w:ascii="仿宋" w:hAnsi="仿宋" w:eastAsia="仿宋" w:cs="仿宋"/>
          <w:spacing w:val="13"/>
          <w:sz w:val="24"/>
        </w:rPr>
        <w:t>一、享受政府采购支持政策的残疾人福利性单位应当同时满足以下条件：</w:t>
      </w:r>
    </w:p>
    <w:p w14:paraId="45C41602">
      <w:pPr>
        <w:spacing w:line="300" w:lineRule="exact"/>
        <w:ind w:firstLine="532" w:firstLineChars="200"/>
        <w:rPr>
          <w:rFonts w:ascii="仿宋" w:hAnsi="仿宋" w:eastAsia="仿宋" w:cs="仿宋"/>
          <w:spacing w:val="13"/>
          <w:sz w:val="24"/>
        </w:rPr>
      </w:pPr>
      <w:r>
        <w:rPr>
          <w:rFonts w:hint="eastAsia" w:ascii="仿宋" w:hAnsi="仿宋" w:eastAsia="仿宋" w:cs="仿宋"/>
          <w:spacing w:val="13"/>
          <w:sz w:val="24"/>
        </w:rPr>
        <w:t>（一）安置的残疾人占本单位在职职工人数的比例不低于 25%（含 25%），并且安置的残疾人人数不少于 10 人（含 10 人）；</w:t>
      </w:r>
    </w:p>
    <w:p w14:paraId="0E49710E">
      <w:pPr>
        <w:spacing w:line="300" w:lineRule="exact"/>
        <w:ind w:firstLine="532" w:firstLineChars="200"/>
        <w:rPr>
          <w:rFonts w:ascii="仿宋" w:hAnsi="仿宋" w:eastAsia="仿宋" w:cs="仿宋"/>
          <w:spacing w:val="13"/>
          <w:sz w:val="24"/>
        </w:rPr>
      </w:pPr>
      <w:r>
        <w:rPr>
          <w:rFonts w:hint="eastAsia" w:ascii="仿宋" w:hAnsi="仿宋" w:eastAsia="仿宋" w:cs="仿宋"/>
          <w:spacing w:val="13"/>
          <w:sz w:val="24"/>
        </w:rPr>
        <w:t>（二）依法与安置的每位残疾人签订了一年以上（含一年）的劳动合同或服务协议；</w:t>
      </w:r>
    </w:p>
    <w:p w14:paraId="513B5E09">
      <w:pPr>
        <w:spacing w:line="300" w:lineRule="exact"/>
        <w:ind w:firstLine="532" w:firstLineChars="200"/>
        <w:rPr>
          <w:rFonts w:ascii="仿宋" w:hAnsi="仿宋" w:eastAsia="仿宋" w:cs="仿宋"/>
          <w:spacing w:val="13"/>
          <w:sz w:val="24"/>
        </w:rPr>
      </w:pPr>
      <w:r>
        <w:rPr>
          <w:rFonts w:hint="eastAsia" w:ascii="仿宋" w:hAnsi="仿宋" w:eastAsia="仿宋" w:cs="仿宋"/>
          <w:spacing w:val="13"/>
          <w:sz w:val="24"/>
        </w:rPr>
        <w:t>（三）为安置的每位残疾人按月足额缴纳了基本养老保险、基本医疗保险、失业保险、工伤保险和生育保险等社会保险费；</w:t>
      </w:r>
    </w:p>
    <w:p w14:paraId="3DB7408F">
      <w:pPr>
        <w:spacing w:line="300" w:lineRule="exact"/>
        <w:ind w:firstLine="532" w:firstLineChars="200"/>
        <w:rPr>
          <w:rFonts w:ascii="仿宋" w:hAnsi="仿宋" w:eastAsia="仿宋" w:cs="仿宋"/>
          <w:spacing w:val="13"/>
          <w:sz w:val="24"/>
        </w:rPr>
      </w:pPr>
      <w:r>
        <w:rPr>
          <w:rFonts w:hint="eastAsia" w:ascii="仿宋" w:hAnsi="仿宋" w:eastAsia="仿宋" w:cs="仿宋"/>
          <w:spacing w:val="13"/>
          <w:sz w:val="24"/>
        </w:rPr>
        <w:t>（四）通过银行等金融机构向安置的每位残疾人，按月支付了不低于单位所在区县适用的经省级人民政府批准的月最低工资标准的工资；</w:t>
      </w:r>
    </w:p>
    <w:p w14:paraId="0E6ABDDA">
      <w:pPr>
        <w:spacing w:line="300" w:lineRule="exact"/>
        <w:ind w:firstLine="532" w:firstLineChars="200"/>
        <w:rPr>
          <w:rFonts w:ascii="仿宋" w:hAnsi="仿宋" w:eastAsia="仿宋" w:cs="仿宋"/>
          <w:spacing w:val="13"/>
          <w:sz w:val="24"/>
        </w:rPr>
      </w:pPr>
      <w:r>
        <w:rPr>
          <w:rFonts w:hint="eastAsia" w:ascii="仿宋" w:hAnsi="仿宋" w:eastAsia="仿宋" w:cs="仿宋"/>
          <w:spacing w:val="13"/>
          <w:sz w:val="24"/>
        </w:rPr>
        <w:t>（五）提供本单位制造的货物、承担的工程或者服务（以下简称产品），或者提供其他残疾人福利性单位制造的货物（不包括使用非残疾人福利性单位注册商标的货物）。</w:t>
      </w:r>
    </w:p>
    <w:p w14:paraId="361D62A5">
      <w:pPr>
        <w:spacing w:line="300" w:lineRule="exact"/>
        <w:rPr>
          <w:rFonts w:ascii="仿宋" w:hAnsi="仿宋" w:eastAsia="仿宋" w:cs="仿宋"/>
          <w:spacing w:val="13"/>
          <w:sz w:val="24"/>
        </w:rPr>
      </w:pPr>
      <w:r>
        <w:rPr>
          <w:rFonts w:hint="eastAsia" w:ascii="仿宋" w:hAnsi="仿宋" w:eastAsia="仿宋" w:cs="仿宋"/>
          <w:spacing w:val="13"/>
          <w:sz w:val="24"/>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4990BED6">
      <w:pPr>
        <w:spacing w:line="300" w:lineRule="exact"/>
        <w:ind w:firstLine="798" w:firstLineChars="300"/>
        <w:rPr>
          <w:rFonts w:ascii="仿宋" w:hAnsi="仿宋" w:eastAsia="仿宋" w:cs="仿宋"/>
          <w:sz w:val="24"/>
        </w:rPr>
        <w:sectPr>
          <w:pgSz w:w="11906" w:h="16838"/>
          <w:pgMar w:top="1417" w:right="1249" w:bottom="1417" w:left="1417" w:header="850" w:footer="992" w:gutter="0"/>
          <w:cols w:space="0" w:num="1"/>
          <w:docGrid w:type="lines" w:linePitch="312" w:charSpace="0"/>
        </w:sectPr>
      </w:pPr>
      <w:r>
        <w:rPr>
          <w:rFonts w:hint="eastAsia" w:ascii="仿宋" w:hAnsi="仿宋" w:eastAsia="仿宋" w:cs="仿宋"/>
          <w:spacing w:val="13"/>
          <w:sz w:val="24"/>
        </w:rPr>
        <w:t>二、中标、成交投标人为残疾人福利性单位的，采购人或者其委托的采购代理机构应当随中标、成交结果同时公告其《残疾人福利性单位声明函》，接受社会监督。</w:t>
      </w:r>
    </w:p>
    <w:p w14:paraId="41AFBCDC">
      <w:pPr>
        <w:widowControl/>
        <w:spacing w:line="360" w:lineRule="auto"/>
        <w:rPr>
          <w:rFonts w:ascii="仿宋" w:hAnsi="仿宋" w:eastAsia="仿宋" w:cs="仿宋"/>
          <w:bCs/>
          <w:sz w:val="28"/>
          <w:szCs w:val="28"/>
        </w:rPr>
      </w:pPr>
      <w:r>
        <w:rPr>
          <w:rFonts w:hint="eastAsia" w:ascii="仿宋" w:hAnsi="仿宋" w:eastAsia="仿宋" w:cs="仿宋"/>
          <w:b/>
          <w:sz w:val="28"/>
          <w:szCs w:val="28"/>
        </w:rPr>
        <w:t>附件9：</w:t>
      </w:r>
    </w:p>
    <w:p w14:paraId="35C8EF3E">
      <w:pPr>
        <w:widowControl/>
        <w:spacing w:line="360" w:lineRule="auto"/>
        <w:jc w:val="center"/>
        <w:rPr>
          <w:rFonts w:ascii="仿宋" w:hAnsi="仿宋" w:eastAsia="仿宋" w:cs="仿宋"/>
          <w:b/>
          <w:kern w:val="0"/>
          <w:sz w:val="28"/>
          <w:szCs w:val="28"/>
          <w:lang w:val="zh-CN"/>
        </w:rPr>
      </w:pPr>
      <w:r>
        <w:rPr>
          <w:rFonts w:hint="eastAsia" w:ascii="仿宋" w:hAnsi="仿宋" w:eastAsia="仿宋" w:cs="仿宋"/>
          <w:b/>
          <w:kern w:val="0"/>
          <w:sz w:val="28"/>
          <w:szCs w:val="28"/>
          <w:lang w:val="zh-CN"/>
        </w:rPr>
        <w:t>监狱、戒毒企业声明函</w:t>
      </w:r>
    </w:p>
    <w:p w14:paraId="345D088C">
      <w:pPr>
        <w:pStyle w:val="10"/>
        <w:spacing w:line="360" w:lineRule="auto"/>
        <w:ind w:firstLine="964" w:firstLineChars="400"/>
        <w:rPr>
          <w:rFonts w:ascii="仿宋_GB2312" w:hAnsi="仿宋_GB2312" w:eastAsia="仿宋_GB2312" w:cs="仿宋_GB2312"/>
          <w:b/>
          <w:sz w:val="28"/>
          <w:lang w:eastAsia="zh-CN"/>
        </w:rPr>
      </w:pPr>
      <w:r>
        <w:rPr>
          <w:rFonts w:hint="eastAsia" w:ascii="仿宋" w:hAnsi="仿宋" w:eastAsia="仿宋" w:cs="仿宋"/>
          <w:b/>
          <w:szCs w:val="24"/>
          <w:lang w:eastAsia="zh-CN"/>
        </w:rPr>
        <w:t>（注：符合</w:t>
      </w:r>
      <w:r>
        <w:rPr>
          <w:rFonts w:hint="eastAsia" w:ascii="仿宋" w:hAnsi="仿宋" w:eastAsia="仿宋" w:cs="仿宋"/>
          <w:b/>
          <w:szCs w:val="24"/>
          <w:lang w:val="zh-CN" w:eastAsia="zh-CN"/>
        </w:rPr>
        <w:t>监狱、戒毒企业</w:t>
      </w:r>
      <w:r>
        <w:rPr>
          <w:rFonts w:hint="eastAsia" w:ascii="仿宋" w:hAnsi="仿宋" w:eastAsia="仿宋" w:cs="仿宋"/>
          <w:b/>
          <w:szCs w:val="24"/>
          <w:lang w:eastAsia="zh-CN"/>
        </w:rPr>
        <w:t>的企业请提供本函，不符合的不提供本函）</w:t>
      </w:r>
    </w:p>
    <w:p w14:paraId="07C8264B">
      <w:pPr>
        <w:spacing w:line="480" w:lineRule="auto"/>
        <w:ind w:firstLine="482"/>
        <w:rPr>
          <w:rFonts w:ascii="仿宋_GB2312" w:hAnsi="仿宋_GB2312" w:eastAsia="仿宋_GB2312" w:cs="仿宋_GB2312"/>
          <w:sz w:val="24"/>
        </w:rPr>
      </w:pPr>
      <w:r>
        <w:rPr>
          <w:rFonts w:hint="eastAsia" w:ascii="仿宋_GB2312" w:hAnsi="仿宋_GB2312" w:eastAsia="仿宋_GB2312" w:cs="仿宋_GB2312"/>
          <w:sz w:val="24"/>
        </w:rPr>
        <w:t>本单位郑重声明，根据《财政部司法部关于政府采购支持监狱企业发展有关问题的通知》（财库[2014]68号）的规定，本单位为符合条件的监狱、戒毒企业，且本单位参加的</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项目采购活动提供本单位制造的货物（由本单位承担工程/提供服务），或者提供其他监狱、戒毒企业制造的货物（不包括使用非监狱、戒毒企业注册商标的货物）。</w:t>
      </w:r>
    </w:p>
    <w:p w14:paraId="4E2F847D">
      <w:pPr>
        <w:spacing w:line="480" w:lineRule="auto"/>
        <w:ind w:firstLine="482"/>
        <w:rPr>
          <w:rFonts w:ascii="仿宋_GB2312" w:hAnsi="仿宋_GB2312" w:eastAsia="仿宋_GB2312" w:cs="仿宋_GB2312"/>
          <w:sz w:val="28"/>
          <w:szCs w:val="28"/>
        </w:rPr>
      </w:pPr>
      <w:r>
        <w:rPr>
          <w:rFonts w:hint="eastAsia" w:ascii="仿宋_GB2312" w:hAnsi="仿宋_GB2312" w:eastAsia="仿宋_GB2312" w:cs="仿宋_GB2312"/>
          <w:sz w:val="24"/>
        </w:rPr>
        <w:t>本单位对上述声明的真实性负责。如有虚假，将依法承担相应责任。</w:t>
      </w:r>
    </w:p>
    <w:p w14:paraId="03A0F797">
      <w:pPr>
        <w:spacing w:line="360" w:lineRule="auto"/>
        <w:ind w:firstLine="480"/>
        <w:rPr>
          <w:rFonts w:ascii="仿宋_GB2312" w:hAnsi="仿宋_GB2312" w:eastAsia="仿宋_GB2312" w:cs="仿宋_GB2312"/>
          <w:sz w:val="28"/>
          <w:szCs w:val="28"/>
        </w:rPr>
      </w:pPr>
    </w:p>
    <w:p w14:paraId="7FAC6019">
      <w:pPr>
        <w:spacing w:line="500" w:lineRule="exact"/>
        <w:ind w:firstLine="2880" w:firstLineChars="1200"/>
        <w:rPr>
          <w:rFonts w:ascii="仿宋" w:hAnsi="仿宋" w:eastAsia="仿宋" w:cs="仿宋"/>
          <w:kern w:val="0"/>
          <w:sz w:val="24"/>
          <w:u w:val="single"/>
        </w:rPr>
      </w:pPr>
      <w:r>
        <w:rPr>
          <w:rFonts w:hint="eastAsia" w:ascii="仿宋" w:hAnsi="仿宋" w:eastAsia="仿宋" w:cs="仿宋"/>
          <w:kern w:val="0"/>
          <w:sz w:val="24"/>
        </w:rPr>
        <w:t>监狱戒毒企业（盖公章）：</w:t>
      </w:r>
      <w:r>
        <w:rPr>
          <w:rFonts w:hint="eastAsia" w:ascii="仿宋" w:hAnsi="仿宋" w:eastAsia="仿宋" w:cs="仿宋"/>
          <w:kern w:val="0"/>
          <w:sz w:val="24"/>
          <w:u w:val="single"/>
        </w:rPr>
        <w:t xml:space="preserve">                  </w:t>
      </w:r>
    </w:p>
    <w:p w14:paraId="4D581CF0">
      <w:pPr>
        <w:spacing w:line="500" w:lineRule="exact"/>
        <w:ind w:firstLine="2880" w:firstLineChars="1200"/>
        <w:rPr>
          <w:rFonts w:ascii="仿宋" w:hAnsi="仿宋" w:eastAsia="仿宋" w:cs="仿宋"/>
          <w:kern w:val="0"/>
          <w:sz w:val="24"/>
        </w:rPr>
      </w:pPr>
      <w:r>
        <w:rPr>
          <w:rFonts w:hint="eastAsia" w:ascii="仿宋" w:hAnsi="仿宋" w:eastAsia="仿宋" w:cs="仿宋"/>
          <w:kern w:val="0"/>
          <w:sz w:val="24"/>
        </w:rPr>
        <w:t>法定代表人或被授权人</w:t>
      </w:r>
      <w:r>
        <w:rPr>
          <w:rFonts w:hint="eastAsia" w:ascii="仿宋" w:hAnsi="仿宋" w:eastAsia="仿宋" w:cs="仿宋"/>
          <w:sz w:val="24"/>
        </w:rPr>
        <w:t>（签字或盖章）</w:t>
      </w:r>
      <w:r>
        <w:rPr>
          <w:rFonts w:hint="eastAsia" w:ascii="仿宋" w:hAnsi="仿宋" w:eastAsia="仿宋" w:cs="仿宋"/>
          <w:kern w:val="0"/>
          <w:sz w:val="24"/>
        </w:rPr>
        <w:t xml:space="preserve">:  </w:t>
      </w:r>
      <w:r>
        <w:rPr>
          <w:rFonts w:hint="eastAsia" w:ascii="仿宋" w:hAnsi="仿宋" w:eastAsia="仿宋" w:cs="仿宋"/>
          <w:kern w:val="0"/>
          <w:sz w:val="24"/>
          <w:u w:val="single"/>
        </w:rPr>
        <w:t xml:space="preserve">             </w:t>
      </w:r>
      <w:r>
        <w:rPr>
          <w:rFonts w:hint="eastAsia" w:ascii="仿宋" w:hAnsi="仿宋" w:eastAsia="仿宋" w:cs="仿宋"/>
          <w:kern w:val="0"/>
          <w:sz w:val="24"/>
        </w:rPr>
        <w:t xml:space="preserve">         </w:t>
      </w:r>
    </w:p>
    <w:p w14:paraId="71AD241D">
      <w:pPr>
        <w:tabs>
          <w:tab w:val="left" w:pos="4860"/>
        </w:tabs>
        <w:spacing w:line="360" w:lineRule="auto"/>
        <w:ind w:right="1560" w:firstLine="2880" w:firstLineChars="1200"/>
        <w:rPr>
          <w:rFonts w:ascii="仿宋_GB2312" w:hAnsi="仿宋_GB2312" w:eastAsia="仿宋_GB2312" w:cs="仿宋_GB2312"/>
          <w:sz w:val="28"/>
          <w:szCs w:val="28"/>
        </w:rPr>
      </w:pPr>
      <w:r>
        <w:rPr>
          <w:rFonts w:hint="eastAsia" w:ascii="仿宋" w:hAnsi="仿宋" w:eastAsia="仿宋" w:cs="仿宋"/>
          <w:kern w:val="0"/>
          <w:sz w:val="24"/>
        </w:rPr>
        <w:t>日          期：</w:t>
      </w:r>
      <w:r>
        <w:rPr>
          <w:rFonts w:hint="eastAsia" w:ascii="仿宋" w:hAnsi="仿宋" w:eastAsia="仿宋" w:cs="仿宋"/>
          <w:kern w:val="0"/>
          <w:sz w:val="24"/>
          <w:u w:val="single"/>
        </w:rPr>
        <w:t xml:space="preserve">                          </w:t>
      </w:r>
    </w:p>
    <w:p w14:paraId="40155B98">
      <w:pPr>
        <w:tabs>
          <w:tab w:val="left" w:pos="4860"/>
        </w:tabs>
        <w:spacing w:line="360" w:lineRule="auto"/>
        <w:ind w:right="1560" w:firstLine="560" w:firstLineChars="200"/>
        <w:jc w:val="center"/>
        <w:rPr>
          <w:rFonts w:ascii="仿宋_GB2312" w:hAnsi="仿宋_GB2312" w:eastAsia="仿宋_GB2312" w:cs="仿宋_GB2312"/>
          <w:sz w:val="28"/>
          <w:szCs w:val="28"/>
        </w:rPr>
      </w:pPr>
    </w:p>
    <w:p w14:paraId="2D1D41A2">
      <w:pPr>
        <w:pStyle w:val="10"/>
        <w:ind w:firstLine="560"/>
        <w:rPr>
          <w:rFonts w:ascii="仿宋_GB2312" w:hAnsi="仿宋_GB2312" w:eastAsia="仿宋_GB2312" w:cs="仿宋_GB2312"/>
          <w:sz w:val="28"/>
          <w:lang w:eastAsia="zh-CN"/>
        </w:rPr>
      </w:pPr>
    </w:p>
    <w:p w14:paraId="0BCEEBB7">
      <w:pPr>
        <w:pStyle w:val="21"/>
      </w:pPr>
    </w:p>
    <w:p w14:paraId="06164612">
      <w:pPr>
        <w:spacing w:line="440" w:lineRule="exact"/>
        <w:jc w:val="left"/>
        <w:rPr>
          <w:rFonts w:ascii="仿宋" w:hAnsi="仿宋" w:eastAsia="仿宋" w:cs="仿宋"/>
          <w:b/>
          <w:bCs/>
          <w:sz w:val="24"/>
        </w:rPr>
      </w:pPr>
      <w:r>
        <w:rPr>
          <w:rFonts w:hint="eastAsia" w:ascii="仿宋_GB2312" w:hAnsi="仿宋_GB2312" w:eastAsia="仿宋_GB2312" w:cs="仿宋_GB2312"/>
          <w:sz w:val="22"/>
          <w:szCs w:val="22"/>
        </w:rPr>
        <w:t>备注：未按上述要求提供、填写的，评审时不予考虑。供应商提供的《监狱、戒毒企业声明函》必须真实有效，供应商应当提供由省级以上监狱管理局、戒毒管理局(含新疆生产建设兵团)出具的属于监狱企业的证明文件</w:t>
      </w:r>
      <w:r>
        <w:rPr>
          <w:rFonts w:hint="eastAsia" w:ascii="仿宋_GB2312" w:hAnsi="仿宋_GB2312" w:eastAsia="仿宋_GB2312" w:cs="仿宋_GB2312"/>
          <w:sz w:val="28"/>
          <w:szCs w:val="28"/>
        </w:rPr>
        <w:t>。</w:t>
      </w:r>
    </w:p>
    <w:p w14:paraId="4F803B8D">
      <w:pPr>
        <w:spacing w:line="360" w:lineRule="auto"/>
        <w:ind w:firstLine="482" w:firstLineChars="200"/>
        <w:rPr>
          <w:rFonts w:ascii="仿宋" w:hAnsi="仿宋" w:eastAsia="仿宋" w:cs="仿宋"/>
          <w:b/>
          <w:bCs/>
          <w:sz w:val="24"/>
          <w:shd w:val="clear" w:color="auto" w:fill="FFFFFF"/>
        </w:rPr>
      </w:pPr>
    </w:p>
    <w:p w14:paraId="285C98D1">
      <w:pPr>
        <w:spacing w:line="360" w:lineRule="auto"/>
        <w:jc w:val="center"/>
        <w:outlineLvl w:val="1"/>
        <w:rPr>
          <w:rFonts w:ascii="仿宋" w:hAnsi="仿宋" w:eastAsia="仿宋" w:cs="仿宋"/>
          <w:b/>
          <w:bCs/>
          <w:sz w:val="28"/>
          <w:szCs w:val="28"/>
        </w:rPr>
      </w:pPr>
      <w:r>
        <w:rPr>
          <w:rFonts w:hint="eastAsia" w:ascii="仿宋" w:hAnsi="仿宋" w:eastAsia="仿宋" w:cs="仿宋"/>
          <w:b/>
          <w:sz w:val="28"/>
        </w:rPr>
        <w:br w:type="page"/>
      </w:r>
      <w:bookmarkStart w:id="84" w:name="_Toc24598"/>
      <w:r>
        <w:rPr>
          <w:rFonts w:hint="eastAsia" w:ascii="仿宋" w:hAnsi="仿宋" w:eastAsia="仿宋" w:cs="仿宋"/>
          <w:b/>
          <w:bCs/>
          <w:sz w:val="28"/>
          <w:szCs w:val="28"/>
        </w:rPr>
        <w:t>四、</w:t>
      </w:r>
      <w:bookmarkEnd w:id="84"/>
      <w:r>
        <w:rPr>
          <w:rFonts w:hint="eastAsia" w:ascii="仿宋" w:hAnsi="仿宋" w:eastAsia="仿宋" w:cs="仿宋"/>
          <w:b/>
          <w:bCs/>
          <w:sz w:val="28"/>
          <w:szCs w:val="28"/>
        </w:rPr>
        <w:t>商务和服务响应说明</w:t>
      </w:r>
    </w:p>
    <w:p w14:paraId="3D35B15A">
      <w:pPr>
        <w:adjustRightInd w:val="0"/>
        <w:snapToGrid w:val="0"/>
        <w:spacing w:line="360" w:lineRule="auto"/>
        <w:jc w:val="center"/>
        <w:rPr>
          <w:rFonts w:ascii="仿宋" w:hAnsi="仿宋" w:eastAsia="仿宋" w:cs="仿宋"/>
          <w:b/>
          <w:bCs/>
          <w:sz w:val="28"/>
          <w:szCs w:val="28"/>
        </w:rPr>
      </w:pPr>
      <w:r>
        <w:rPr>
          <w:rFonts w:hint="eastAsia" w:ascii="仿宋" w:hAnsi="仿宋" w:eastAsia="仿宋" w:cs="仿宋"/>
          <w:b/>
          <w:bCs/>
          <w:sz w:val="28"/>
          <w:szCs w:val="28"/>
        </w:rPr>
        <w:t>1、商务偏离表</w:t>
      </w:r>
    </w:p>
    <w:tbl>
      <w:tblPr>
        <w:tblStyle w:val="25"/>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2000"/>
        <w:gridCol w:w="2696"/>
        <w:gridCol w:w="1824"/>
        <w:gridCol w:w="1824"/>
      </w:tblGrid>
      <w:tr w14:paraId="6C252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27A680EF">
            <w:pPr>
              <w:pStyle w:val="12"/>
              <w:spacing w:before="120"/>
              <w:ind w:left="0" w:right="34"/>
              <w:jc w:val="center"/>
              <w:rPr>
                <w:rFonts w:ascii="仿宋" w:hAnsi="仿宋" w:eastAsia="仿宋"/>
                <w:b/>
              </w:rPr>
            </w:pPr>
            <w:r>
              <w:rPr>
                <w:rFonts w:hint="eastAsia" w:ascii="仿宋" w:hAnsi="仿宋" w:eastAsia="仿宋"/>
                <w:b/>
              </w:rPr>
              <w:t>序号</w:t>
            </w:r>
          </w:p>
        </w:tc>
        <w:tc>
          <w:tcPr>
            <w:tcW w:w="2000" w:type="dxa"/>
            <w:tcBorders>
              <w:top w:val="single" w:color="auto" w:sz="4" w:space="0"/>
              <w:left w:val="nil"/>
              <w:bottom w:val="single" w:color="auto" w:sz="4" w:space="0"/>
              <w:right w:val="single" w:color="auto" w:sz="4" w:space="0"/>
            </w:tcBorders>
            <w:noWrap/>
            <w:vAlign w:val="center"/>
          </w:tcPr>
          <w:p w14:paraId="747188AF">
            <w:pPr>
              <w:pStyle w:val="12"/>
              <w:spacing w:before="120"/>
              <w:ind w:left="0" w:right="34"/>
              <w:jc w:val="center"/>
              <w:rPr>
                <w:rFonts w:ascii="仿宋" w:hAnsi="仿宋" w:eastAsia="仿宋"/>
                <w:b/>
              </w:rPr>
            </w:pPr>
            <w:r>
              <w:rPr>
                <w:rFonts w:hint="eastAsia" w:ascii="仿宋" w:hAnsi="仿宋" w:eastAsia="仿宋"/>
                <w:b/>
              </w:rPr>
              <w:t>协商要求</w:t>
            </w:r>
          </w:p>
        </w:tc>
        <w:tc>
          <w:tcPr>
            <w:tcW w:w="2696" w:type="dxa"/>
            <w:tcBorders>
              <w:top w:val="single" w:color="auto" w:sz="4" w:space="0"/>
              <w:left w:val="nil"/>
              <w:bottom w:val="single" w:color="auto" w:sz="4" w:space="0"/>
              <w:right w:val="single" w:color="auto" w:sz="4" w:space="0"/>
            </w:tcBorders>
            <w:noWrap/>
            <w:vAlign w:val="center"/>
          </w:tcPr>
          <w:p w14:paraId="5E0D4EAA">
            <w:pPr>
              <w:pStyle w:val="12"/>
              <w:spacing w:before="120"/>
              <w:ind w:left="0" w:right="34"/>
              <w:jc w:val="center"/>
              <w:rPr>
                <w:rFonts w:ascii="仿宋" w:hAnsi="仿宋" w:eastAsia="仿宋"/>
                <w:b/>
              </w:rPr>
            </w:pPr>
            <w:r>
              <w:rPr>
                <w:rFonts w:hint="eastAsia" w:ascii="仿宋" w:hAnsi="仿宋" w:eastAsia="仿宋"/>
                <w:b/>
              </w:rPr>
              <w:t>响应内容</w:t>
            </w:r>
          </w:p>
        </w:tc>
        <w:tc>
          <w:tcPr>
            <w:tcW w:w="1824" w:type="dxa"/>
            <w:tcBorders>
              <w:top w:val="single" w:color="auto" w:sz="4" w:space="0"/>
              <w:left w:val="nil"/>
              <w:bottom w:val="single" w:color="auto" w:sz="4" w:space="0"/>
              <w:right w:val="single" w:color="auto" w:sz="4" w:space="0"/>
            </w:tcBorders>
            <w:noWrap/>
            <w:vAlign w:val="center"/>
          </w:tcPr>
          <w:p w14:paraId="144E5209">
            <w:pPr>
              <w:pStyle w:val="12"/>
              <w:spacing w:before="120"/>
              <w:ind w:left="0" w:right="34"/>
              <w:jc w:val="center"/>
              <w:rPr>
                <w:rFonts w:ascii="仿宋" w:hAnsi="仿宋" w:eastAsia="仿宋"/>
                <w:b/>
              </w:rPr>
            </w:pPr>
            <w:r>
              <w:rPr>
                <w:rFonts w:hint="eastAsia" w:ascii="仿宋" w:hAnsi="仿宋" w:eastAsia="仿宋"/>
                <w:b/>
              </w:rPr>
              <w:t>偏离</w:t>
            </w:r>
          </w:p>
        </w:tc>
        <w:tc>
          <w:tcPr>
            <w:tcW w:w="1824" w:type="dxa"/>
            <w:tcBorders>
              <w:top w:val="single" w:color="auto" w:sz="4" w:space="0"/>
              <w:left w:val="nil"/>
              <w:bottom w:val="single" w:color="auto" w:sz="4" w:space="0"/>
              <w:right w:val="single" w:color="auto" w:sz="4" w:space="0"/>
            </w:tcBorders>
            <w:noWrap/>
            <w:vAlign w:val="center"/>
          </w:tcPr>
          <w:p w14:paraId="40B0EEC4">
            <w:pPr>
              <w:pStyle w:val="12"/>
              <w:spacing w:before="120"/>
              <w:ind w:left="0" w:right="34"/>
              <w:jc w:val="center"/>
              <w:rPr>
                <w:rFonts w:ascii="仿宋" w:hAnsi="仿宋" w:eastAsia="仿宋"/>
                <w:b/>
              </w:rPr>
            </w:pPr>
            <w:r>
              <w:rPr>
                <w:rFonts w:hint="eastAsia" w:ascii="仿宋" w:hAnsi="仿宋" w:eastAsia="仿宋"/>
                <w:b/>
              </w:rPr>
              <w:t>备注</w:t>
            </w:r>
          </w:p>
        </w:tc>
      </w:tr>
      <w:tr w14:paraId="42770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0930EA67">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6A1EEE23">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562402C4">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049E9671">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61274D43">
            <w:pPr>
              <w:pStyle w:val="12"/>
              <w:spacing w:before="120"/>
              <w:ind w:right="34"/>
              <w:jc w:val="center"/>
              <w:rPr>
                <w:rFonts w:ascii="仿宋" w:hAnsi="仿宋" w:eastAsia="仿宋"/>
                <w:b/>
              </w:rPr>
            </w:pPr>
          </w:p>
        </w:tc>
      </w:tr>
      <w:tr w14:paraId="119AB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4D70FA7E">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2DA6BCC2">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77D25630">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349E60D4">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29579661">
            <w:pPr>
              <w:pStyle w:val="12"/>
              <w:spacing w:before="120"/>
              <w:ind w:right="34"/>
              <w:jc w:val="center"/>
              <w:rPr>
                <w:rFonts w:ascii="仿宋" w:hAnsi="仿宋" w:eastAsia="仿宋"/>
                <w:b/>
              </w:rPr>
            </w:pPr>
          </w:p>
        </w:tc>
      </w:tr>
      <w:tr w14:paraId="7DBFC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7BE1160B">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6B274FBF">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7DC255BE">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7DB5568D">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0F015995">
            <w:pPr>
              <w:pStyle w:val="12"/>
              <w:spacing w:before="120"/>
              <w:ind w:right="34"/>
              <w:jc w:val="center"/>
              <w:rPr>
                <w:rFonts w:ascii="仿宋" w:hAnsi="仿宋" w:eastAsia="仿宋"/>
                <w:b/>
              </w:rPr>
            </w:pPr>
          </w:p>
        </w:tc>
      </w:tr>
      <w:tr w14:paraId="554D1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4" w:type="dxa"/>
            <w:tcBorders>
              <w:top w:val="single" w:color="auto" w:sz="4" w:space="0"/>
              <w:left w:val="single" w:color="auto" w:sz="4" w:space="0"/>
              <w:bottom w:val="single" w:color="auto" w:sz="4" w:space="0"/>
              <w:right w:val="single" w:color="auto" w:sz="4" w:space="0"/>
            </w:tcBorders>
            <w:noWrap/>
            <w:vAlign w:val="center"/>
          </w:tcPr>
          <w:p w14:paraId="2BDA3FD2">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47680DDB">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081E990B">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0DFC049">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6E00BC9C">
            <w:pPr>
              <w:pStyle w:val="12"/>
              <w:spacing w:before="120"/>
              <w:ind w:right="34"/>
              <w:jc w:val="center"/>
              <w:rPr>
                <w:rFonts w:ascii="仿宋" w:hAnsi="仿宋" w:eastAsia="仿宋"/>
                <w:b/>
              </w:rPr>
            </w:pPr>
          </w:p>
        </w:tc>
      </w:tr>
      <w:tr w14:paraId="2C248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7AB63F96">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448CE560">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1E3A87C4">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03E284F7">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7F2C4A12">
            <w:pPr>
              <w:pStyle w:val="12"/>
              <w:spacing w:before="120"/>
              <w:ind w:right="34"/>
              <w:jc w:val="center"/>
              <w:rPr>
                <w:rFonts w:ascii="仿宋" w:hAnsi="仿宋" w:eastAsia="仿宋"/>
                <w:b/>
              </w:rPr>
            </w:pPr>
          </w:p>
        </w:tc>
      </w:tr>
      <w:tr w14:paraId="6340C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5E11E895">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6590707C">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351DEB17">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EBBF75B">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25D4E379">
            <w:pPr>
              <w:pStyle w:val="12"/>
              <w:spacing w:before="120"/>
              <w:ind w:right="34"/>
              <w:jc w:val="center"/>
              <w:rPr>
                <w:rFonts w:ascii="仿宋" w:hAnsi="仿宋" w:eastAsia="仿宋"/>
                <w:b/>
              </w:rPr>
            </w:pPr>
          </w:p>
        </w:tc>
      </w:tr>
      <w:tr w14:paraId="1495E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42223413">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7234D5C5">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6FEA73FE">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237EA9AC">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4632ED2A">
            <w:pPr>
              <w:pStyle w:val="12"/>
              <w:spacing w:before="120"/>
              <w:ind w:right="34"/>
              <w:jc w:val="center"/>
              <w:rPr>
                <w:rFonts w:ascii="仿宋" w:hAnsi="仿宋" w:eastAsia="仿宋"/>
                <w:b/>
              </w:rPr>
            </w:pPr>
          </w:p>
        </w:tc>
      </w:tr>
    </w:tbl>
    <w:p w14:paraId="00067E74">
      <w:pPr>
        <w:spacing w:line="480" w:lineRule="auto"/>
        <w:rPr>
          <w:rFonts w:ascii="仿宋" w:hAnsi="仿宋" w:eastAsia="仿宋" w:cs="仿宋"/>
          <w:sz w:val="24"/>
        </w:rPr>
      </w:pPr>
      <w:r>
        <w:rPr>
          <w:rFonts w:hint="eastAsia" w:ascii="仿宋" w:hAnsi="仿宋" w:eastAsia="仿宋" w:cs="仿宋"/>
          <w:sz w:val="24"/>
        </w:rPr>
        <w:t>注：</w:t>
      </w:r>
    </w:p>
    <w:p w14:paraId="59135BA6">
      <w:pPr>
        <w:pStyle w:val="12"/>
        <w:spacing w:before="120" w:line="360" w:lineRule="auto"/>
        <w:ind w:left="0" w:right="34"/>
        <w:jc w:val="both"/>
        <w:rPr>
          <w:rFonts w:ascii="仿宋" w:hAnsi="仿宋" w:eastAsia="仿宋" w:cs="仿宋"/>
          <w:bCs/>
          <w:lang w:eastAsia="zh-Hans"/>
        </w:rPr>
      </w:pPr>
      <w:r>
        <w:rPr>
          <w:rFonts w:hint="eastAsia" w:ascii="仿宋" w:hAnsi="仿宋" w:eastAsia="仿宋" w:cs="仿宋"/>
          <w:bCs/>
          <w:lang w:eastAsia="zh-Hans"/>
        </w:rPr>
        <w:t>1、本表只填写</w:t>
      </w:r>
      <w:r>
        <w:rPr>
          <w:rFonts w:hint="eastAsia" w:ascii="仿宋" w:hAnsi="仿宋" w:eastAsia="仿宋" w:cs="仿宋"/>
          <w:bCs/>
        </w:rPr>
        <w:t>协商要求</w:t>
      </w:r>
      <w:r>
        <w:rPr>
          <w:rFonts w:hint="eastAsia" w:ascii="仿宋" w:hAnsi="仿宋" w:eastAsia="仿宋" w:cs="仿宋"/>
          <w:bCs/>
          <w:lang w:eastAsia="zh-Hans"/>
        </w:rPr>
        <w:t>与响应内容有偏离（包括正偏离和负偏离）的内容，</w:t>
      </w:r>
      <w:r>
        <w:rPr>
          <w:rFonts w:hint="eastAsia" w:ascii="仿宋" w:hAnsi="仿宋" w:eastAsia="仿宋" w:cs="仿宋"/>
          <w:bCs/>
        </w:rPr>
        <w:t>响应内容</w:t>
      </w:r>
      <w:r>
        <w:rPr>
          <w:rFonts w:hint="eastAsia" w:ascii="仿宋" w:hAnsi="仿宋" w:eastAsia="仿宋" w:cs="仿宋"/>
          <w:bCs/>
          <w:lang w:eastAsia="zh-Hans"/>
        </w:rPr>
        <w:t>中商务响应与</w:t>
      </w:r>
      <w:r>
        <w:rPr>
          <w:rFonts w:hint="eastAsia" w:ascii="仿宋" w:hAnsi="仿宋" w:eastAsia="仿宋" w:cs="仿宋"/>
          <w:bCs/>
        </w:rPr>
        <w:t>采购</w:t>
      </w:r>
      <w:r>
        <w:rPr>
          <w:rFonts w:hint="eastAsia" w:ascii="仿宋" w:hAnsi="仿宋" w:eastAsia="仿宋" w:cs="仿宋"/>
          <w:bCs/>
          <w:lang w:eastAsia="zh-Hans"/>
        </w:rPr>
        <w:t>文件要求完全一致的，不用在此表中列出，</w:t>
      </w:r>
      <w:r>
        <w:rPr>
          <w:rFonts w:hint="eastAsia" w:ascii="仿宋" w:hAnsi="仿宋" w:eastAsia="仿宋" w:cs="仿宋"/>
          <w:b/>
          <w:lang w:eastAsia="zh-Hans"/>
        </w:rPr>
        <w:t>但必须提交空白表</w:t>
      </w:r>
      <w:r>
        <w:rPr>
          <w:rFonts w:hint="eastAsia" w:ascii="仿宋" w:hAnsi="仿宋" w:eastAsia="仿宋" w:cs="仿宋"/>
          <w:bCs/>
          <w:lang w:eastAsia="zh-Hans"/>
        </w:rPr>
        <w:t>。</w:t>
      </w:r>
    </w:p>
    <w:p w14:paraId="31C5BEBF">
      <w:pPr>
        <w:pStyle w:val="12"/>
        <w:spacing w:before="120" w:line="360" w:lineRule="auto"/>
        <w:ind w:left="0" w:right="34"/>
        <w:jc w:val="both"/>
        <w:rPr>
          <w:rFonts w:ascii="仿宋" w:hAnsi="仿宋" w:eastAsia="仿宋" w:cs="仿宋"/>
          <w:bCs/>
          <w:lang w:eastAsia="zh-Hans"/>
        </w:rPr>
      </w:pPr>
      <w:r>
        <w:rPr>
          <w:rFonts w:hint="eastAsia" w:ascii="仿宋" w:hAnsi="仿宋" w:eastAsia="仿宋" w:cs="仿宋"/>
          <w:bCs/>
          <w:lang w:eastAsia="zh-Hans"/>
        </w:rPr>
        <w:t>2、供应商必须据实填写，不得虚假响应，否则将取消其投标/</w:t>
      </w:r>
      <w:r>
        <w:rPr>
          <w:rFonts w:hint="eastAsia" w:ascii="仿宋" w:hAnsi="仿宋" w:eastAsia="仿宋" w:cs="仿宋"/>
          <w:bCs/>
        </w:rPr>
        <w:t>协商</w:t>
      </w:r>
      <w:r>
        <w:rPr>
          <w:rFonts w:hint="eastAsia" w:ascii="仿宋" w:hAnsi="仿宋" w:eastAsia="仿宋" w:cs="仿宋"/>
          <w:bCs/>
          <w:lang w:eastAsia="zh-Hans"/>
        </w:rPr>
        <w:t>或中标/成交资格，并按有关规定进行处罚。</w:t>
      </w:r>
    </w:p>
    <w:p w14:paraId="22F94C87">
      <w:pPr>
        <w:pStyle w:val="12"/>
        <w:spacing w:before="120"/>
        <w:ind w:left="0" w:right="34"/>
        <w:jc w:val="both"/>
        <w:rPr>
          <w:rFonts w:ascii="仿宋" w:hAnsi="仿宋" w:eastAsia="仿宋" w:cs="仿宋"/>
          <w:bCs/>
        </w:rPr>
      </w:pPr>
    </w:p>
    <w:p w14:paraId="610AC09F">
      <w:pPr>
        <w:pStyle w:val="15"/>
        <w:rPr>
          <w:rFonts w:ascii="仿宋" w:hAnsi="仿宋" w:eastAsia="仿宋" w:cs="仿宋"/>
          <w:sz w:val="24"/>
          <w:szCs w:val="24"/>
        </w:rPr>
      </w:pPr>
    </w:p>
    <w:p w14:paraId="43C9CB90">
      <w:pPr>
        <w:spacing w:line="480" w:lineRule="auto"/>
        <w:rPr>
          <w:rFonts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14:paraId="111ED149">
      <w:pPr>
        <w:spacing w:line="360" w:lineRule="auto"/>
        <w:rPr>
          <w:rFonts w:ascii="仿宋" w:hAnsi="仿宋" w:eastAsia="仿宋" w:cs="仿宋"/>
          <w:sz w:val="24"/>
        </w:rPr>
      </w:pPr>
      <w:r>
        <w:rPr>
          <w:rFonts w:hint="eastAsia" w:ascii="仿宋" w:hAnsi="仿宋" w:eastAsia="仿宋" w:cs="仿宋"/>
          <w:sz w:val="24"/>
        </w:rPr>
        <w:t>法定代表人或被授权人：</w:t>
      </w:r>
      <w:r>
        <w:rPr>
          <w:rFonts w:hint="eastAsia" w:ascii="仿宋" w:hAnsi="仿宋" w:eastAsia="仿宋" w:cs="仿宋"/>
          <w:sz w:val="24"/>
          <w:u w:val="single"/>
        </w:rPr>
        <w:t xml:space="preserve">                </w:t>
      </w:r>
      <w:r>
        <w:rPr>
          <w:rFonts w:hint="eastAsia" w:ascii="仿宋" w:hAnsi="仿宋" w:eastAsia="仿宋" w:cs="仿宋"/>
          <w:sz w:val="24"/>
        </w:rPr>
        <w:t>(签字或盖章)</w:t>
      </w:r>
    </w:p>
    <w:p w14:paraId="2D5A4DA3">
      <w:pPr>
        <w:pStyle w:val="13"/>
        <w:spacing w:line="360" w:lineRule="auto"/>
        <w:rPr>
          <w:rFonts w:ascii="仿宋" w:hAnsi="仿宋" w:eastAsia="仿宋" w:cs="仿宋"/>
          <w:b/>
          <w:sz w:val="32"/>
          <w:szCs w:val="32"/>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78580AB2">
      <w:pPr>
        <w:rPr>
          <w:rFonts w:ascii="仿宋" w:hAnsi="仿宋" w:eastAsia="仿宋" w:cs="仿宋"/>
          <w:b/>
          <w:bCs/>
          <w:sz w:val="32"/>
          <w:szCs w:val="32"/>
        </w:rPr>
      </w:pPr>
    </w:p>
    <w:p w14:paraId="78BBDCD5">
      <w:pPr>
        <w:jc w:val="center"/>
        <w:rPr>
          <w:rFonts w:ascii="仿宋" w:hAnsi="仿宋" w:eastAsia="仿宋" w:cs="仿宋"/>
          <w:b/>
          <w:bCs/>
          <w:sz w:val="32"/>
          <w:szCs w:val="32"/>
        </w:rPr>
      </w:pPr>
      <w:r>
        <w:rPr>
          <w:rFonts w:hint="eastAsia" w:ascii="仿宋" w:hAnsi="仿宋" w:eastAsia="仿宋" w:cs="仿宋"/>
          <w:b/>
          <w:bCs/>
          <w:sz w:val="32"/>
          <w:szCs w:val="32"/>
        </w:rPr>
        <w:br w:type="page"/>
      </w:r>
    </w:p>
    <w:p w14:paraId="4356B838">
      <w:pPr>
        <w:pStyle w:val="12"/>
        <w:spacing w:before="120"/>
        <w:ind w:left="0" w:right="34"/>
        <w:jc w:val="center"/>
        <w:rPr>
          <w:rFonts w:ascii="仿宋" w:hAnsi="仿宋" w:eastAsia="仿宋" w:cs="仿宋"/>
          <w:b/>
          <w:bCs/>
          <w:sz w:val="28"/>
          <w:szCs w:val="28"/>
        </w:rPr>
      </w:pPr>
      <w:r>
        <w:rPr>
          <w:rFonts w:hint="eastAsia" w:ascii="仿宋" w:hAnsi="仿宋" w:eastAsia="仿宋" w:cs="仿宋"/>
          <w:b/>
          <w:bCs/>
          <w:sz w:val="28"/>
          <w:szCs w:val="28"/>
        </w:rPr>
        <w:t>2、</w:t>
      </w:r>
      <w:bookmarkStart w:id="85" w:name="_Toc14672"/>
      <w:r>
        <w:rPr>
          <w:rFonts w:hint="eastAsia" w:ascii="仿宋" w:hAnsi="仿宋" w:eastAsia="仿宋" w:cs="仿宋"/>
          <w:b/>
          <w:bCs/>
          <w:sz w:val="28"/>
          <w:szCs w:val="28"/>
        </w:rPr>
        <w:t>服务偏离表</w:t>
      </w:r>
      <w:bookmarkEnd w:id="85"/>
    </w:p>
    <w:p w14:paraId="4B9BBF39">
      <w:pPr>
        <w:pStyle w:val="22"/>
        <w:widowControl w:val="0"/>
        <w:spacing w:before="163" w:beforeLines="50" w:beforeAutospacing="0" w:after="163" w:afterLines="50" w:afterAutospacing="0"/>
        <w:rPr>
          <w:rFonts w:ascii="仿宋" w:hAnsi="仿宋" w:eastAsia="仿宋" w:cs="仿宋"/>
        </w:rPr>
      </w:pPr>
      <w:bookmarkStart w:id="86" w:name="OLE_LINK1"/>
      <w:r>
        <w:rPr>
          <w:rFonts w:hint="eastAsia" w:ascii="仿宋" w:hAnsi="仿宋" w:eastAsia="仿宋" w:cs="仿宋"/>
        </w:rPr>
        <w:t>项目名称：</w:t>
      </w:r>
    </w:p>
    <w:p w14:paraId="764AB20D">
      <w:pPr>
        <w:pStyle w:val="12"/>
        <w:spacing w:before="120"/>
        <w:ind w:left="0" w:right="34"/>
        <w:jc w:val="both"/>
        <w:rPr>
          <w:rFonts w:ascii="仿宋" w:hAnsi="仿宋" w:eastAsia="仿宋" w:cs="仿宋"/>
        </w:rPr>
      </w:pPr>
      <w:r>
        <w:rPr>
          <w:rFonts w:hint="eastAsia" w:ascii="仿宋" w:hAnsi="仿宋" w:eastAsia="仿宋" w:cs="仿宋"/>
        </w:rPr>
        <w:t>项目编号：</w:t>
      </w:r>
    </w:p>
    <w:p w14:paraId="7FD82795">
      <w:pPr>
        <w:pStyle w:val="12"/>
        <w:spacing w:before="120"/>
        <w:ind w:left="0" w:right="34"/>
        <w:jc w:val="both"/>
        <w:rPr>
          <w:rFonts w:ascii="仿宋" w:hAnsi="仿宋" w:eastAsia="仿宋" w:cs="仿宋"/>
        </w:rPr>
      </w:pPr>
      <w:r>
        <w:rPr>
          <w:rFonts w:hint="eastAsia" w:ascii="仿宋" w:hAnsi="仿宋" w:eastAsia="仿宋" w:cs="仿宋"/>
        </w:rPr>
        <w:t>合同包号：</w:t>
      </w:r>
    </w:p>
    <w:bookmarkEnd w:id="86"/>
    <w:tbl>
      <w:tblPr>
        <w:tblStyle w:val="25"/>
        <w:tblW w:w="494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830"/>
        <w:gridCol w:w="2449"/>
        <w:gridCol w:w="2328"/>
        <w:gridCol w:w="2304"/>
        <w:gridCol w:w="1488"/>
      </w:tblGrid>
      <w:tr w14:paraId="524D6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24" w:hRule="atLeast"/>
          <w:jc w:val="center"/>
        </w:trPr>
        <w:tc>
          <w:tcPr>
            <w:tcW w:w="442" w:type="pct"/>
            <w:vAlign w:val="center"/>
          </w:tcPr>
          <w:p w14:paraId="168C4EE4">
            <w:pPr>
              <w:spacing w:line="360" w:lineRule="auto"/>
              <w:jc w:val="center"/>
              <w:rPr>
                <w:rFonts w:ascii="仿宋" w:hAnsi="仿宋" w:eastAsia="仿宋" w:cs="仿宋"/>
                <w:b/>
                <w:bCs/>
                <w:sz w:val="24"/>
              </w:rPr>
            </w:pPr>
            <w:r>
              <w:rPr>
                <w:rFonts w:hint="eastAsia" w:ascii="仿宋" w:hAnsi="仿宋" w:eastAsia="仿宋" w:cs="仿宋"/>
                <w:b/>
                <w:bCs/>
                <w:sz w:val="24"/>
              </w:rPr>
              <w:t>序号</w:t>
            </w:r>
          </w:p>
        </w:tc>
        <w:tc>
          <w:tcPr>
            <w:tcW w:w="1302" w:type="pct"/>
            <w:vAlign w:val="center"/>
          </w:tcPr>
          <w:p w14:paraId="0368AA3F">
            <w:pPr>
              <w:spacing w:line="360" w:lineRule="auto"/>
              <w:jc w:val="center"/>
              <w:rPr>
                <w:rFonts w:ascii="仿宋" w:hAnsi="仿宋" w:eastAsia="仿宋" w:cs="仿宋"/>
                <w:b/>
                <w:bCs/>
                <w:sz w:val="24"/>
              </w:rPr>
            </w:pPr>
            <w:r>
              <w:rPr>
                <w:rFonts w:hint="eastAsia" w:ascii="仿宋" w:hAnsi="仿宋" w:eastAsia="仿宋" w:cs="仿宋"/>
                <w:b/>
                <w:bCs/>
                <w:sz w:val="24"/>
              </w:rPr>
              <w:t>采购文件服务要求</w:t>
            </w:r>
          </w:p>
        </w:tc>
        <w:tc>
          <w:tcPr>
            <w:tcW w:w="1238" w:type="pct"/>
            <w:vAlign w:val="center"/>
          </w:tcPr>
          <w:p w14:paraId="4388619C">
            <w:pPr>
              <w:spacing w:line="360" w:lineRule="auto"/>
              <w:jc w:val="center"/>
              <w:rPr>
                <w:rFonts w:ascii="仿宋" w:hAnsi="仿宋" w:eastAsia="仿宋" w:cs="仿宋"/>
                <w:b/>
                <w:bCs/>
                <w:sz w:val="24"/>
              </w:rPr>
            </w:pPr>
            <w:r>
              <w:rPr>
                <w:rFonts w:hint="eastAsia" w:ascii="仿宋" w:hAnsi="仿宋" w:eastAsia="仿宋" w:cs="仿宋"/>
                <w:b/>
                <w:bCs/>
                <w:sz w:val="24"/>
              </w:rPr>
              <w:t>响应内容</w:t>
            </w:r>
          </w:p>
        </w:tc>
        <w:tc>
          <w:tcPr>
            <w:tcW w:w="1225" w:type="pct"/>
            <w:vAlign w:val="center"/>
          </w:tcPr>
          <w:p w14:paraId="3E047193">
            <w:pPr>
              <w:spacing w:line="360" w:lineRule="auto"/>
              <w:jc w:val="center"/>
              <w:rPr>
                <w:rFonts w:ascii="仿宋" w:hAnsi="仿宋" w:eastAsia="仿宋" w:cs="仿宋"/>
                <w:b/>
                <w:bCs/>
                <w:sz w:val="24"/>
              </w:rPr>
            </w:pPr>
            <w:r>
              <w:rPr>
                <w:rFonts w:hint="eastAsia" w:ascii="仿宋" w:hAnsi="仿宋" w:eastAsia="仿宋" w:cs="仿宋"/>
                <w:b/>
                <w:bCs/>
                <w:sz w:val="24"/>
              </w:rPr>
              <w:t>偏离情况</w:t>
            </w:r>
          </w:p>
        </w:tc>
        <w:tc>
          <w:tcPr>
            <w:tcW w:w="791" w:type="pct"/>
            <w:vAlign w:val="center"/>
          </w:tcPr>
          <w:p w14:paraId="1D3AB996">
            <w:pPr>
              <w:spacing w:line="360" w:lineRule="auto"/>
              <w:jc w:val="center"/>
              <w:rPr>
                <w:rFonts w:ascii="仿宋" w:hAnsi="仿宋" w:eastAsia="仿宋" w:cs="仿宋"/>
                <w:b/>
                <w:bCs/>
                <w:sz w:val="24"/>
              </w:rPr>
            </w:pPr>
            <w:r>
              <w:rPr>
                <w:rFonts w:hint="eastAsia" w:ascii="仿宋" w:hAnsi="仿宋" w:eastAsia="仿宋" w:cs="仿宋"/>
                <w:b/>
                <w:bCs/>
                <w:sz w:val="24"/>
              </w:rPr>
              <w:t>备注</w:t>
            </w:r>
          </w:p>
        </w:tc>
      </w:tr>
      <w:tr w14:paraId="02E10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54" w:hRule="atLeast"/>
          <w:jc w:val="center"/>
        </w:trPr>
        <w:tc>
          <w:tcPr>
            <w:tcW w:w="442" w:type="pct"/>
          </w:tcPr>
          <w:p w14:paraId="2A0720AD">
            <w:pPr>
              <w:spacing w:line="360" w:lineRule="auto"/>
              <w:jc w:val="center"/>
              <w:rPr>
                <w:rFonts w:ascii="仿宋" w:hAnsi="仿宋" w:eastAsia="仿宋" w:cs="仿宋"/>
                <w:sz w:val="24"/>
              </w:rPr>
            </w:pPr>
          </w:p>
        </w:tc>
        <w:tc>
          <w:tcPr>
            <w:tcW w:w="1302" w:type="pct"/>
          </w:tcPr>
          <w:p w14:paraId="0BEAA71E">
            <w:pPr>
              <w:spacing w:line="360" w:lineRule="auto"/>
              <w:jc w:val="center"/>
              <w:rPr>
                <w:rFonts w:ascii="仿宋" w:hAnsi="仿宋" w:eastAsia="仿宋" w:cs="仿宋"/>
                <w:sz w:val="24"/>
              </w:rPr>
            </w:pPr>
          </w:p>
        </w:tc>
        <w:tc>
          <w:tcPr>
            <w:tcW w:w="1238" w:type="pct"/>
          </w:tcPr>
          <w:p w14:paraId="2B6A4E9E">
            <w:pPr>
              <w:spacing w:line="360" w:lineRule="auto"/>
              <w:jc w:val="center"/>
              <w:rPr>
                <w:rFonts w:ascii="仿宋" w:hAnsi="仿宋" w:eastAsia="仿宋" w:cs="仿宋"/>
                <w:sz w:val="24"/>
              </w:rPr>
            </w:pPr>
          </w:p>
        </w:tc>
        <w:tc>
          <w:tcPr>
            <w:tcW w:w="1225" w:type="pct"/>
          </w:tcPr>
          <w:p w14:paraId="6B702EAC">
            <w:pPr>
              <w:spacing w:line="360" w:lineRule="auto"/>
              <w:jc w:val="center"/>
              <w:rPr>
                <w:rFonts w:ascii="仿宋" w:hAnsi="仿宋" w:eastAsia="仿宋" w:cs="仿宋"/>
                <w:sz w:val="24"/>
              </w:rPr>
            </w:pPr>
          </w:p>
        </w:tc>
        <w:tc>
          <w:tcPr>
            <w:tcW w:w="791" w:type="pct"/>
          </w:tcPr>
          <w:p w14:paraId="5D77700A">
            <w:pPr>
              <w:spacing w:line="360" w:lineRule="auto"/>
              <w:jc w:val="center"/>
              <w:rPr>
                <w:rFonts w:ascii="仿宋" w:hAnsi="仿宋" w:eastAsia="仿宋" w:cs="仿宋"/>
                <w:sz w:val="24"/>
              </w:rPr>
            </w:pPr>
          </w:p>
        </w:tc>
      </w:tr>
      <w:tr w14:paraId="24E47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54" w:hRule="atLeast"/>
          <w:jc w:val="center"/>
        </w:trPr>
        <w:tc>
          <w:tcPr>
            <w:tcW w:w="442" w:type="pct"/>
          </w:tcPr>
          <w:p w14:paraId="004DFE2C">
            <w:pPr>
              <w:spacing w:line="360" w:lineRule="auto"/>
              <w:jc w:val="center"/>
              <w:rPr>
                <w:rFonts w:ascii="仿宋" w:hAnsi="仿宋" w:eastAsia="仿宋" w:cs="仿宋"/>
                <w:sz w:val="24"/>
              </w:rPr>
            </w:pPr>
          </w:p>
        </w:tc>
        <w:tc>
          <w:tcPr>
            <w:tcW w:w="1302" w:type="pct"/>
          </w:tcPr>
          <w:p w14:paraId="1861E26E">
            <w:pPr>
              <w:spacing w:line="360" w:lineRule="auto"/>
              <w:jc w:val="center"/>
              <w:rPr>
                <w:rFonts w:ascii="仿宋" w:hAnsi="仿宋" w:eastAsia="仿宋" w:cs="仿宋"/>
                <w:sz w:val="24"/>
              </w:rPr>
            </w:pPr>
          </w:p>
        </w:tc>
        <w:tc>
          <w:tcPr>
            <w:tcW w:w="1238" w:type="pct"/>
          </w:tcPr>
          <w:p w14:paraId="06AC41E8">
            <w:pPr>
              <w:spacing w:line="360" w:lineRule="auto"/>
              <w:jc w:val="center"/>
              <w:rPr>
                <w:rFonts w:ascii="仿宋" w:hAnsi="仿宋" w:eastAsia="仿宋" w:cs="仿宋"/>
                <w:sz w:val="24"/>
              </w:rPr>
            </w:pPr>
          </w:p>
        </w:tc>
        <w:tc>
          <w:tcPr>
            <w:tcW w:w="1225" w:type="pct"/>
          </w:tcPr>
          <w:p w14:paraId="1B004FE6">
            <w:pPr>
              <w:spacing w:line="360" w:lineRule="auto"/>
              <w:jc w:val="center"/>
              <w:rPr>
                <w:rFonts w:ascii="仿宋" w:hAnsi="仿宋" w:eastAsia="仿宋" w:cs="仿宋"/>
                <w:sz w:val="24"/>
              </w:rPr>
            </w:pPr>
          </w:p>
        </w:tc>
        <w:tc>
          <w:tcPr>
            <w:tcW w:w="791" w:type="pct"/>
          </w:tcPr>
          <w:p w14:paraId="743BAD8A">
            <w:pPr>
              <w:spacing w:line="360" w:lineRule="auto"/>
              <w:jc w:val="center"/>
              <w:rPr>
                <w:rFonts w:ascii="仿宋" w:hAnsi="仿宋" w:eastAsia="仿宋" w:cs="仿宋"/>
                <w:sz w:val="24"/>
              </w:rPr>
            </w:pPr>
          </w:p>
        </w:tc>
      </w:tr>
      <w:tr w14:paraId="67960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54" w:hRule="atLeast"/>
          <w:jc w:val="center"/>
        </w:trPr>
        <w:tc>
          <w:tcPr>
            <w:tcW w:w="442" w:type="pct"/>
          </w:tcPr>
          <w:p w14:paraId="25ADA931">
            <w:pPr>
              <w:spacing w:line="360" w:lineRule="auto"/>
              <w:jc w:val="center"/>
              <w:rPr>
                <w:rFonts w:ascii="仿宋" w:hAnsi="仿宋" w:eastAsia="仿宋" w:cs="仿宋"/>
                <w:sz w:val="24"/>
              </w:rPr>
            </w:pPr>
          </w:p>
        </w:tc>
        <w:tc>
          <w:tcPr>
            <w:tcW w:w="1302" w:type="pct"/>
          </w:tcPr>
          <w:p w14:paraId="3CB151AF">
            <w:pPr>
              <w:spacing w:line="360" w:lineRule="auto"/>
              <w:jc w:val="center"/>
              <w:rPr>
                <w:rFonts w:ascii="仿宋" w:hAnsi="仿宋" w:eastAsia="仿宋" w:cs="仿宋"/>
                <w:sz w:val="24"/>
              </w:rPr>
            </w:pPr>
          </w:p>
        </w:tc>
        <w:tc>
          <w:tcPr>
            <w:tcW w:w="1238" w:type="pct"/>
          </w:tcPr>
          <w:p w14:paraId="0853FE29">
            <w:pPr>
              <w:spacing w:line="360" w:lineRule="auto"/>
              <w:jc w:val="center"/>
              <w:rPr>
                <w:rFonts w:ascii="仿宋" w:hAnsi="仿宋" w:eastAsia="仿宋" w:cs="仿宋"/>
                <w:sz w:val="24"/>
              </w:rPr>
            </w:pPr>
          </w:p>
        </w:tc>
        <w:tc>
          <w:tcPr>
            <w:tcW w:w="1225" w:type="pct"/>
          </w:tcPr>
          <w:p w14:paraId="7A7168F8">
            <w:pPr>
              <w:spacing w:line="360" w:lineRule="auto"/>
              <w:jc w:val="center"/>
              <w:rPr>
                <w:rFonts w:ascii="仿宋" w:hAnsi="仿宋" w:eastAsia="仿宋" w:cs="仿宋"/>
                <w:sz w:val="24"/>
              </w:rPr>
            </w:pPr>
          </w:p>
        </w:tc>
        <w:tc>
          <w:tcPr>
            <w:tcW w:w="791" w:type="pct"/>
          </w:tcPr>
          <w:p w14:paraId="5E29678F">
            <w:pPr>
              <w:spacing w:line="360" w:lineRule="auto"/>
              <w:jc w:val="center"/>
              <w:rPr>
                <w:rFonts w:ascii="仿宋" w:hAnsi="仿宋" w:eastAsia="仿宋" w:cs="仿宋"/>
                <w:sz w:val="24"/>
              </w:rPr>
            </w:pPr>
          </w:p>
        </w:tc>
      </w:tr>
      <w:tr w14:paraId="05659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54" w:hRule="atLeast"/>
          <w:jc w:val="center"/>
        </w:trPr>
        <w:tc>
          <w:tcPr>
            <w:tcW w:w="442" w:type="pct"/>
          </w:tcPr>
          <w:p w14:paraId="0E099A8E">
            <w:pPr>
              <w:spacing w:line="360" w:lineRule="auto"/>
              <w:jc w:val="center"/>
              <w:rPr>
                <w:rFonts w:ascii="仿宋" w:hAnsi="仿宋" w:eastAsia="仿宋" w:cs="仿宋"/>
                <w:sz w:val="24"/>
              </w:rPr>
            </w:pPr>
          </w:p>
        </w:tc>
        <w:tc>
          <w:tcPr>
            <w:tcW w:w="1302" w:type="pct"/>
          </w:tcPr>
          <w:p w14:paraId="117A89BC">
            <w:pPr>
              <w:spacing w:line="360" w:lineRule="auto"/>
              <w:jc w:val="center"/>
              <w:rPr>
                <w:rFonts w:ascii="仿宋" w:hAnsi="仿宋" w:eastAsia="仿宋" w:cs="仿宋"/>
                <w:sz w:val="24"/>
              </w:rPr>
            </w:pPr>
          </w:p>
        </w:tc>
        <w:tc>
          <w:tcPr>
            <w:tcW w:w="1238" w:type="pct"/>
          </w:tcPr>
          <w:p w14:paraId="685908F1">
            <w:pPr>
              <w:spacing w:line="360" w:lineRule="auto"/>
              <w:jc w:val="center"/>
              <w:rPr>
                <w:rFonts w:ascii="仿宋" w:hAnsi="仿宋" w:eastAsia="仿宋" w:cs="仿宋"/>
                <w:sz w:val="24"/>
              </w:rPr>
            </w:pPr>
          </w:p>
        </w:tc>
        <w:tc>
          <w:tcPr>
            <w:tcW w:w="1225" w:type="pct"/>
          </w:tcPr>
          <w:p w14:paraId="3E6839E5">
            <w:pPr>
              <w:spacing w:line="360" w:lineRule="auto"/>
              <w:jc w:val="center"/>
              <w:rPr>
                <w:rFonts w:ascii="仿宋" w:hAnsi="仿宋" w:eastAsia="仿宋" w:cs="仿宋"/>
                <w:sz w:val="24"/>
              </w:rPr>
            </w:pPr>
          </w:p>
        </w:tc>
        <w:tc>
          <w:tcPr>
            <w:tcW w:w="791" w:type="pct"/>
          </w:tcPr>
          <w:p w14:paraId="215FA603">
            <w:pPr>
              <w:spacing w:line="360" w:lineRule="auto"/>
              <w:jc w:val="center"/>
              <w:rPr>
                <w:rFonts w:ascii="仿宋" w:hAnsi="仿宋" w:eastAsia="仿宋" w:cs="仿宋"/>
                <w:sz w:val="24"/>
              </w:rPr>
            </w:pPr>
          </w:p>
        </w:tc>
      </w:tr>
      <w:tr w14:paraId="113AA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54" w:hRule="atLeast"/>
          <w:jc w:val="center"/>
        </w:trPr>
        <w:tc>
          <w:tcPr>
            <w:tcW w:w="442" w:type="pct"/>
          </w:tcPr>
          <w:p w14:paraId="068F390C">
            <w:pPr>
              <w:spacing w:line="360" w:lineRule="auto"/>
              <w:jc w:val="center"/>
              <w:rPr>
                <w:rFonts w:ascii="仿宋" w:hAnsi="仿宋" w:eastAsia="仿宋" w:cs="仿宋"/>
                <w:sz w:val="24"/>
              </w:rPr>
            </w:pPr>
          </w:p>
        </w:tc>
        <w:tc>
          <w:tcPr>
            <w:tcW w:w="1302" w:type="pct"/>
          </w:tcPr>
          <w:p w14:paraId="1C2E6D70">
            <w:pPr>
              <w:spacing w:line="360" w:lineRule="auto"/>
              <w:jc w:val="center"/>
              <w:rPr>
                <w:rFonts w:ascii="仿宋" w:hAnsi="仿宋" w:eastAsia="仿宋" w:cs="仿宋"/>
                <w:sz w:val="24"/>
              </w:rPr>
            </w:pPr>
          </w:p>
        </w:tc>
        <w:tc>
          <w:tcPr>
            <w:tcW w:w="1238" w:type="pct"/>
          </w:tcPr>
          <w:p w14:paraId="517282AC">
            <w:pPr>
              <w:spacing w:line="360" w:lineRule="auto"/>
              <w:jc w:val="center"/>
              <w:rPr>
                <w:rFonts w:ascii="仿宋" w:hAnsi="仿宋" w:eastAsia="仿宋" w:cs="仿宋"/>
                <w:sz w:val="24"/>
              </w:rPr>
            </w:pPr>
          </w:p>
        </w:tc>
        <w:tc>
          <w:tcPr>
            <w:tcW w:w="1225" w:type="pct"/>
          </w:tcPr>
          <w:p w14:paraId="7B3A5DC9">
            <w:pPr>
              <w:spacing w:line="360" w:lineRule="auto"/>
              <w:jc w:val="center"/>
              <w:rPr>
                <w:rFonts w:ascii="仿宋" w:hAnsi="仿宋" w:eastAsia="仿宋" w:cs="仿宋"/>
                <w:sz w:val="24"/>
              </w:rPr>
            </w:pPr>
          </w:p>
        </w:tc>
        <w:tc>
          <w:tcPr>
            <w:tcW w:w="791" w:type="pct"/>
          </w:tcPr>
          <w:p w14:paraId="316ABEB6">
            <w:pPr>
              <w:spacing w:line="360" w:lineRule="auto"/>
              <w:jc w:val="center"/>
              <w:rPr>
                <w:rFonts w:ascii="仿宋" w:hAnsi="仿宋" w:eastAsia="仿宋" w:cs="仿宋"/>
                <w:sz w:val="24"/>
              </w:rPr>
            </w:pPr>
          </w:p>
        </w:tc>
      </w:tr>
      <w:tr w14:paraId="090DA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54" w:hRule="atLeast"/>
          <w:jc w:val="center"/>
        </w:trPr>
        <w:tc>
          <w:tcPr>
            <w:tcW w:w="442" w:type="pct"/>
          </w:tcPr>
          <w:p w14:paraId="5CA0E118">
            <w:pPr>
              <w:spacing w:line="360" w:lineRule="auto"/>
              <w:jc w:val="center"/>
              <w:rPr>
                <w:rFonts w:ascii="仿宋" w:hAnsi="仿宋" w:eastAsia="仿宋" w:cs="仿宋"/>
                <w:sz w:val="24"/>
              </w:rPr>
            </w:pPr>
          </w:p>
        </w:tc>
        <w:tc>
          <w:tcPr>
            <w:tcW w:w="1302" w:type="pct"/>
          </w:tcPr>
          <w:p w14:paraId="1D54B7D6">
            <w:pPr>
              <w:spacing w:line="360" w:lineRule="auto"/>
              <w:jc w:val="center"/>
              <w:rPr>
                <w:rFonts w:ascii="仿宋" w:hAnsi="仿宋" w:eastAsia="仿宋" w:cs="仿宋"/>
                <w:sz w:val="24"/>
              </w:rPr>
            </w:pPr>
          </w:p>
        </w:tc>
        <w:tc>
          <w:tcPr>
            <w:tcW w:w="1238" w:type="pct"/>
          </w:tcPr>
          <w:p w14:paraId="422BBB52">
            <w:pPr>
              <w:spacing w:line="360" w:lineRule="auto"/>
              <w:jc w:val="center"/>
              <w:rPr>
                <w:rFonts w:ascii="仿宋" w:hAnsi="仿宋" w:eastAsia="仿宋" w:cs="仿宋"/>
                <w:sz w:val="24"/>
              </w:rPr>
            </w:pPr>
          </w:p>
        </w:tc>
        <w:tc>
          <w:tcPr>
            <w:tcW w:w="1225" w:type="pct"/>
          </w:tcPr>
          <w:p w14:paraId="46DA6F3E">
            <w:pPr>
              <w:spacing w:line="360" w:lineRule="auto"/>
              <w:jc w:val="center"/>
              <w:rPr>
                <w:rFonts w:ascii="仿宋" w:hAnsi="仿宋" w:eastAsia="仿宋" w:cs="仿宋"/>
                <w:sz w:val="24"/>
              </w:rPr>
            </w:pPr>
          </w:p>
        </w:tc>
        <w:tc>
          <w:tcPr>
            <w:tcW w:w="791" w:type="pct"/>
          </w:tcPr>
          <w:p w14:paraId="70F1FEB4">
            <w:pPr>
              <w:spacing w:line="360" w:lineRule="auto"/>
              <w:jc w:val="center"/>
              <w:rPr>
                <w:rFonts w:ascii="仿宋" w:hAnsi="仿宋" w:eastAsia="仿宋" w:cs="仿宋"/>
                <w:sz w:val="24"/>
              </w:rPr>
            </w:pPr>
          </w:p>
        </w:tc>
      </w:tr>
      <w:tr w14:paraId="6F6EE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54" w:hRule="atLeast"/>
          <w:jc w:val="center"/>
        </w:trPr>
        <w:tc>
          <w:tcPr>
            <w:tcW w:w="442" w:type="pct"/>
          </w:tcPr>
          <w:p w14:paraId="5695B1F2">
            <w:pPr>
              <w:spacing w:line="360" w:lineRule="auto"/>
              <w:jc w:val="center"/>
              <w:rPr>
                <w:rFonts w:ascii="仿宋" w:hAnsi="仿宋" w:eastAsia="仿宋" w:cs="仿宋"/>
                <w:sz w:val="24"/>
              </w:rPr>
            </w:pPr>
          </w:p>
        </w:tc>
        <w:tc>
          <w:tcPr>
            <w:tcW w:w="1302" w:type="pct"/>
          </w:tcPr>
          <w:p w14:paraId="42ACE6E7">
            <w:pPr>
              <w:spacing w:line="360" w:lineRule="auto"/>
              <w:jc w:val="center"/>
              <w:rPr>
                <w:rFonts w:ascii="仿宋" w:hAnsi="仿宋" w:eastAsia="仿宋" w:cs="仿宋"/>
                <w:sz w:val="24"/>
              </w:rPr>
            </w:pPr>
          </w:p>
        </w:tc>
        <w:tc>
          <w:tcPr>
            <w:tcW w:w="1238" w:type="pct"/>
          </w:tcPr>
          <w:p w14:paraId="500103C8">
            <w:pPr>
              <w:spacing w:line="360" w:lineRule="auto"/>
              <w:jc w:val="center"/>
              <w:rPr>
                <w:rFonts w:ascii="仿宋" w:hAnsi="仿宋" w:eastAsia="仿宋" w:cs="仿宋"/>
                <w:sz w:val="24"/>
              </w:rPr>
            </w:pPr>
          </w:p>
        </w:tc>
        <w:tc>
          <w:tcPr>
            <w:tcW w:w="1225" w:type="pct"/>
          </w:tcPr>
          <w:p w14:paraId="39F61277">
            <w:pPr>
              <w:spacing w:line="360" w:lineRule="auto"/>
              <w:jc w:val="center"/>
              <w:rPr>
                <w:rFonts w:ascii="仿宋" w:hAnsi="仿宋" w:eastAsia="仿宋" w:cs="仿宋"/>
                <w:sz w:val="24"/>
              </w:rPr>
            </w:pPr>
          </w:p>
        </w:tc>
        <w:tc>
          <w:tcPr>
            <w:tcW w:w="791" w:type="pct"/>
          </w:tcPr>
          <w:p w14:paraId="4EF4A8BB">
            <w:pPr>
              <w:spacing w:line="360" w:lineRule="auto"/>
              <w:jc w:val="center"/>
              <w:rPr>
                <w:rFonts w:ascii="仿宋" w:hAnsi="仿宋" w:eastAsia="仿宋" w:cs="仿宋"/>
                <w:sz w:val="24"/>
              </w:rPr>
            </w:pPr>
          </w:p>
        </w:tc>
      </w:tr>
      <w:tr w14:paraId="067D4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27" w:hRule="atLeast"/>
          <w:jc w:val="center"/>
        </w:trPr>
        <w:tc>
          <w:tcPr>
            <w:tcW w:w="442" w:type="pct"/>
          </w:tcPr>
          <w:p w14:paraId="7583C7F4">
            <w:pPr>
              <w:spacing w:line="360" w:lineRule="auto"/>
              <w:jc w:val="center"/>
              <w:rPr>
                <w:rFonts w:ascii="仿宋" w:hAnsi="仿宋" w:eastAsia="仿宋" w:cs="仿宋"/>
                <w:sz w:val="24"/>
              </w:rPr>
            </w:pPr>
          </w:p>
        </w:tc>
        <w:tc>
          <w:tcPr>
            <w:tcW w:w="1302" w:type="pct"/>
          </w:tcPr>
          <w:p w14:paraId="29D3B73E">
            <w:pPr>
              <w:spacing w:line="360" w:lineRule="auto"/>
              <w:jc w:val="center"/>
              <w:rPr>
                <w:rFonts w:ascii="仿宋" w:hAnsi="仿宋" w:eastAsia="仿宋" w:cs="仿宋"/>
                <w:sz w:val="24"/>
              </w:rPr>
            </w:pPr>
          </w:p>
        </w:tc>
        <w:tc>
          <w:tcPr>
            <w:tcW w:w="1238" w:type="pct"/>
          </w:tcPr>
          <w:p w14:paraId="5F6B8347">
            <w:pPr>
              <w:spacing w:line="360" w:lineRule="auto"/>
              <w:jc w:val="center"/>
              <w:rPr>
                <w:rFonts w:ascii="仿宋" w:hAnsi="仿宋" w:eastAsia="仿宋" w:cs="仿宋"/>
                <w:sz w:val="24"/>
              </w:rPr>
            </w:pPr>
          </w:p>
        </w:tc>
        <w:tc>
          <w:tcPr>
            <w:tcW w:w="1225" w:type="pct"/>
          </w:tcPr>
          <w:p w14:paraId="2D2A077F">
            <w:pPr>
              <w:spacing w:line="360" w:lineRule="auto"/>
              <w:jc w:val="center"/>
              <w:rPr>
                <w:rFonts w:ascii="仿宋" w:hAnsi="仿宋" w:eastAsia="仿宋" w:cs="仿宋"/>
                <w:sz w:val="24"/>
              </w:rPr>
            </w:pPr>
          </w:p>
        </w:tc>
        <w:tc>
          <w:tcPr>
            <w:tcW w:w="791" w:type="pct"/>
          </w:tcPr>
          <w:p w14:paraId="4DE95C75">
            <w:pPr>
              <w:spacing w:line="360" w:lineRule="auto"/>
              <w:jc w:val="center"/>
              <w:rPr>
                <w:rFonts w:ascii="仿宋" w:hAnsi="仿宋" w:eastAsia="仿宋" w:cs="仿宋"/>
                <w:sz w:val="24"/>
              </w:rPr>
            </w:pPr>
          </w:p>
        </w:tc>
      </w:tr>
    </w:tbl>
    <w:p w14:paraId="7872C9E4">
      <w:pPr>
        <w:pStyle w:val="12"/>
        <w:snapToGrid w:val="0"/>
        <w:spacing w:line="360" w:lineRule="auto"/>
        <w:ind w:left="0" w:right="34"/>
        <w:jc w:val="both"/>
        <w:rPr>
          <w:rFonts w:ascii="仿宋" w:hAnsi="仿宋" w:eastAsia="仿宋" w:cs="仿宋"/>
          <w:bCs/>
        </w:rPr>
      </w:pPr>
      <w:r>
        <w:rPr>
          <w:rFonts w:hint="eastAsia" w:ascii="仿宋" w:hAnsi="仿宋" w:eastAsia="仿宋" w:cs="仿宋"/>
          <w:bCs/>
        </w:rPr>
        <w:t>说明：</w:t>
      </w:r>
    </w:p>
    <w:p w14:paraId="4C909D5D">
      <w:pPr>
        <w:snapToGrid w:val="0"/>
        <w:spacing w:line="360" w:lineRule="auto"/>
        <w:rPr>
          <w:rFonts w:ascii="仿宋" w:hAnsi="仿宋" w:eastAsia="仿宋" w:cs="仿宋"/>
          <w:sz w:val="24"/>
        </w:rPr>
      </w:pPr>
      <w:r>
        <w:rPr>
          <w:rFonts w:hint="eastAsia" w:ascii="仿宋" w:hAnsi="仿宋" w:eastAsia="仿宋" w:cs="仿宋"/>
          <w:sz w:val="24"/>
        </w:rPr>
        <w:t>1、</w:t>
      </w:r>
      <w:r>
        <w:rPr>
          <w:rFonts w:hint="eastAsia" w:ascii="仿宋" w:hAnsi="仿宋" w:eastAsia="仿宋" w:cs="仿宋"/>
          <w:b/>
          <w:bCs/>
          <w:sz w:val="24"/>
        </w:rPr>
        <w:t>“采购文件服务要求”</w:t>
      </w:r>
      <w:r>
        <w:rPr>
          <w:rFonts w:hint="eastAsia" w:ascii="仿宋" w:hAnsi="仿宋" w:eastAsia="仿宋" w:cs="仿宋"/>
          <w:sz w:val="24"/>
        </w:rPr>
        <w:t>一栏应填写</w:t>
      </w:r>
      <w:r>
        <w:rPr>
          <w:rFonts w:hint="eastAsia" w:ascii="仿宋" w:hAnsi="仿宋" w:eastAsia="仿宋" w:cs="仿宋"/>
          <w:b/>
          <w:bCs/>
          <w:sz w:val="24"/>
        </w:rPr>
        <w:t>“第三章协商要求”对应的合同包</w:t>
      </w:r>
      <w:r>
        <w:rPr>
          <w:rFonts w:hint="eastAsia" w:ascii="仿宋" w:hAnsi="仿宋" w:eastAsia="仿宋" w:cs="仿宋"/>
          <w:sz w:val="24"/>
        </w:rPr>
        <w:t>的内容；</w:t>
      </w:r>
    </w:p>
    <w:p w14:paraId="52693254">
      <w:pPr>
        <w:snapToGrid w:val="0"/>
        <w:spacing w:line="360" w:lineRule="auto"/>
        <w:rPr>
          <w:rFonts w:ascii="仿宋" w:hAnsi="仿宋" w:eastAsia="仿宋" w:cs="仿宋"/>
          <w:sz w:val="24"/>
        </w:rPr>
      </w:pPr>
      <w:r>
        <w:rPr>
          <w:rFonts w:hint="eastAsia" w:ascii="仿宋" w:hAnsi="仿宋" w:eastAsia="仿宋" w:cs="仿宋"/>
          <w:sz w:val="24"/>
        </w:rPr>
        <w:t>2、</w:t>
      </w:r>
      <w:r>
        <w:rPr>
          <w:rFonts w:hint="eastAsia" w:ascii="仿宋" w:hAnsi="仿宋" w:eastAsia="仿宋" w:cs="仿宋"/>
          <w:b/>
          <w:bCs/>
          <w:sz w:val="24"/>
        </w:rPr>
        <w:t>“响应内容”</w:t>
      </w:r>
      <w:r>
        <w:rPr>
          <w:rFonts w:hint="eastAsia" w:ascii="仿宋" w:hAnsi="仿宋" w:eastAsia="仿宋" w:cs="仿宋"/>
          <w:sz w:val="24"/>
        </w:rPr>
        <w:t>一栏必须详细，并应对照</w:t>
      </w:r>
      <w:r>
        <w:rPr>
          <w:rFonts w:hint="eastAsia" w:ascii="仿宋" w:hAnsi="仿宋" w:eastAsia="仿宋" w:cs="仿宋"/>
          <w:b/>
          <w:sz w:val="24"/>
        </w:rPr>
        <w:t>“</w:t>
      </w:r>
      <w:r>
        <w:rPr>
          <w:rFonts w:hint="eastAsia" w:ascii="仿宋" w:hAnsi="仿宋" w:eastAsia="仿宋" w:cs="仿宋"/>
          <w:b/>
          <w:bCs/>
          <w:sz w:val="24"/>
        </w:rPr>
        <w:t>第三章协商要求”对应的合同包</w:t>
      </w:r>
      <w:r>
        <w:rPr>
          <w:rFonts w:hint="eastAsia" w:ascii="仿宋" w:hAnsi="仿宋" w:eastAsia="仿宋" w:cs="仿宋"/>
          <w:sz w:val="24"/>
        </w:rPr>
        <w:t>的内容进行响应</w:t>
      </w:r>
      <w:r>
        <w:rPr>
          <w:rFonts w:hint="eastAsia" w:ascii="仿宋" w:hAnsi="仿宋" w:eastAsia="仿宋" w:cs="仿宋"/>
          <w:bCs/>
          <w:sz w:val="24"/>
        </w:rPr>
        <w:t>，并按采购文件要求提供相应的证明材料</w:t>
      </w:r>
      <w:r>
        <w:rPr>
          <w:rFonts w:hint="eastAsia" w:ascii="仿宋" w:hAnsi="仿宋" w:eastAsia="仿宋" w:cs="仿宋"/>
          <w:sz w:val="24"/>
        </w:rPr>
        <w:t>；</w:t>
      </w:r>
    </w:p>
    <w:p w14:paraId="09347DDC">
      <w:pPr>
        <w:pStyle w:val="12"/>
        <w:snapToGrid w:val="0"/>
        <w:spacing w:line="360" w:lineRule="auto"/>
        <w:ind w:left="0" w:right="34"/>
        <w:jc w:val="both"/>
        <w:rPr>
          <w:rFonts w:ascii="仿宋" w:hAnsi="仿宋" w:eastAsia="仿宋" w:cs="仿宋"/>
          <w:bCs/>
        </w:rPr>
      </w:pPr>
      <w:r>
        <w:rPr>
          <w:rFonts w:hint="eastAsia" w:ascii="仿宋" w:hAnsi="仿宋" w:eastAsia="仿宋" w:cs="仿宋"/>
          <w:bCs/>
        </w:rPr>
        <w:t>3、供应商所填写的“偏离情况”与协商小组判定不一致时，以协商小组意见为准。</w:t>
      </w:r>
    </w:p>
    <w:p w14:paraId="101EC7D8">
      <w:pPr>
        <w:pStyle w:val="12"/>
        <w:snapToGrid w:val="0"/>
        <w:spacing w:line="360" w:lineRule="auto"/>
        <w:ind w:left="0" w:right="34"/>
        <w:jc w:val="both"/>
        <w:rPr>
          <w:rFonts w:ascii="仿宋" w:hAnsi="仿宋" w:eastAsia="仿宋" w:cs="仿宋"/>
          <w:bCs/>
        </w:rPr>
      </w:pPr>
      <w:r>
        <w:rPr>
          <w:rFonts w:hint="eastAsia" w:ascii="仿宋" w:hAnsi="仿宋" w:eastAsia="仿宋" w:cs="仿宋"/>
          <w:bCs/>
        </w:rPr>
        <w:t>4、“偏离情况”一栏应如实填写“正偏离”、“负偏离”或“无偏离”；</w:t>
      </w:r>
    </w:p>
    <w:p w14:paraId="008E3844">
      <w:pPr>
        <w:pStyle w:val="12"/>
        <w:snapToGrid w:val="0"/>
        <w:spacing w:line="360" w:lineRule="auto"/>
        <w:ind w:left="0" w:right="34"/>
        <w:jc w:val="both"/>
        <w:rPr>
          <w:rFonts w:ascii="仿宋" w:hAnsi="仿宋" w:eastAsia="仿宋" w:cs="仿宋"/>
          <w:bCs/>
        </w:rPr>
      </w:pPr>
      <w:r>
        <w:rPr>
          <w:rFonts w:hint="eastAsia" w:ascii="仿宋" w:hAnsi="仿宋" w:eastAsia="仿宋" w:cs="仿宋"/>
          <w:bCs/>
        </w:rPr>
        <w:t>5、供应商必须据实填写，不得虚假响应，否则将取消其投标/协商或中标/成交资格，并按有关规定进行处罚。</w:t>
      </w:r>
    </w:p>
    <w:p w14:paraId="137BFA17">
      <w:pPr>
        <w:spacing w:line="360" w:lineRule="auto"/>
        <w:jc w:val="left"/>
        <w:rPr>
          <w:rFonts w:ascii="仿宋" w:hAnsi="仿宋" w:eastAsia="仿宋" w:cs="仿宋"/>
          <w:sz w:val="24"/>
        </w:rPr>
      </w:pPr>
    </w:p>
    <w:p w14:paraId="7A3CCC62">
      <w:pPr>
        <w:spacing w:line="360" w:lineRule="auto"/>
        <w:jc w:val="left"/>
        <w:rPr>
          <w:rFonts w:ascii="仿宋" w:hAnsi="仿宋" w:eastAsia="仿宋" w:cs="仿宋"/>
          <w:sz w:val="24"/>
          <w:u w:val="single"/>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14:paraId="2E641C17">
      <w:pPr>
        <w:spacing w:line="360" w:lineRule="auto"/>
        <w:jc w:val="left"/>
        <w:rPr>
          <w:rFonts w:ascii="仿宋" w:hAnsi="仿宋" w:eastAsia="仿宋" w:cs="仿宋"/>
          <w:sz w:val="24"/>
        </w:rPr>
      </w:pPr>
      <w:r>
        <w:rPr>
          <w:rFonts w:hint="eastAsia" w:ascii="仿宋" w:hAnsi="仿宋" w:eastAsia="仿宋" w:cs="仿宋"/>
          <w:sz w:val="24"/>
        </w:rPr>
        <w:t>法定代表人或被授权人：</w:t>
      </w:r>
      <w:r>
        <w:rPr>
          <w:rFonts w:hint="eastAsia" w:ascii="仿宋" w:hAnsi="仿宋" w:eastAsia="仿宋" w:cs="仿宋"/>
          <w:sz w:val="24"/>
          <w:u w:val="single"/>
        </w:rPr>
        <w:t xml:space="preserve">                </w:t>
      </w:r>
      <w:r>
        <w:rPr>
          <w:rFonts w:hint="eastAsia" w:ascii="仿宋" w:hAnsi="仿宋" w:eastAsia="仿宋" w:cs="仿宋"/>
          <w:kern w:val="0"/>
          <w:sz w:val="24"/>
        </w:rPr>
        <w:t>(签字或盖章)</w:t>
      </w:r>
    </w:p>
    <w:p w14:paraId="01EF45FA">
      <w:pPr>
        <w:overflowPunct w:val="0"/>
        <w:spacing w:line="360" w:lineRule="auto"/>
        <w:rPr>
          <w:rFonts w:ascii="仿宋" w:hAnsi="仿宋" w:eastAsia="仿宋" w:cs="仿宋"/>
          <w:sz w:val="24"/>
        </w:rPr>
      </w:pPr>
      <w:r>
        <w:rPr>
          <w:rFonts w:hint="eastAsia" w:ascii="仿宋" w:hAnsi="仿宋" w:eastAsia="仿宋" w:cs="仿宋"/>
          <w:sz w:val="24"/>
        </w:rPr>
        <w:t>日      期：  年  月   日</w:t>
      </w:r>
    </w:p>
    <w:p w14:paraId="2FB4CFCE">
      <w:pPr>
        <w:pStyle w:val="10"/>
        <w:spacing w:line="360" w:lineRule="auto"/>
        <w:ind w:firstLine="562"/>
        <w:jc w:val="center"/>
        <w:outlineLvl w:val="1"/>
        <w:rPr>
          <w:rFonts w:ascii="仿宋" w:hAnsi="仿宋" w:eastAsia="仿宋" w:cs="仿宋"/>
          <w:sz w:val="28"/>
          <w:lang w:eastAsia="zh-CN"/>
        </w:rPr>
      </w:pPr>
      <w:bookmarkStart w:id="87" w:name="_Toc18587"/>
      <w:r>
        <w:rPr>
          <w:rFonts w:hint="eastAsia" w:ascii="仿宋" w:hAnsi="仿宋" w:eastAsia="仿宋" w:cs="仿宋"/>
          <w:b/>
          <w:bCs/>
          <w:sz w:val="28"/>
          <w:lang w:eastAsia="zh-CN"/>
        </w:rPr>
        <w:t>五、承接的类似项目情况表</w:t>
      </w:r>
      <w:bookmarkEnd w:id="87"/>
    </w:p>
    <w:tbl>
      <w:tblPr>
        <w:tblStyle w:val="39"/>
        <w:tblW w:w="9035" w:type="dxa"/>
        <w:tblInd w:w="-3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5"/>
        <w:gridCol w:w="1967"/>
        <w:gridCol w:w="1700"/>
        <w:gridCol w:w="2555"/>
        <w:gridCol w:w="1988"/>
      </w:tblGrid>
      <w:tr w14:paraId="3C0FA3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825" w:type="dxa"/>
          </w:tcPr>
          <w:p w14:paraId="79499B45">
            <w:pPr>
              <w:pStyle w:val="38"/>
              <w:spacing w:before="170" w:line="206" w:lineRule="auto"/>
              <w:ind w:left="180"/>
              <w:rPr>
                <w:b/>
                <w:bCs/>
              </w:rPr>
            </w:pPr>
            <w:r>
              <w:rPr>
                <w:b/>
                <w:bCs/>
                <w:spacing w:val="-7"/>
              </w:rPr>
              <w:t>序号</w:t>
            </w:r>
          </w:p>
        </w:tc>
        <w:tc>
          <w:tcPr>
            <w:tcW w:w="1967" w:type="dxa"/>
          </w:tcPr>
          <w:p w14:paraId="5A3FF3C7">
            <w:pPr>
              <w:pStyle w:val="38"/>
              <w:spacing w:before="139" w:line="221" w:lineRule="auto"/>
              <w:ind w:left="147"/>
              <w:rPr>
                <w:b/>
                <w:bCs/>
              </w:rPr>
            </w:pPr>
            <w:r>
              <w:rPr>
                <w:b/>
                <w:bCs/>
              </w:rPr>
              <w:t>采购单位名称</w:t>
            </w:r>
          </w:p>
        </w:tc>
        <w:tc>
          <w:tcPr>
            <w:tcW w:w="1700" w:type="dxa"/>
          </w:tcPr>
          <w:p w14:paraId="16B31000">
            <w:pPr>
              <w:pStyle w:val="38"/>
              <w:spacing w:before="139" w:line="221" w:lineRule="auto"/>
              <w:ind w:left="380"/>
              <w:rPr>
                <w:b/>
                <w:bCs/>
              </w:rPr>
            </w:pPr>
            <w:r>
              <w:rPr>
                <w:b/>
                <w:bCs/>
                <w:spacing w:val="-3"/>
              </w:rPr>
              <w:t>合同名称</w:t>
            </w:r>
          </w:p>
        </w:tc>
        <w:tc>
          <w:tcPr>
            <w:tcW w:w="2555" w:type="dxa"/>
          </w:tcPr>
          <w:p w14:paraId="695779AA">
            <w:pPr>
              <w:pStyle w:val="38"/>
              <w:spacing w:before="140" w:line="223" w:lineRule="auto"/>
              <w:ind w:left="564"/>
              <w:rPr>
                <w:b/>
                <w:bCs/>
              </w:rPr>
            </w:pPr>
            <w:r>
              <w:rPr>
                <w:rFonts w:hint="eastAsia"/>
                <w:b/>
                <w:bCs/>
                <w:spacing w:val="-1"/>
                <w:lang w:eastAsia="zh-CN"/>
              </w:rPr>
              <w:t>合同签订时间</w:t>
            </w:r>
          </w:p>
        </w:tc>
        <w:tc>
          <w:tcPr>
            <w:tcW w:w="1988" w:type="dxa"/>
          </w:tcPr>
          <w:p w14:paraId="286C8C08">
            <w:pPr>
              <w:pStyle w:val="38"/>
              <w:spacing w:before="140" w:line="223" w:lineRule="auto"/>
              <w:jc w:val="right"/>
              <w:rPr>
                <w:b/>
                <w:bCs/>
              </w:rPr>
            </w:pPr>
            <w:r>
              <w:rPr>
                <w:b/>
                <w:bCs/>
                <w:spacing w:val="-10"/>
              </w:rPr>
              <w:t>合同金额（万元）</w:t>
            </w:r>
          </w:p>
        </w:tc>
      </w:tr>
      <w:tr w14:paraId="5218B9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70D9E275">
            <w:pPr>
              <w:pStyle w:val="38"/>
              <w:spacing w:before="170" w:line="206" w:lineRule="auto"/>
              <w:ind w:left="180"/>
              <w:rPr>
                <w:b/>
                <w:bCs/>
                <w:spacing w:val="-7"/>
              </w:rPr>
            </w:pPr>
          </w:p>
        </w:tc>
        <w:tc>
          <w:tcPr>
            <w:tcW w:w="1967" w:type="dxa"/>
          </w:tcPr>
          <w:p w14:paraId="64E766E8">
            <w:pPr>
              <w:pStyle w:val="38"/>
              <w:spacing w:before="170" w:line="206" w:lineRule="auto"/>
              <w:ind w:left="180"/>
              <w:rPr>
                <w:b/>
                <w:bCs/>
                <w:spacing w:val="-7"/>
              </w:rPr>
            </w:pPr>
          </w:p>
        </w:tc>
        <w:tc>
          <w:tcPr>
            <w:tcW w:w="1700" w:type="dxa"/>
          </w:tcPr>
          <w:p w14:paraId="4A741048">
            <w:pPr>
              <w:pStyle w:val="38"/>
              <w:spacing w:before="170" w:line="206" w:lineRule="auto"/>
              <w:ind w:left="180"/>
              <w:rPr>
                <w:b/>
                <w:bCs/>
                <w:spacing w:val="-7"/>
              </w:rPr>
            </w:pPr>
          </w:p>
        </w:tc>
        <w:tc>
          <w:tcPr>
            <w:tcW w:w="2555" w:type="dxa"/>
          </w:tcPr>
          <w:p w14:paraId="0FD4D820">
            <w:pPr>
              <w:pStyle w:val="38"/>
              <w:spacing w:before="170" w:line="206" w:lineRule="auto"/>
              <w:ind w:left="180"/>
              <w:rPr>
                <w:b/>
                <w:bCs/>
                <w:spacing w:val="-7"/>
              </w:rPr>
            </w:pPr>
          </w:p>
        </w:tc>
        <w:tc>
          <w:tcPr>
            <w:tcW w:w="1988" w:type="dxa"/>
          </w:tcPr>
          <w:p w14:paraId="7539CEF4">
            <w:pPr>
              <w:pStyle w:val="38"/>
              <w:spacing w:before="170" w:line="206" w:lineRule="auto"/>
              <w:ind w:left="180"/>
              <w:rPr>
                <w:b/>
                <w:bCs/>
                <w:spacing w:val="-7"/>
              </w:rPr>
            </w:pPr>
          </w:p>
        </w:tc>
      </w:tr>
      <w:tr w14:paraId="0206A9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31EAB36C">
            <w:pPr>
              <w:pStyle w:val="38"/>
              <w:spacing w:before="170" w:line="206" w:lineRule="auto"/>
              <w:ind w:left="180"/>
              <w:rPr>
                <w:b/>
                <w:bCs/>
                <w:spacing w:val="-7"/>
              </w:rPr>
            </w:pPr>
          </w:p>
        </w:tc>
        <w:tc>
          <w:tcPr>
            <w:tcW w:w="1967" w:type="dxa"/>
          </w:tcPr>
          <w:p w14:paraId="7BD8047F">
            <w:pPr>
              <w:pStyle w:val="38"/>
              <w:spacing w:before="170" w:line="206" w:lineRule="auto"/>
              <w:ind w:left="180"/>
              <w:rPr>
                <w:b/>
                <w:bCs/>
                <w:spacing w:val="-7"/>
              </w:rPr>
            </w:pPr>
          </w:p>
        </w:tc>
        <w:tc>
          <w:tcPr>
            <w:tcW w:w="1700" w:type="dxa"/>
          </w:tcPr>
          <w:p w14:paraId="5A9A682B">
            <w:pPr>
              <w:pStyle w:val="38"/>
              <w:spacing w:before="170" w:line="206" w:lineRule="auto"/>
              <w:ind w:left="180"/>
              <w:rPr>
                <w:b/>
                <w:bCs/>
                <w:spacing w:val="-7"/>
              </w:rPr>
            </w:pPr>
          </w:p>
        </w:tc>
        <w:tc>
          <w:tcPr>
            <w:tcW w:w="2555" w:type="dxa"/>
          </w:tcPr>
          <w:p w14:paraId="48A0AB2F">
            <w:pPr>
              <w:pStyle w:val="38"/>
              <w:spacing w:before="170" w:line="206" w:lineRule="auto"/>
              <w:ind w:left="180"/>
              <w:rPr>
                <w:b/>
                <w:bCs/>
                <w:spacing w:val="-7"/>
              </w:rPr>
            </w:pPr>
          </w:p>
        </w:tc>
        <w:tc>
          <w:tcPr>
            <w:tcW w:w="1988" w:type="dxa"/>
          </w:tcPr>
          <w:p w14:paraId="3F43A8FD">
            <w:pPr>
              <w:pStyle w:val="38"/>
              <w:spacing w:before="170" w:line="206" w:lineRule="auto"/>
              <w:ind w:left="180"/>
              <w:rPr>
                <w:b/>
                <w:bCs/>
                <w:spacing w:val="-7"/>
              </w:rPr>
            </w:pPr>
          </w:p>
        </w:tc>
      </w:tr>
      <w:tr w14:paraId="615193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6ED1CC4E">
            <w:pPr>
              <w:pStyle w:val="38"/>
              <w:spacing w:before="170" w:line="206" w:lineRule="auto"/>
              <w:ind w:left="180"/>
              <w:rPr>
                <w:b/>
                <w:bCs/>
                <w:spacing w:val="-7"/>
              </w:rPr>
            </w:pPr>
          </w:p>
        </w:tc>
        <w:tc>
          <w:tcPr>
            <w:tcW w:w="1967" w:type="dxa"/>
          </w:tcPr>
          <w:p w14:paraId="3E9EA536">
            <w:pPr>
              <w:pStyle w:val="38"/>
              <w:spacing w:before="170" w:line="206" w:lineRule="auto"/>
              <w:ind w:left="180"/>
              <w:rPr>
                <w:b/>
                <w:bCs/>
                <w:spacing w:val="-7"/>
              </w:rPr>
            </w:pPr>
          </w:p>
        </w:tc>
        <w:tc>
          <w:tcPr>
            <w:tcW w:w="1700" w:type="dxa"/>
          </w:tcPr>
          <w:p w14:paraId="2BEC2CD7">
            <w:pPr>
              <w:pStyle w:val="38"/>
              <w:spacing w:before="170" w:line="206" w:lineRule="auto"/>
              <w:ind w:left="180"/>
              <w:rPr>
                <w:b/>
                <w:bCs/>
                <w:spacing w:val="-7"/>
              </w:rPr>
            </w:pPr>
          </w:p>
        </w:tc>
        <w:tc>
          <w:tcPr>
            <w:tcW w:w="2555" w:type="dxa"/>
          </w:tcPr>
          <w:p w14:paraId="31D840BA">
            <w:pPr>
              <w:pStyle w:val="38"/>
              <w:spacing w:before="170" w:line="206" w:lineRule="auto"/>
              <w:ind w:left="180"/>
              <w:rPr>
                <w:b/>
                <w:bCs/>
                <w:spacing w:val="-7"/>
              </w:rPr>
            </w:pPr>
          </w:p>
        </w:tc>
        <w:tc>
          <w:tcPr>
            <w:tcW w:w="1988" w:type="dxa"/>
          </w:tcPr>
          <w:p w14:paraId="2E31A229">
            <w:pPr>
              <w:pStyle w:val="38"/>
              <w:spacing w:before="170" w:line="206" w:lineRule="auto"/>
              <w:ind w:left="180"/>
              <w:rPr>
                <w:b/>
                <w:bCs/>
                <w:spacing w:val="-7"/>
              </w:rPr>
            </w:pPr>
          </w:p>
        </w:tc>
      </w:tr>
      <w:tr w14:paraId="02E35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00307E9C">
            <w:pPr>
              <w:pStyle w:val="38"/>
              <w:spacing w:before="170" w:line="206" w:lineRule="auto"/>
              <w:ind w:left="180"/>
              <w:rPr>
                <w:b/>
                <w:bCs/>
                <w:spacing w:val="-7"/>
              </w:rPr>
            </w:pPr>
          </w:p>
        </w:tc>
        <w:tc>
          <w:tcPr>
            <w:tcW w:w="1967" w:type="dxa"/>
          </w:tcPr>
          <w:p w14:paraId="2B3BA7F1">
            <w:pPr>
              <w:pStyle w:val="38"/>
              <w:spacing w:before="170" w:line="206" w:lineRule="auto"/>
              <w:ind w:left="180"/>
              <w:rPr>
                <w:b/>
                <w:bCs/>
                <w:spacing w:val="-7"/>
              </w:rPr>
            </w:pPr>
          </w:p>
        </w:tc>
        <w:tc>
          <w:tcPr>
            <w:tcW w:w="1700" w:type="dxa"/>
          </w:tcPr>
          <w:p w14:paraId="56CF12C3">
            <w:pPr>
              <w:pStyle w:val="38"/>
              <w:spacing w:before="170" w:line="206" w:lineRule="auto"/>
              <w:ind w:left="180"/>
              <w:rPr>
                <w:b/>
                <w:bCs/>
                <w:spacing w:val="-7"/>
              </w:rPr>
            </w:pPr>
          </w:p>
        </w:tc>
        <w:tc>
          <w:tcPr>
            <w:tcW w:w="2555" w:type="dxa"/>
          </w:tcPr>
          <w:p w14:paraId="7BDD3074">
            <w:pPr>
              <w:pStyle w:val="38"/>
              <w:spacing w:before="170" w:line="206" w:lineRule="auto"/>
              <w:ind w:left="180"/>
              <w:rPr>
                <w:b/>
                <w:bCs/>
                <w:spacing w:val="-7"/>
              </w:rPr>
            </w:pPr>
          </w:p>
        </w:tc>
        <w:tc>
          <w:tcPr>
            <w:tcW w:w="1988" w:type="dxa"/>
          </w:tcPr>
          <w:p w14:paraId="24C989A0">
            <w:pPr>
              <w:pStyle w:val="38"/>
              <w:spacing w:before="170" w:line="206" w:lineRule="auto"/>
              <w:ind w:left="180"/>
              <w:rPr>
                <w:b/>
                <w:bCs/>
                <w:spacing w:val="-7"/>
              </w:rPr>
            </w:pPr>
          </w:p>
        </w:tc>
      </w:tr>
      <w:tr w14:paraId="138C44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7FBB6358">
            <w:pPr>
              <w:pStyle w:val="38"/>
              <w:spacing w:before="170" w:line="206" w:lineRule="auto"/>
              <w:ind w:left="180"/>
              <w:rPr>
                <w:b/>
                <w:bCs/>
                <w:spacing w:val="-7"/>
              </w:rPr>
            </w:pPr>
          </w:p>
        </w:tc>
        <w:tc>
          <w:tcPr>
            <w:tcW w:w="1967" w:type="dxa"/>
          </w:tcPr>
          <w:p w14:paraId="7CC155DE">
            <w:pPr>
              <w:pStyle w:val="38"/>
              <w:spacing w:before="170" w:line="206" w:lineRule="auto"/>
              <w:ind w:left="180"/>
              <w:rPr>
                <w:b/>
                <w:bCs/>
                <w:spacing w:val="-7"/>
              </w:rPr>
            </w:pPr>
          </w:p>
        </w:tc>
        <w:tc>
          <w:tcPr>
            <w:tcW w:w="1700" w:type="dxa"/>
          </w:tcPr>
          <w:p w14:paraId="7C436A5D">
            <w:pPr>
              <w:pStyle w:val="38"/>
              <w:spacing w:before="170" w:line="206" w:lineRule="auto"/>
              <w:ind w:left="180"/>
              <w:rPr>
                <w:b/>
                <w:bCs/>
                <w:spacing w:val="-7"/>
              </w:rPr>
            </w:pPr>
          </w:p>
        </w:tc>
        <w:tc>
          <w:tcPr>
            <w:tcW w:w="2555" w:type="dxa"/>
          </w:tcPr>
          <w:p w14:paraId="59074794">
            <w:pPr>
              <w:pStyle w:val="38"/>
              <w:spacing w:before="170" w:line="206" w:lineRule="auto"/>
              <w:ind w:left="180"/>
              <w:rPr>
                <w:b/>
                <w:bCs/>
                <w:spacing w:val="-7"/>
              </w:rPr>
            </w:pPr>
          </w:p>
        </w:tc>
        <w:tc>
          <w:tcPr>
            <w:tcW w:w="1988" w:type="dxa"/>
          </w:tcPr>
          <w:p w14:paraId="0F790153">
            <w:pPr>
              <w:pStyle w:val="38"/>
              <w:spacing w:before="170" w:line="206" w:lineRule="auto"/>
              <w:ind w:left="180"/>
              <w:rPr>
                <w:b/>
                <w:bCs/>
                <w:spacing w:val="-7"/>
              </w:rPr>
            </w:pPr>
          </w:p>
        </w:tc>
      </w:tr>
      <w:tr w14:paraId="3D1A0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7E5E06FB">
            <w:pPr>
              <w:pStyle w:val="38"/>
              <w:spacing w:before="170" w:line="206" w:lineRule="auto"/>
              <w:ind w:left="180"/>
              <w:rPr>
                <w:b/>
                <w:bCs/>
                <w:spacing w:val="-7"/>
              </w:rPr>
            </w:pPr>
          </w:p>
        </w:tc>
        <w:tc>
          <w:tcPr>
            <w:tcW w:w="1967" w:type="dxa"/>
          </w:tcPr>
          <w:p w14:paraId="6A1A5A58">
            <w:pPr>
              <w:pStyle w:val="38"/>
              <w:spacing w:before="170" w:line="206" w:lineRule="auto"/>
              <w:ind w:left="180"/>
              <w:rPr>
                <w:b/>
                <w:bCs/>
                <w:spacing w:val="-7"/>
              </w:rPr>
            </w:pPr>
          </w:p>
        </w:tc>
        <w:tc>
          <w:tcPr>
            <w:tcW w:w="1700" w:type="dxa"/>
          </w:tcPr>
          <w:p w14:paraId="5F59D2EC">
            <w:pPr>
              <w:pStyle w:val="38"/>
              <w:spacing w:before="170" w:line="206" w:lineRule="auto"/>
              <w:ind w:left="180"/>
              <w:rPr>
                <w:b/>
                <w:bCs/>
                <w:spacing w:val="-7"/>
              </w:rPr>
            </w:pPr>
          </w:p>
        </w:tc>
        <w:tc>
          <w:tcPr>
            <w:tcW w:w="2555" w:type="dxa"/>
          </w:tcPr>
          <w:p w14:paraId="26B22CF2">
            <w:pPr>
              <w:pStyle w:val="38"/>
              <w:spacing w:before="170" w:line="206" w:lineRule="auto"/>
              <w:ind w:left="180"/>
              <w:rPr>
                <w:b/>
                <w:bCs/>
                <w:spacing w:val="-7"/>
              </w:rPr>
            </w:pPr>
          </w:p>
        </w:tc>
        <w:tc>
          <w:tcPr>
            <w:tcW w:w="1988" w:type="dxa"/>
          </w:tcPr>
          <w:p w14:paraId="4C3EC322">
            <w:pPr>
              <w:pStyle w:val="38"/>
              <w:spacing w:before="170" w:line="206" w:lineRule="auto"/>
              <w:ind w:left="180"/>
              <w:rPr>
                <w:b/>
                <w:bCs/>
                <w:spacing w:val="-7"/>
              </w:rPr>
            </w:pPr>
          </w:p>
        </w:tc>
      </w:tr>
      <w:tr w14:paraId="31AAF6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6BCE143B">
            <w:pPr>
              <w:pStyle w:val="38"/>
              <w:spacing w:before="170" w:line="206" w:lineRule="auto"/>
              <w:ind w:left="180"/>
              <w:rPr>
                <w:b/>
                <w:bCs/>
                <w:spacing w:val="-7"/>
              </w:rPr>
            </w:pPr>
          </w:p>
        </w:tc>
        <w:tc>
          <w:tcPr>
            <w:tcW w:w="1967" w:type="dxa"/>
          </w:tcPr>
          <w:p w14:paraId="6A58A4EC">
            <w:pPr>
              <w:pStyle w:val="38"/>
              <w:spacing w:before="170" w:line="206" w:lineRule="auto"/>
              <w:ind w:left="180"/>
              <w:rPr>
                <w:b/>
                <w:bCs/>
                <w:spacing w:val="-7"/>
              </w:rPr>
            </w:pPr>
          </w:p>
        </w:tc>
        <w:tc>
          <w:tcPr>
            <w:tcW w:w="1700" w:type="dxa"/>
          </w:tcPr>
          <w:p w14:paraId="3E7540E2">
            <w:pPr>
              <w:pStyle w:val="38"/>
              <w:spacing w:before="170" w:line="206" w:lineRule="auto"/>
              <w:ind w:left="180"/>
              <w:rPr>
                <w:b/>
                <w:bCs/>
                <w:spacing w:val="-7"/>
              </w:rPr>
            </w:pPr>
          </w:p>
        </w:tc>
        <w:tc>
          <w:tcPr>
            <w:tcW w:w="2555" w:type="dxa"/>
          </w:tcPr>
          <w:p w14:paraId="3FDBE85B">
            <w:pPr>
              <w:pStyle w:val="38"/>
              <w:spacing w:before="170" w:line="206" w:lineRule="auto"/>
              <w:ind w:left="180"/>
              <w:rPr>
                <w:b/>
                <w:bCs/>
                <w:spacing w:val="-7"/>
              </w:rPr>
            </w:pPr>
          </w:p>
        </w:tc>
        <w:tc>
          <w:tcPr>
            <w:tcW w:w="1988" w:type="dxa"/>
          </w:tcPr>
          <w:p w14:paraId="35F4B59D">
            <w:pPr>
              <w:pStyle w:val="38"/>
              <w:spacing w:before="170" w:line="206" w:lineRule="auto"/>
              <w:ind w:left="180"/>
              <w:rPr>
                <w:b/>
                <w:bCs/>
                <w:spacing w:val="-7"/>
              </w:rPr>
            </w:pPr>
          </w:p>
        </w:tc>
      </w:tr>
      <w:tr w14:paraId="72EE20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09CB0B02">
            <w:pPr>
              <w:pStyle w:val="38"/>
              <w:spacing w:before="170" w:line="206" w:lineRule="auto"/>
              <w:ind w:left="180"/>
              <w:rPr>
                <w:b/>
                <w:bCs/>
                <w:spacing w:val="-7"/>
              </w:rPr>
            </w:pPr>
            <w:r>
              <w:rPr>
                <w:b/>
                <w:bCs/>
                <w:spacing w:val="-7"/>
              </w:rPr>
              <w:t>……</w:t>
            </w:r>
          </w:p>
        </w:tc>
        <w:tc>
          <w:tcPr>
            <w:tcW w:w="1967" w:type="dxa"/>
          </w:tcPr>
          <w:p w14:paraId="361D00AA">
            <w:pPr>
              <w:pStyle w:val="38"/>
              <w:spacing w:before="170" w:line="206" w:lineRule="auto"/>
              <w:ind w:left="180"/>
              <w:rPr>
                <w:b/>
                <w:bCs/>
                <w:spacing w:val="-7"/>
              </w:rPr>
            </w:pPr>
          </w:p>
        </w:tc>
        <w:tc>
          <w:tcPr>
            <w:tcW w:w="1700" w:type="dxa"/>
          </w:tcPr>
          <w:p w14:paraId="046567CF">
            <w:pPr>
              <w:pStyle w:val="38"/>
              <w:spacing w:before="170" w:line="206" w:lineRule="auto"/>
              <w:ind w:left="180"/>
              <w:rPr>
                <w:b/>
                <w:bCs/>
                <w:spacing w:val="-7"/>
              </w:rPr>
            </w:pPr>
          </w:p>
        </w:tc>
        <w:tc>
          <w:tcPr>
            <w:tcW w:w="2555" w:type="dxa"/>
          </w:tcPr>
          <w:p w14:paraId="7FB38AF1">
            <w:pPr>
              <w:pStyle w:val="38"/>
              <w:spacing w:before="170" w:line="206" w:lineRule="auto"/>
              <w:ind w:left="180"/>
              <w:rPr>
                <w:b/>
                <w:bCs/>
                <w:spacing w:val="-7"/>
              </w:rPr>
            </w:pPr>
          </w:p>
        </w:tc>
        <w:tc>
          <w:tcPr>
            <w:tcW w:w="1988" w:type="dxa"/>
          </w:tcPr>
          <w:p w14:paraId="2481FEAC">
            <w:pPr>
              <w:pStyle w:val="38"/>
              <w:spacing w:before="170" w:line="206" w:lineRule="auto"/>
              <w:ind w:left="180"/>
              <w:rPr>
                <w:b/>
                <w:bCs/>
                <w:spacing w:val="-7"/>
              </w:rPr>
            </w:pPr>
          </w:p>
        </w:tc>
      </w:tr>
      <w:tr w14:paraId="34C337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9035" w:type="dxa"/>
            <w:gridSpan w:val="5"/>
          </w:tcPr>
          <w:p w14:paraId="2FC0D721">
            <w:pPr>
              <w:pStyle w:val="38"/>
              <w:spacing w:before="170" w:line="206" w:lineRule="auto"/>
              <w:ind w:left="180"/>
              <w:rPr>
                <w:b/>
                <w:bCs/>
                <w:spacing w:val="-7"/>
              </w:rPr>
            </w:pPr>
            <w:r>
              <w:rPr>
                <w:b/>
                <w:bCs/>
                <w:spacing w:val="-7"/>
              </w:rPr>
              <w:t>数量合计（个）：</w:t>
            </w:r>
          </w:p>
        </w:tc>
      </w:tr>
    </w:tbl>
    <w:p w14:paraId="1273DD4C">
      <w:pPr>
        <w:pStyle w:val="10"/>
        <w:spacing w:before="41" w:line="222" w:lineRule="auto"/>
        <w:ind w:left="333" w:firstLine="482"/>
        <w:rPr>
          <w:rFonts w:ascii="仿宋" w:hAnsi="仿宋" w:eastAsia="仿宋" w:cs="仿宋"/>
          <w:b/>
          <w:kern w:val="0"/>
          <w:szCs w:val="24"/>
        </w:rPr>
      </w:pPr>
    </w:p>
    <w:p w14:paraId="626AEA1A">
      <w:pPr>
        <w:pStyle w:val="10"/>
        <w:spacing w:before="41" w:line="222" w:lineRule="auto"/>
        <w:ind w:firstLine="482"/>
        <w:rPr>
          <w:rFonts w:ascii="仿宋" w:hAnsi="仿宋" w:eastAsia="仿宋" w:cs="仿宋"/>
          <w:b/>
          <w:kern w:val="0"/>
          <w:szCs w:val="24"/>
          <w:lang w:eastAsia="zh-CN"/>
        </w:rPr>
      </w:pPr>
      <w:r>
        <w:rPr>
          <w:rFonts w:hint="eastAsia" w:ascii="仿宋" w:hAnsi="仿宋" w:eastAsia="仿宋" w:cs="仿宋"/>
          <w:b/>
          <w:kern w:val="0"/>
          <w:szCs w:val="24"/>
          <w:lang w:eastAsia="zh-CN"/>
        </w:rPr>
        <w:t>注：本表后附相关证明材料。</w:t>
      </w:r>
    </w:p>
    <w:p w14:paraId="061C2CB5">
      <w:pPr>
        <w:rPr>
          <w:rFonts w:ascii="仿宋" w:hAnsi="仿宋" w:eastAsia="仿宋" w:cs="仿宋"/>
          <w:sz w:val="28"/>
          <w:szCs w:val="28"/>
        </w:rPr>
      </w:pPr>
    </w:p>
    <w:p w14:paraId="0AC282B4">
      <w:pPr>
        <w:rPr>
          <w:rFonts w:ascii="仿宋" w:hAnsi="仿宋" w:eastAsia="仿宋" w:cs="仿宋"/>
          <w:sz w:val="28"/>
          <w:szCs w:val="28"/>
        </w:rPr>
      </w:pPr>
    </w:p>
    <w:p w14:paraId="5CF291B7">
      <w:pPr>
        <w:spacing w:line="480" w:lineRule="auto"/>
        <w:rPr>
          <w:rFonts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14:paraId="20200492">
      <w:pPr>
        <w:spacing w:line="360" w:lineRule="auto"/>
        <w:rPr>
          <w:rFonts w:ascii="仿宋" w:hAnsi="仿宋" w:eastAsia="仿宋" w:cs="仿宋"/>
          <w:sz w:val="24"/>
        </w:rPr>
      </w:pPr>
      <w:r>
        <w:rPr>
          <w:rFonts w:hint="eastAsia" w:ascii="仿宋" w:hAnsi="仿宋" w:eastAsia="仿宋" w:cs="仿宋"/>
          <w:sz w:val="24"/>
        </w:rPr>
        <w:t>法定代表人或被授权人：</w:t>
      </w:r>
      <w:r>
        <w:rPr>
          <w:rFonts w:hint="eastAsia" w:ascii="仿宋" w:hAnsi="仿宋" w:eastAsia="仿宋" w:cs="仿宋"/>
          <w:sz w:val="24"/>
          <w:u w:val="single"/>
        </w:rPr>
        <w:t xml:space="preserve">                </w:t>
      </w:r>
      <w:r>
        <w:rPr>
          <w:rFonts w:hint="eastAsia" w:ascii="仿宋" w:hAnsi="仿宋" w:eastAsia="仿宋" w:cs="仿宋"/>
          <w:sz w:val="24"/>
        </w:rPr>
        <w:t>(签字或盖章)</w:t>
      </w:r>
    </w:p>
    <w:p w14:paraId="2BFF0792">
      <w:pPr>
        <w:pStyle w:val="13"/>
        <w:spacing w:line="360" w:lineRule="auto"/>
        <w:rPr>
          <w:rFonts w:ascii="仿宋" w:hAnsi="仿宋" w:eastAsia="仿宋" w:cs="仿宋"/>
          <w:b/>
          <w:sz w:val="32"/>
          <w:szCs w:val="32"/>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21B7FED4">
      <w:pPr>
        <w:pStyle w:val="30"/>
        <w:spacing w:line="360" w:lineRule="auto"/>
        <w:ind w:firstLine="482"/>
        <w:jc w:val="center"/>
        <w:outlineLvl w:val="1"/>
        <w:rPr>
          <w:rFonts w:ascii="仿宋" w:hAnsi="仿宋" w:eastAsia="仿宋" w:cs="仿宋"/>
          <w:b/>
          <w:sz w:val="28"/>
          <w:szCs w:val="28"/>
        </w:rPr>
      </w:pPr>
      <w:r>
        <w:rPr>
          <w:rFonts w:hint="eastAsia" w:ascii="仿宋" w:hAnsi="仿宋" w:eastAsia="仿宋" w:cs="仿宋"/>
          <w:b/>
          <w:sz w:val="24"/>
        </w:rPr>
        <w:br w:type="page"/>
      </w:r>
      <w:bookmarkStart w:id="88" w:name="_Toc24639"/>
      <w:r>
        <w:rPr>
          <w:rFonts w:hint="eastAsia" w:ascii="仿宋" w:hAnsi="仿宋" w:eastAsia="仿宋" w:cs="仿宋"/>
          <w:b/>
          <w:sz w:val="28"/>
          <w:szCs w:val="28"/>
        </w:rPr>
        <w:t>六、协商响应方案说明</w:t>
      </w:r>
      <w:bookmarkEnd w:id="88"/>
    </w:p>
    <w:p w14:paraId="52DDF2FD">
      <w:pPr>
        <w:pStyle w:val="30"/>
        <w:spacing w:line="360" w:lineRule="auto"/>
        <w:ind w:firstLine="480"/>
        <w:rPr>
          <w:rFonts w:ascii="仿宋" w:hAnsi="仿宋" w:eastAsia="仿宋" w:cs="仿宋"/>
          <w:sz w:val="24"/>
          <w:szCs w:val="24"/>
        </w:rPr>
      </w:pPr>
      <w:r>
        <w:rPr>
          <w:rFonts w:hint="eastAsia" w:ascii="仿宋" w:hAnsi="仿宋" w:eastAsia="仿宋" w:cs="仿宋"/>
          <w:sz w:val="24"/>
          <w:szCs w:val="24"/>
        </w:rPr>
        <w:t>供应商应按照单一来源采购文件要求，根据“第三章 协商要求”的内容作出全面响应。编制和提交的内容应包括但不限于以下各项。对必须满足的内容，必须完全满足。对响应有差异的，则说明差异的内容。</w:t>
      </w:r>
    </w:p>
    <w:p w14:paraId="484826BB">
      <w:pPr>
        <w:spacing w:line="360" w:lineRule="auto"/>
        <w:ind w:firstLine="480" w:firstLineChars="200"/>
        <w:rPr>
          <w:rFonts w:ascii="仿宋" w:hAnsi="仿宋" w:eastAsia="仿宋" w:cs="仿宋"/>
          <w:sz w:val="24"/>
        </w:rPr>
      </w:pPr>
      <w:r>
        <w:rPr>
          <w:rFonts w:hint="eastAsia" w:ascii="仿宋" w:hAnsi="仿宋" w:eastAsia="仿宋" w:cs="仿宋"/>
          <w:sz w:val="24"/>
        </w:rPr>
        <w:t>1）供应商简介；</w:t>
      </w:r>
    </w:p>
    <w:p w14:paraId="37BCD473">
      <w:pPr>
        <w:spacing w:line="360" w:lineRule="auto"/>
        <w:ind w:firstLine="480" w:firstLineChars="200"/>
        <w:rPr>
          <w:rFonts w:ascii="仿宋" w:hAnsi="仿宋" w:eastAsia="仿宋" w:cs="仿宋"/>
          <w:sz w:val="24"/>
        </w:rPr>
      </w:pPr>
      <w:r>
        <w:rPr>
          <w:rFonts w:hint="eastAsia" w:ascii="仿宋" w:hAnsi="仿宋" w:eastAsia="仿宋" w:cs="仿宋"/>
          <w:sz w:val="24"/>
        </w:rPr>
        <w:t>2）针对本项目实施方案；</w:t>
      </w:r>
    </w:p>
    <w:p w14:paraId="14689AA7">
      <w:pPr>
        <w:spacing w:line="360" w:lineRule="auto"/>
        <w:ind w:firstLine="480" w:firstLineChars="200"/>
        <w:rPr>
          <w:rFonts w:ascii="仿宋" w:hAnsi="仿宋" w:eastAsia="仿宋" w:cs="仿宋"/>
          <w:sz w:val="24"/>
        </w:rPr>
      </w:pPr>
      <w:r>
        <w:rPr>
          <w:rFonts w:hint="eastAsia" w:ascii="仿宋" w:hAnsi="仿宋" w:eastAsia="仿宋" w:cs="仿宋"/>
          <w:sz w:val="24"/>
        </w:rPr>
        <w:t>3）供应商完成项目保障能力（包括人员配备方案等）；</w:t>
      </w:r>
    </w:p>
    <w:p w14:paraId="371519A5">
      <w:pPr>
        <w:spacing w:line="360" w:lineRule="auto"/>
        <w:ind w:firstLine="480" w:firstLineChars="200"/>
        <w:rPr>
          <w:rFonts w:ascii="仿宋" w:hAnsi="仿宋" w:eastAsia="仿宋" w:cs="仿宋"/>
          <w:sz w:val="24"/>
        </w:rPr>
      </w:pPr>
      <w:r>
        <w:rPr>
          <w:rFonts w:hint="eastAsia" w:ascii="仿宋" w:hAnsi="仿宋" w:eastAsia="仿宋" w:cs="仿宋"/>
          <w:sz w:val="24"/>
        </w:rPr>
        <w:t>4）供应商认为有必要说明的问题。</w:t>
      </w:r>
    </w:p>
    <w:p w14:paraId="347EB8FC">
      <w:pPr>
        <w:pStyle w:val="12"/>
        <w:spacing w:before="120"/>
        <w:ind w:left="0" w:right="34"/>
        <w:jc w:val="center"/>
        <w:outlineLvl w:val="1"/>
        <w:rPr>
          <w:rFonts w:ascii="仿宋" w:hAnsi="仿宋" w:eastAsia="仿宋" w:cs="仿宋"/>
          <w:b/>
          <w:bCs/>
          <w:kern w:val="2"/>
          <w:sz w:val="28"/>
          <w:szCs w:val="28"/>
        </w:rPr>
      </w:pPr>
      <w:r>
        <w:rPr>
          <w:rFonts w:hint="eastAsia" w:ascii="仿宋" w:hAnsi="仿宋" w:eastAsia="仿宋" w:cs="仿宋"/>
        </w:rPr>
        <w:br w:type="page"/>
      </w:r>
      <w:bookmarkStart w:id="89" w:name="_Toc31663"/>
      <w:bookmarkStart w:id="90" w:name="_Toc14703"/>
      <w:r>
        <w:rPr>
          <w:rFonts w:hint="eastAsia" w:ascii="仿宋" w:hAnsi="仿宋" w:eastAsia="仿宋" w:cs="仿宋"/>
          <w:b/>
          <w:bCs/>
          <w:kern w:val="2"/>
          <w:sz w:val="28"/>
          <w:szCs w:val="28"/>
        </w:rPr>
        <w:t>七、其他资料</w:t>
      </w:r>
      <w:bookmarkEnd w:id="89"/>
      <w:bookmarkEnd w:id="90"/>
    </w:p>
    <w:p w14:paraId="6FB97EAF">
      <w:pPr>
        <w:jc w:val="center"/>
      </w:pPr>
      <w:r>
        <w:rPr>
          <w:rFonts w:hint="eastAsia" w:ascii="仿宋" w:hAnsi="仿宋" w:eastAsia="仿宋" w:cs="仿宋"/>
          <w:sz w:val="24"/>
        </w:rPr>
        <w:t>（附有关本次采购的其他说明资料）</w:t>
      </w:r>
    </w:p>
    <w:sectPr>
      <w:footerReference r:id="rId30" w:type="default"/>
      <w:pgSz w:w="11906" w:h="16838"/>
      <w:pgMar w:top="1440" w:right="1060" w:bottom="1440" w:left="1389" w:header="850" w:footer="992" w:gutter="0"/>
      <w:cols w:space="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A81B4">
    <w:pPr>
      <w:pStyle w:val="1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26DD4">
    <w:pPr>
      <w:pStyle w:val="15"/>
      <w:jc w:val="cente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93D825">
                          <w:pPr>
                            <w:pStyle w:val="15"/>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1593D825">
                    <w:pPr>
                      <w:pStyle w:val="15"/>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60111">
    <w:pPr>
      <w:pBdr>
        <w:top w:val="double" w:color="auto" w:sz="4" w:space="1"/>
      </w:pBdr>
      <w:tabs>
        <w:tab w:val="center" w:pos="4685"/>
      </w:tabs>
      <w:jc w:val="left"/>
      <w:rPr>
        <w:rFonts w:ascii="仿宋" w:hAnsi="仿宋" w:eastAsia="仿宋" w:cs="仿宋"/>
        <w:szCs w:val="21"/>
      </w:rPr>
    </w:pPr>
    <w:r>
      <mc:AlternateContent>
        <mc:Choice Requires="wps">
          <w:drawing>
            <wp:anchor distT="0" distB="0" distL="114300" distR="114300" simplePos="0" relativeHeight="251671552" behindDoc="0" locked="0" layoutInCell="1" allowOverlap="1">
              <wp:simplePos x="0" y="0"/>
              <wp:positionH relativeFrom="margin">
                <wp:posOffset>2809240</wp:posOffset>
              </wp:positionH>
              <wp:positionV relativeFrom="paragraph">
                <wp:posOffset>285750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60D7C4">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21.2pt;margin-top:22.5pt;height:144pt;width:144pt;mso-position-horizontal-relative:margin;mso-wrap-style:none;z-index:251671552;mso-width-relative:page;mso-height-relative:page;" filled="f" stroked="f" coordsize="21600,21600" o:gfxdata="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PyGiVNcAAAAKAQAADwAAAAAAAAABACAAAAAiAAAAZHJzL2Rvd25yZXYueG1sUEsBAhQA&#10;FAAAAAgAh07iQK9j2DAsAgAAVQQAAA4AAAAAAAAAAQAgAAAAJgEAAGRycy9lMm9Eb2MueG1sUEsF&#10;BgAAAAAGAAYAWQEAAMQFAAAAAA==&#10;">
              <v:fill on="f" focussize="0,0"/>
              <v:stroke on="f" weight="0.5pt"/>
              <v:imagedata o:title=""/>
              <o:lock v:ext="edit" aspectratio="f"/>
              <v:textbox inset="0mm,0mm,0mm,0mm" style="mso-fit-shape-to-text:t;">
                <w:txbxContent>
                  <w:p w14:paraId="7B60D7C4">
                    <w:pPr>
                      <w:pStyle w:val="15"/>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仿宋" w:hAnsi="仿宋" w:eastAsia="仿宋" w:cs="仿宋"/>
        <w:szCs w:val="21"/>
      </w:rPr>
      <mc:AlternateContent>
        <mc:Choice Requires="wps">
          <w:drawing>
            <wp:anchor distT="0" distB="0" distL="114300" distR="114300" simplePos="0" relativeHeight="251667456" behindDoc="0" locked="0" layoutInCell="1" allowOverlap="1">
              <wp:simplePos x="0" y="0"/>
              <wp:positionH relativeFrom="margin">
                <wp:posOffset>2230755</wp:posOffset>
              </wp:positionH>
              <wp:positionV relativeFrom="paragraph">
                <wp:posOffset>310515</wp:posOffset>
              </wp:positionV>
              <wp:extent cx="504825" cy="376555"/>
              <wp:effectExtent l="0" t="0" r="0" b="0"/>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504825" cy="376555"/>
                      </a:xfrm>
                      <a:prstGeom prst="rect">
                        <a:avLst/>
                      </a:prstGeom>
                      <a:noFill/>
                      <a:ln>
                        <a:noFill/>
                      </a:ln>
                      <a:effectLst/>
                    </wps:spPr>
                    <wps:txbx>
                      <w:txbxContent>
                        <w:p w14:paraId="3B26E2E8">
                          <w:pPr>
                            <w:snapToGrid w:val="0"/>
                            <w:rPr>
                              <w:sz w:val="18"/>
                            </w:rPr>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175.65pt;margin-top:24.45pt;height:29.65pt;width:39.75pt;mso-position-horizontal-relative:margin;z-index:251667456;mso-width-relative:page;mso-height-relative:page;" filled="f" stroked="f" coordsize="21600,21600" o:gfxdata="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UMFQQtkAAAAKAQAADwAAAAAA&#10;AAABACAAAAAiAAAAZHJzL2Rvd25yZXYueG1sUEsBAhQAFAAAAAgAh07iQAJyx7USAgAAEgQAAA4A&#10;AAAAAAAAAQAgAAAAKAEAAGRycy9lMm9Eb2MueG1sUEsFBgAAAAAGAAYAWQEAAKwFAAAAAA==&#10;">
              <v:fill on="f" focussize="0,0"/>
              <v:stroke on="f"/>
              <v:imagedata o:title=""/>
              <o:lock v:ext="edit" aspectratio="f"/>
              <v:textbox inset="0mm,0mm,0mm,0mm">
                <w:txbxContent>
                  <w:p w14:paraId="3B26E2E8">
                    <w:pPr>
                      <w:snapToGrid w:val="0"/>
                      <w:rPr>
                        <w:sz w:val="18"/>
                      </w:rPr>
                    </w:pPr>
                  </w:p>
                </w:txbxContent>
              </v:textbox>
            </v:shape>
          </w:pict>
        </mc:Fallback>
      </mc:AlternateContent>
    </w:r>
    <w:r>
      <w:rPr>
        <w:rFonts w:hint="eastAsia" w:ascii="仿宋" w:hAnsi="仿宋" w:eastAsia="仿宋" w:cs="仿宋"/>
        <w:szCs w:val="21"/>
      </w:rPr>
      <w:t xml:space="preserve">陕西德仁招标有限公司 </w:t>
    </w:r>
    <w:r>
      <w:rPr>
        <w:rFonts w:hint="eastAsia" w:ascii="仿宋" w:hAnsi="仿宋" w:eastAsia="仿宋" w:cs="仿宋"/>
        <w:szCs w:val="21"/>
      </w:rPr>
      <w:tab/>
    </w:r>
    <w:r>
      <w:rPr>
        <w:rFonts w:hint="eastAsia" w:ascii="仿宋" w:hAnsi="仿宋" w:eastAsia="仿宋" w:cs="仿宋"/>
        <w:szCs w:val="21"/>
      </w:rPr>
      <w:t xml:space="preserve">       </w:t>
    </w:r>
    <w:r>
      <w:rPr>
        <w:rFonts w:hint="eastAsia" w:ascii="仿宋" w:hAnsi="仿宋" w:eastAsia="仿宋" w:cs="仿宋"/>
        <w:color w:val="333333"/>
        <w:szCs w:val="21"/>
        <w:shd w:val="clear" w:color="auto" w:fill="FFFFFF"/>
      </w:rPr>
      <w:t>西安市唐延路37号class公馆B栋1103室</w:t>
    </w:r>
    <w:r>
      <w:rPr>
        <w:rFonts w:hint="eastAsia" w:ascii="仿宋" w:hAnsi="仿宋" w:eastAsia="仿宋" w:cs="仿宋"/>
        <w:szCs w:val="21"/>
      </w:rPr>
      <w:t xml:space="preserve">        029-85565073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7638D">
    <w:pPr>
      <w:pBdr>
        <w:top w:val="double" w:color="auto" w:sz="4" w:space="1"/>
      </w:pBdr>
      <w:tabs>
        <w:tab w:val="center" w:pos="4685"/>
      </w:tabs>
      <w:jc w:val="left"/>
      <w:rPr>
        <w:rFonts w:ascii="宋体" w:hAnsi="宋体" w:cs="宋体"/>
        <w:szCs w:val="21"/>
      </w:rPr>
    </w:pPr>
    <w:r>
      <mc:AlternateContent>
        <mc:Choice Requires="wps">
          <w:drawing>
            <wp:anchor distT="0" distB="0" distL="114300" distR="114300" simplePos="0" relativeHeight="251672576" behindDoc="0" locked="0" layoutInCell="1" allowOverlap="1">
              <wp:simplePos x="0" y="0"/>
              <wp:positionH relativeFrom="margin">
                <wp:posOffset>2787015</wp:posOffset>
              </wp:positionH>
              <wp:positionV relativeFrom="paragraph">
                <wp:posOffset>271145</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FBD33B">
                          <w:pPr>
                            <w:pStyle w:val="15"/>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19.45pt;margin-top:21.35pt;height:144pt;width:144pt;mso-position-horizontal-relative:margin;mso-wrap-style:none;z-index:251672576;mso-width-relative:page;mso-height-relative:page;" filled="f" stroked="f" coordsize="21600,21600" o:gfxdata="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A6ILGtcAAAAKAQAADwAAAAAAAAABACAAAAAiAAAAZHJzL2Rvd25yZXYueG1sUEsBAhQA&#10;FAAAAAgAh07iQJ66C/ssAgAAVQQAAA4AAAAAAAAAAQAgAAAAJgEAAGRycy9lMm9Eb2MueG1sUEsF&#10;BgAAAAAGAAYAWQEAAMQFAAAAAA==&#10;">
              <v:fill on="f" focussize="0,0"/>
              <v:stroke on="f" weight="0.5pt"/>
              <v:imagedata o:title=""/>
              <o:lock v:ext="edit" aspectratio="f"/>
              <v:textbox inset="0mm,0mm,0mm,0mm" style="mso-fit-shape-to-text:t;">
                <w:txbxContent>
                  <w:p w14:paraId="2EFBD33B">
                    <w:pPr>
                      <w:pStyle w:val="15"/>
                    </w:pPr>
                    <w:r>
                      <w:fldChar w:fldCharType="begin"/>
                    </w:r>
                    <w:r>
                      <w:instrText xml:space="preserve"> PAGE  \* MERGEFORMAT </w:instrText>
                    </w:r>
                    <w:r>
                      <w:fldChar w:fldCharType="separate"/>
                    </w:r>
                    <w:r>
                      <w:t>21</w:t>
                    </w:r>
                    <w:r>
                      <w:fldChar w:fldCharType="end"/>
                    </w: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659264" behindDoc="0" locked="0" layoutInCell="1" allowOverlap="1">
              <wp:simplePos x="0" y="0"/>
              <wp:positionH relativeFrom="margin">
                <wp:posOffset>2802255</wp:posOffset>
              </wp:positionH>
              <wp:positionV relativeFrom="paragraph">
                <wp:posOffset>186690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6E0E707D">
                          <w:pPr>
                            <w:snapToGrid w:val="0"/>
                            <w:rPr>
                              <w:sz w:val="18"/>
                            </w:rPr>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left:220.65pt;margin-top:14.7pt;height:10.35pt;width:9.05pt;mso-position-horizontal-relative:margin;mso-wrap-style:none;z-index:251659264;mso-width-relative:page;mso-height-relative:page;" filled="f" stroked="f" coordsize="21600,21600" o:gfxdata="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3kB40dYAAAAJAQAADwAAAAAAAAABACAA&#10;AAAiAAAAZHJzL2Rvd25yZXYueG1sUEsBAhQAFAAAAAgAh07iQAghI9UPAgAAEAQAAA4AAAAAAAAA&#10;AQAgAAAAJQEAAGRycy9lMm9Eb2MueG1sUEsFBgAAAAAGAAYAWQEAAKYFAAAAAA==&#10;">
              <v:fill on="f" focussize="0,0"/>
              <v:stroke on="f"/>
              <v:imagedata o:title=""/>
              <o:lock v:ext="edit" aspectratio="f"/>
              <v:textbox inset="0mm,0mm,0mm,0mm" style="mso-fit-shape-to-text:t;">
                <w:txbxContent>
                  <w:p w14:paraId="6E0E707D">
                    <w:pPr>
                      <w:snapToGrid w:val="0"/>
                      <w:rPr>
                        <w:sz w:val="18"/>
                      </w:rPr>
                    </w:pPr>
                  </w:p>
                </w:txbxContent>
              </v:textbox>
            </v:shape>
          </w:pict>
        </mc:Fallback>
      </mc:AlternateContent>
    </w:r>
    <w:r>
      <w:rPr>
        <w:rFonts w:hint="eastAsia" w:ascii="仿宋" w:hAnsi="仿宋" w:eastAsia="仿宋" w:cs="仿宋"/>
      </w:rPr>
      <w:t xml:space="preserve">陕西德仁招标有限公司 </w:t>
    </w:r>
    <w:r>
      <w:rPr>
        <w:rFonts w:hint="eastAsia" w:ascii="仿宋" w:hAnsi="仿宋" w:eastAsia="仿宋" w:cs="仿宋"/>
      </w:rPr>
      <w:tab/>
    </w:r>
    <w:r>
      <w:rPr>
        <w:rFonts w:hint="eastAsia" w:ascii="仿宋" w:hAnsi="仿宋" w:eastAsia="仿宋" w:cs="仿宋"/>
      </w:rPr>
      <w:t xml:space="preserve">      </w:t>
    </w:r>
    <w:r>
      <w:rPr>
        <w:rFonts w:hint="eastAsia" w:ascii="仿宋" w:hAnsi="仿宋" w:eastAsia="仿宋" w:cs="仿宋"/>
        <w:color w:val="333333"/>
        <w:shd w:val="clear" w:color="auto" w:fill="FFFFFF"/>
      </w:rPr>
      <w:t>西安市唐延路37号class公馆B栋1103室</w:t>
    </w:r>
    <w:r>
      <w:rPr>
        <w:rFonts w:hint="eastAsia" w:ascii="仿宋" w:hAnsi="仿宋" w:eastAsia="仿宋" w:cs="仿宋"/>
      </w:rPr>
      <w:t xml:space="preserve">        029-85565073</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ECF09">
    <w:pPr>
      <w:pBdr>
        <w:top w:val="double" w:color="auto" w:sz="4" w:space="1"/>
      </w:pBdr>
      <w:tabs>
        <w:tab w:val="center" w:pos="4685"/>
      </w:tabs>
      <w:jc w:val="left"/>
      <w:rPr>
        <w:rFonts w:ascii="宋体" w:hAnsi="宋体" w:cs="宋体"/>
        <w:szCs w:val="21"/>
      </w:rPr>
    </w:pPr>
    <w:r>
      <mc:AlternateContent>
        <mc:Choice Requires="wps">
          <w:drawing>
            <wp:anchor distT="0" distB="0" distL="114300" distR="114300" simplePos="0" relativeHeight="251673600" behindDoc="0" locked="0" layoutInCell="1" allowOverlap="1">
              <wp:simplePos x="0" y="0"/>
              <wp:positionH relativeFrom="margin">
                <wp:posOffset>2776855</wp:posOffset>
              </wp:positionH>
              <wp:positionV relativeFrom="paragraph">
                <wp:posOffset>254000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84551">
                          <w:pPr>
                            <w:pStyle w:val="15"/>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18.65pt;margin-top:20pt;height:144pt;width:144pt;mso-position-horizontal-relative:margin;mso-wrap-style:none;z-index:251673600;mso-width-relative:page;mso-height-relative:page;" filled="f" stroked="f" coordsize="21600,21600" o:gfxdata="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cgrJh1wAAAAoBAAAPAAAAAAAAAAEAIAAAACIAAABkcnMvZG93bnJldi54bWxQSwECFAAU&#10;AAAACACHTuJAYpCETCsCAABXBAAADgAAAAAAAAABACAAAAAmAQAAZHJzL2Uyb0RvYy54bWxQSwUG&#10;AAAAAAYABgBZAQAAwwUAAAAA&#10;">
              <v:fill on="f" focussize="0,0"/>
              <v:stroke on="f" weight="0.5pt"/>
              <v:imagedata o:title=""/>
              <o:lock v:ext="edit" aspectratio="f"/>
              <v:textbox inset="0mm,0mm,0mm,0mm" style="mso-fit-shape-to-text:t;">
                <w:txbxContent>
                  <w:p w14:paraId="04E84551">
                    <w:pPr>
                      <w:pStyle w:val="15"/>
                    </w:pPr>
                    <w:r>
                      <w:fldChar w:fldCharType="begin"/>
                    </w:r>
                    <w:r>
                      <w:instrText xml:space="preserve"> PAGE  \* MERGEFORMAT </w:instrText>
                    </w:r>
                    <w:r>
                      <w:fldChar w:fldCharType="separate"/>
                    </w:r>
                    <w:r>
                      <w:t>34</w:t>
                    </w:r>
                    <w:r>
                      <w:fldChar w:fldCharType="end"/>
                    </w: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660288" behindDoc="0" locked="0" layoutInCell="1" allowOverlap="1">
              <wp:simplePos x="0" y="0"/>
              <wp:positionH relativeFrom="margin">
                <wp:posOffset>2802255</wp:posOffset>
              </wp:positionH>
              <wp:positionV relativeFrom="paragraph">
                <wp:posOffset>186690</wp:posOffset>
              </wp:positionV>
              <wp:extent cx="114935" cy="131445"/>
              <wp:effectExtent l="0" t="0" r="0" b="0"/>
              <wp:wrapNone/>
              <wp:docPr id="12" name="文本框 12"/>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571EC403">
                          <w:pPr>
                            <w:snapToGrid w:val="0"/>
                            <w:rPr>
                              <w:sz w:val="18"/>
                            </w:rPr>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left:220.65pt;margin-top:14.7pt;height:10.35pt;width:9.05pt;mso-position-horizontal-relative:margin;mso-wrap-style:none;z-index:251660288;mso-width-relative:page;mso-height-relative:page;" filled="f" stroked="f" coordsize="21600,21600" o:gfxdata="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3kB40dYAAAAJAQAADwAAAAAAAAABACAA&#10;AAAiAAAAZHJzL2Rvd25yZXYueG1sUEsBAhQAFAAAAAgAh07iQNim+c0PAgAAEgQAAA4AAAAAAAAA&#10;AQAgAAAAJQEAAGRycy9lMm9Eb2MueG1sUEsFBgAAAAAGAAYAWQEAAKYFAAAAAA==&#10;">
              <v:fill on="f" focussize="0,0"/>
              <v:stroke on="f"/>
              <v:imagedata o:title=""/>
              <o:lock v:ext="edit" aspectratio="f"/>
              <v:textbox inset="0mm,0mm,0mm,0mm" style="mso-fit-shape-to-text:t;">
                <w:txbxContent>
                  <w:p w14:paraId="571EC403">
                    <w:pPr>
                      <w:snapToGrid w:val="0"/>
                      <w:rPr>
                        <w:sz w:val="18"/>
                      </w:rPr>
                    </w:pPr>
                  </w:p>
                </w:txbxContent>
              </v:textbox>
            </v:shape>
          </w:pict>
        </mc:Fallback>
      </mc:AlternateContent>
    </w:r>
    <w:r>
      <w:rPr>
        <w:rFonts w:hint="eastAsia" w:ascii="仿宋" w:hAnsi="仿宋" w:eastAsia="仿宋" w:cs="仿宋"/>
      </w:rPr>
      <w:t xml:space="preserve">陕西德仁招标有限公司 </w:t>
    </w:r>
    <w:r>
      <w:rPr>
        <w:rFonts w:hint="eastAsia" w:ascii="仿宋" w:hAnsi="仿宋" w:eastAsia="仿宋" w:cs="仿宋"/>
      </w:rPr>
      <w:tab/>
    </w:r>
    <w:r>
      <w:rPr>
        <w:rFonts w:hint="eastAsia" w:ascii="仿宋" w:hAnsi="仿宋" w:eastAsia="仿宋" w:cs="仿宋"/>
      </w:rPr>
      <w:t xml:space="preserve">      </w:t>
    </w:r>
    <w:r>
      <w:rPr>
        <w:rFonts w:hint="eastAsia" w:ascii="仿宋" w:hAnsi="仿宋" w:eastAsia="仿宋" w:cs="仿宋"/>
        <w:color w:val="333333"/>
        <w:shd w:val="clear" w:color="auto" w:fill="FFFFFF"/>
      </w:rPr>
      <w:t>西安市唐延路37号class公馆B栋1103室</w:t>
    </w:r>
    <w:r>
      <w:rPr>
        <w:rFonts w:hint="eastAsia" w:ascii="仿宋" w:hAnsi="仿宋" w:eastAsia="仿宋" w:cs="仿宋"/>
      </w:rPr>
      <w:t xml:space="preserve">        029-85565073</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BD17D">
    <w:pPr>
      <w:pBdr>
        <w:top w:val="double" w:color="auto" w:sz="4" w:space="1"/>
      </w:pBdr>
      <w:tabs>
        <w:tab w:val="center" w:pos="4685"/>
      </w:tabs>
      <w:jc w:val="left"/>
      <w:rPr>
        <w:rFonts w:ascii="宋体" w:hAnsi="宋体" w:cs="宋体"/>
        <w:szCs w:val="21"/>
      </w:rPr>
    </w:pPr>
    <w:r>
      <mc:AlternateContent>
        <mc:Choice Requires="wps">
          <w:drawing>
            <wp:anchor distT="0" distB="0" distL="114300" distR="114300" simplePos="0" relativeHeight="251674624" behindDoc="0" locked="0" layoutInCell="1" allowOverlap="1">
              <wp:simplePos x="0" y="0"/>
              <wp:positionH relativeFrom="margin">
                <wp:posOffset>2776855</wp:posOffset>
              </wp:positionH>
              <wp:positionV relativeFrom="paragraph">
                <wp:posOffset>254000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5D4448">
                          <w:pPr>
                            <w:pStyle w:val="15"/>
                          </w:pPr>
                          <w:r>
                            <w:fldChar w:fldCharType="begin"/>
                          </w:r>
                          <w:r>
                            <w:instrText xml:space="preserve"> PAGE  \* MERGEFORMAT </w:instrText>
                          </w:r>
                          <w:r>
                            <w:fldChar w:fldCharType="separate"/>
                          </w:r>
                          <w:r>
                            <w:t>107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18.65pt;margin-top:20pt;height:144pt;width:144pt;mso-position-horizontal-relative:margin;mso-wrap-style:none;z-index:251674624;mso-width-relative:page;mso-height-relative:page;" filled="f" stroked="f" coordsize="21600,21600" o:gfxdata="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XIKyYdcAAAAKAQAADwAAAAAAAAABACAAAAAiAAAAZHJzL2Rvd25yZXYueG1sUEsBAhQA&#10;FAAAAAgAh07iQCvt69YsAgAAVwQAAA4AAAAAAAAAAQAgAAAAJgEAAGRycy9lMm9Eb2MueG1sUEsF&#10;BgAAAAAGAAYAWQEAAMQFAAAAAA==&#10;">
              <v:fill on="f" focussize="0,0"/>
              <v:stroke on="f" weight="0.5pt"/>
              <v:imagedata o:title=""/>
              <o:lock v:ext="edit" aspectratio="f"/>
              <v:textbox inset="0mm,0mm,0mm,0mm" style="mso-fit-shape-to-text:t;">
                <w:txbxContent>
                  <w:p w14:paraId="135D4448">
                    <w:pPr>
                      <w:pStyle w:val="15"/>
                    </w:pPr>
                    <w:r>
                      <w:fldChar w:fldCharType="begin"/>
                    </w:r>
                    <w:r>
                      <w:instrText xml:space="preserve"> PAGE  \* MERGEFORMAT </w:instrText>
                    </w:r>
                    <w:r>
                      <w:fldChar w:fldCharType="separate"/>
                    </w:r>
                    <w:r>
                      <w:t>107</w:t>
                    </w:r>
                    <w:r>
                      <w:fldChar w:fldCharType="end"/>
                    </w: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661312" behindDoc="0" locked="0" layoutInCell="1" allowOverlap="1">
              <wp:simplePos x="0" y="0"/>
              <wp:positionH relativeFrom="margin">
                <wp:posOffset>2802255</wp:posOffset>
              </wp:positionH>
              <wp:positionV relativeFrom="paragraph">
                <wp:posOffset>186690</wp:posOffset>
              </wp:positionV>
              <wp:extent cx="114935" cy="131445"/>
              <wp:effectExtent l="0" t="0" r="0" b="0"/>
              <wp:wrapNone/>
              <wp:docPr id="15" name="文本框 15"/>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780CA5DA">
                          <w:pPr>
                            <w:snapToGrid w:val="0"/>
                            <w:rPr>
                              <w:sz w:val="18"/>
                            </w:rPr>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left:220.65pt;margin-top:14.7pt;height:10.35pt;width:9.05pt;mso-position-horizontal-relative:margin;mso-wrap-style:none;z-index:251661312;mso-width-relative:page;mso-height-relative:page;" filled="f" stroked="f" coordsize="21600,21600" o:gfxdata="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3kB40dYAAAAJAQAADwAAAAAAAAABACAA&#10;AAAiAAAAZHJzL2Rvd25yZXYueG1sUEsBAhQAFAAAAAgAh07iQJVgCCkPAgAAEgQAAA4AAAAAAAAA&#10;AQAgAAAAJQEAAGRycy9lMm9Eb2MueG1sUEsFBgAAAAAGAAYAWQEAAKYFAAAAAA==&#10;">
              <v:fill on="f" focussize="0,0"/>
              <v:stroke on="f"/>
              <v:imagedata o:title=""/>
              <o:lock v:ext="edit" aspectratio="f"/>
              <v:textbox inset="0mm,0mm,0mm,0mm" style="mso-fit-shape-to-text:t;">
                <w:txbxContent>
                  <w:p w14:paraId="780CA5DA">
                    <w:pPr>
                      <w:snapToGrid w:val="0"/>
                      <w:rPr>
                        <w:sz w:val="18"/>
                      </w:rPr>
                    </w:pPr>
                  </w:p>
                </w:txbxContent>
              </v:textbox>
            </v:shape>
          </w:pict>
        </mc:Fallback>
      </mc:AlternateContent>
    </w:r>
    <w:r>
      <w:rPr>
        <w:rFonts w:hint="eastAsia" w:ascii="仿宋" w:hAnsi="仿宋" w:eastAsia="仿宋" w:cs="仿宋"/>
      </w:rPr>
      <w:t xml:space="preserve">陕西德仁招标有限公司 </w:t>
    </w:r>
    <w:r>
      <w:rPr>
        <w:rFonts w:hint="eastAsia" w:ascii="仿宋" w:hAnsi="仿宋" w:eastAsia="仿宋" w:cs="仿宋"/>
      </w:rPr>
      <w:tab/>
    </w:r>
    <w:r>
      <w:rPr>
        <w:rFonts w:hint="eastAsia" w:ascii="仿宋" w:hAnsi="仿宋" w:eastAsia="仿宋" w:cs="仿宋"/>
      </w:rPr>
      <w:t xml:space="preserve">      </w:t>
    </w:r>
    <w:r>
      <w:rPr>
        <w:rFonts w:hint="eastAsia" w:ascii="仿宋" w:hAnsi="仿宋" w:eastAsia="仿宋" w:cs="仿宋"/>
        <w:color w:val="333333"/>
        <w:shd w:val="clear" w:color="auto" w:fill="FFFFFF"/>
      </w:rPr>
      <w:t>西安市唐延路37号class公馆B栋1103室</w:t>
    </w:r>
    <w:r>
      <w:rPr>
        <w:rFonts w:hint="eastAsia" w:ascii="仿宋" w:hAnsi="仿宋" w:eastAsia="仿宋" w:cs="仿宋"/>
      </w:rPr>
      <w:t xml:space="preserve">        029-85565073</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97ADB">
    <w:pPr>
      <w:pBdr>
        <w:top w:val="double" w:color="auto" w:sz="4" w:space="1"/>
      </w:pBdr>
      <w:tabs>
        <w:tab w:val="center" w:pos="4685"/>
      </w:tabs>
      <w:jc w:val="left"/>
      <w:rPr>
        <w:rFonts w:ascii="宋体" w:hAnsi="宋体" w:cs="宋体"/>
        <w:szCs w:val="21"/>
      </w:rPr>
    </w:pPr>
    <w:r>
      <mc:AlternateContent>
        <mc:Choice Requires="wps">
          <w:drawing>
            <wp:anchor distT="0" distB="0" distL="114300" distR="114300" simplePos="0" relativeHeight="251675648" behindDoc="0" locked="0" layoutInCell="1" allowOverlap="1">
              <wp:simplePos x="0" y="0"/>
              <wp:positionH relativeFrom="margin">
                <wp:posOffset>2776855</wp:posOffset>
              </wp:positionH>
              <wp:positionV relativeFrom="paragraph">
                <wp:posOffset>254000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FE6765">
                          <w:pPr>
                            <w:pStyle w:val="15"/>
                          </w:pPr>
                          <w:r>
                            <w:fldChar w:fldCharType="begin"/>
                          </w:r>
                          <w:r>
                            <w:instrText xml:space="preserve"> PAGE  \* MERGEFORMAT </w:instrText>
                          </w:r>
                          <w:r>
                            <w:fldChar w:fldCharType="separate"/>
                          </w:r>
                          <w:r>
                            <w:t>120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18.65pt;margin-top:20pt;height:144pt;width:144pt;mso-position-horizontal-relative:margin;mso-wrap-style:none;z-index:251675648;mso-width-relative:page;mso-height-relative:page;" filled="f" stroked="f" coordsize="21600,21600" o:gfxdata="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cgrJh1wAAAAoBAAAPAAAAAAAAAAEAIAAAACIAAABkcnMvZG93bnJldi54bWxQSwECFAAU&#10;AAAACACHTuJAe3ZNVisCAABXBAAADgAAAAAAAAABACAAAAAmAQAAZHJzL2Uyb0RvYy54bWxQSwUG&#10;AAAAAAYABgBZAQAAwwUAAAAA&#10;">
              <v:fill on="f" focussize="0,0"/>
              <v:stroke on="f" weight="0.5pt"/>
              <v:imagedata o:title=""/>
              <o:lock v:ext="edit" aspectratio="f"/>
              <v:textbox inset="0mm,0mm,0mm,0mm" style="mso-fit-shape-to-text:t;">
                <w:txbxContent>
                  <w:p w14:paraId="37FE6765">
                    <w:pPr>
                      <w:pStyle w:val="15"/>
                    </w:pPr>
                    <w:r>
                      <w:fldChar w:fldCharType="begin"/>
                    </w:r>
                    <w:r>
                      <w:instrText xml:space="preserve"> PAGE  \* MERGEFORMAT </w:instrText>
                    </w:r>
                    <w:r>
                      <w:fldChar w:fldCharType="separate"/>
                    </w:r>
                    <w:r>
                      <w:t>120</w:t>
                    </w:r>
                    <w:r>
                      <w:fldChar w:fldCharType="end"/>
                    </w: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662336" behindDoc="0" locked="0" layoutInCell="1" allowOverlap="1">
              <wp:simplePos x="0" y="0"/>
              <wp:positionH relativeFrom="margin">
                <wp:posOffset>2802255</wp:posOffset>
              </wp:positionH>
              <wp:positionV relativeFrom="paragraph">
                <wp:posOffset>186690</wp:posOffset>
              </wp:positionV>
              <wp:extent cx="114935" cy="131445"/>
              <wp:effectExtent l="0" t="0" r="0" b="0"/>
              <wp:wrapNone/>
              <wp:docPr id="17" name="文本框 17"/>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5EBED8A4">
                          <w:pPr>
                            <w:snapToGrid w:val="0"/>
                            <w:rPr>
                              <w:sz w:val="18"/>
                            </w:rPr>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left:220.65pt;margin-top:14.7pt;height:10.35pt;width:9.05pt;mso-position-horizontal-relative:margin;mso-wrap-style:none;z-index:251662336;mso-width-relative:page;mso-height-relative:page;" filled="f" stroked="f" coordsize="21600,21600" o:gfxdata="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5AeNHWAAAACQEAAA8AAAAAAAAAAQAg&#10;AAAAIgAAAGRycy9kb3ducmV2LnhtbFBLAQIUABQAAAAIAIdO4kD9OwjgEAIAABIEAAAOAAAAAAAA&#10;AAEAIAAAACUBAABkcnMvZTJvRG9jLnhtbFBLBQYAAAAABgAGAFkBAACnBQAAAAA=&#10;">
              <v:fill on="f" focussize="0,0"/>
              <v:stroke on="f"/>
              <v:imagedata o:title=""/>
              <o:lock v:ext="edit" aspectratio="f"/>
              <v:textbox inset="0mm,0mm,0mm,0mm" style="mso-fit-shape-to-text:t;">
                <w:txbxContent>
                  <w:p w14:paraId="5EBED8A4">
                    <w:pPr>
                      <w:snapToGrid w:val="0"/>
                      <w:rPr>
                        <w:sz w:val="18"/>
                      </w:rPr>
                    </w:pPr>
                  </w:p>
                </w:txbxContent>
              </v:textbox>
            </v:shape>
          </w:pict>
        </mc:Fallback>
      </mc:AlternateContent>
    </w:r>
    <w:r>
      <w:rPr>
        <w:rFonts w:hint="eastAsia" w:ascii="仿宋" w:hAnsi="仿宋" w:eastAsia="仿宋" w:cs="仿宋"/>
      </w:rPr>
      <w:t xml:space="preserve">陕西德仁招标有限公司 </w:t>
    </w:r>
    <w:r>
      <w:rPr>
        <w:rFonts w:hint="eastAsia" w:ascii="仿宋" w:hAnsi="仿宋" w:eastAsia="仿宋" w:cs="仿宋"/>
      </w:rPr>
      <w:tab/>
    </w:r>
    <w:r>
      <w:rPr>
        <w:rFonts w:hint="eastAsia" w:ascii="仿宋" w:hAnsi="仿宋" w:eastAsia="仿宋" w:cs="仿宋"/>
      </w:rPr>
      <w:t xml:space="preserve">      </w:t>
    </w:r>
    <w:r>
      <w:rPr>
        <w:rFonts w:hint="eastAsia" w:ascii="仿宋" w:hAnsi="仿宋" w:eastAsia="仿宋" w:cs="仿宋"/>
        <w:color w:val="333333"/>
        <w:shd w:val="clear" w:color="auto" w:fill="FFFFFF"/>
      </w:rPr>
      <w:t>西安市唐延路37号class公馆B栋1103室</w:t>
    </w:r>
    <w:r>
      <w:rPr>
        <w:rFonts w:hint="eastAsia" w:ascii="仿宋" w:hAnsi="仿宋" w:eastAsia="仿宋" w:cs="仿宋"/>
      </w:rPr>
      <w:t xml:space="preserve">        029-85565073</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D7ADB">
    <w:pPr>
      <w:pBdr>
        <w:top w:val="double" w:color="auto" w:sz="4" w:space="1"/>
      </w:pBdr>
      <w:tabs>
        <w:tab w:val="center" w:pos="4685"/>
      </w:tabs>
      <w:jc w:val="left"/>
      <w:rPr>
        <w:rFonts w:ascii="宋体" w:hAnsi="宋体" w:cs="宋体"/>
        <w:szCs w:val="21"/>
      </w:rPr>
    </w:pPr>
    <w:r>
      <mc:AlternateContent>
        <mc:Choice Requires="wps">
          <w:drawing>
            <wp:anchor distT="0" distB="0" distL="114300" distR="114300" simplePos="0" relativeHeight="251676672" behindDoc="0" locked="0" layoutInCell="1" allowOverlap="1">
              <wp:simplePos x="0" y="0"/>
              <wp:positionH relativeFrom="margin">
                <wp:posOffset>2776855</wp:posOffset>
              </wp:positionH>
              <wp:positionV relativeFrom="paragraph">
                <wp:posOffset>254000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A97386">
                          <w:pPr>
                            <w:pStyle w:val="15"/>
                          </w:pPr>
                          <w:r>
                            <w:fldChar w:fldCharType="begin"/>
                          </w:r>
                          <w:r>
                            <w:instrText xml:space="preserve"> PAGE  \* MERGEFORMAT </w:instrText>
                          </w:r>
                          <w:r>
                            <w:fldChar w:fldCharType="separate"/>
                          </w:r>
                          <w:r>
                            <w:t>135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18.65pt;margin-top:20pt;height:144pt;width:144pt;mso-position-horizontal-relative:margin;mso-wrap-style:none;z-index:251676672;mso-width-relative:page;mso-height-relative:page;" filled="f" stroked="f" coordsize="21600,21600" o:gfxdata="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cgrJh1wAAAAoBAAAPAAAAAAAAAAEAIAAAACIAAABkcnMvZG93bnJldi54bWxQSwECFAAU&#10;AAAACACHTuJASbreYysCAABXBAAADgAAAAAAAAABACAAAAAmAQAAZHJzL2Uyb0RvYy54bWxQSwUG&#10;AAAAAAYABgBZAQAAwwUAAAAA&#10;">
              <v:fill on="f" focussize="0,0"/>
              <v:stroke on="f" weight="0.5pt"/>
              <v:imagedata o:title=""/>
              <o:lock v:ext="edit" aspectratio="f"/>
              <v:textbox inset="0mm,0mm,0mm,0mm" style="mso-fit-shape-to-text:t;">
                <w:txbxContent>
                  <w:p w14:paraId="45A97386">
                    <w:pPr>
                      <w:pStyle w:val="15"/>
                    </w:pPr>
                    <w:r>
                      <w:fldChar w:fldCharType="begin"/>
                    </w:r>
                    <w:r>
                      <w:instrText xml:space="preserve"> PAGE  \* MERGEFORMAT </w:instrText>
                    </w:r>
                    <w:r>
                      <w:fldChar w:fldCharType="separate"/>
                    </w:r>
                    <w:r>
                      <w:t>135</w:t>
                    </w:r>
                    <w:r>
                      <w:fldChar w:fldCharType="end"/>
                    </w: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663360" behindDoc="0" locked="0" layoutInCell="1" allowOverlap="1">
              <wp:simplePos x="0" y="0"/>
              <wp:positionH relativeFrom="margin">
                <wp:posOffset>2802255</wp:posOffset>
              </wp:positionH>
              <wp:positionV relativeFrom="paragraph">
                <wp:posOffset>186690</wp:posOffset>
              </wp:positionV>
              <wp:extent cx="114935" cy="131445"/>
              <wp:effectExtent l="0" t="0" r="0" b="0"/>
              <wp:wrapNone/>
              <wp:docPr id="19" name="文本框 19"/>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3AC89254">
                          <w:pPr>
                            <w:snapToGrid w:val="0"/>
                            <w:rPr>
                              <w:sz w:val="18"/>
                            </w:rPr>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left:220.65pt;margin-top:14.7pt;height:10.35pt;width:9.05pt;mso-position-horizontal-relative:margin;mso-wrap-style:none;z-index:251663360;mso-width-relative:page;mso-height-relative:page;" filled="f" stroked="f" coordsize="21600,21600" o:gfxdata="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5AeNHWAAAACQEAAA8AAAAAAAAAAQAg&#10;AAAAIgAAAGRycy9kb3ducmV2LnhtbFBLAQIUABQAAAAIAIdO4kAmsZryEAIAABIEAAAOAAAAAAAA&#10;AAEAIAAAACUBAABkcnMvZTJvRG9jLnhtbFBLBQYAAAAABgAGAFkBAACnBQAAAAA=&#10;">
              <v:fill on="f" focussize="0,0"/>
              <v:stroke on="f"/>
              <v:imagedata o:title=""/>
              <o:lock v:ext="edit" aspectratio="f"/>
              <v:textbox inset="0mm,0mm,0mm,0mm" style="mso-fit-shape-to-text:t;">
                <w:txbxContent>
                  <w:p w14:paraId="3AC89254">
                    <w:pPr>
                      <w:snapToGrid w:val="0"/>
                      <w:rPr>
                        <w:sz w:val="18"/>
                      </w:rPr>
                    </w:pPr>
                  </w:p>
                </w:txbxContent>
              </v:textbox>
            </v:shape>
          </w:pict>
        </mc:Fallback>
      </mc:AlternateContent>
    </w:r>
    <w:r>
      <w:rPr>
        <w:rFonts w:hint="eastAsia" w:ascii="仿宋" w:hAnsi="仿宋" w:eastAsia="仿宋" w:cs="仿宋"/>
      </w:rPr>
      <w:t xml:space="preserve">陕西德仁招标有限公司 </w:t>
    </w:r>
    <w:r>
      <w:rPr>
        <w:rFonts w:hint="eastAsia" w:ascii="仿宋" w:hAnsi="仿宋" w:eastAsia="仿宋" w:cs="仿宋"/>
      </w:rPr>
      <w:tab/>
    </w:r>
    <w:r>
      <w:rPr>
        <w:rFonts w:hint="eastAsia" w:ascii="仿宋" w:hAnsi="仿宋" w:eastAsia="仿宋" w:cs="仿宋"/>
      </w:rPr>
      <w:t xml:space="preserve">      </w:t>
    </w:r>
    <w:r>
      <w:rPr>
        <w:rFonts w:hint="eastAsia" w:ascii="仿宋" w:hAnsi="仿宋" w:eastAsia="仿宋" w:cs="仿宋"/>
        <w:color w:val="333333"/>
        <w:shd w:val="clear" w:color="auto" w:fill="FFFFFF"/>
      </w:rPr>
      <w:t>西安市唐延路37号class公馆B栋1103室</w:t>
    </w:r>
    <w:r>
      <w:rPr>
        <w:rFonts w:hint="eastAsia" w:ascii="仿宋" w:hAnsi="仿宋" w:eastAsia="仿宋" w:cs="仿宋"/>
      </w:rPr>
      <w:t xml:space="preserve">        029-85565073</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F9CBE">
    <w:pPr>
      <w:pBdr>
        <w:top w:val="double" w:color="auto" w:sz="4" w:space="1"/>
      </w:pBdr>
      <w:tabs>
        <w:tab w:val="center" w:pos="4685"/>
      </w:tabs>
      <w:jc w:val="left"/>
      <w:rPr>
        <w:rFonts w:ascii="宋体" w:hAnsi="宋体" w:cs="宋体"/>
        <w:szCs w:val="21"/>
      </w:rPr>
    </w:pPr>
    <w:r>
      <mc:AlternateContent>
        <mc:Choice Requires="wps">
          <w:drawing>
            <wp:anchor distT="0" distB="0" distL="114300" distR="114300" simplePos="0" relativeHeight="251677696" behindDoc="0" locked="0" layoutInCell="1" allowOverlap="1">
              <wp:simplePos x="0" y="0"/>
              <wp:positionH relativeFrom="margin">
                <wp:posOffset>2776855</wp:posOffset>
              </wp:positionH>
              <wp:positionV relativeFrom="paragraph">
                <wp:posOffset>254000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D3D443">
                          <w:pPr>
                            <w:pStyle w:val="15"/>
                          </w:pPr>
                          <w:r>
                            <w:fldChar w:fldCharType="begin"/>
                          </w:r>
                          <w:r>
                            <w:instrText xml:space="preserve"> PAGE  \* MERGEFORMAT </w:instrText>
                          </w:r>
                          <w:r>
                            <w:fldChar w:fldCharType="separate"/>
                          </w:r>
                          <w:r>
                            <w:t>163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18.65pt;margin-top:20pt;height:144pt;width:144pt;mso-position-horizontal-relative:margin;mso-wrap-style:none;z-index:251677696;mso-width-relative:page;mso-height-relative:page;" filled="f" stroked="f" coordsize="21600,21600" o:gfxdata="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XIKyYdcAAAAKAQAADwAAAAAAAAABACAAAAAiAAAAZHJzL2Rvd25yZXYueG1sUEsBAhQA&#10;FAAAAAgAh07iQGLJ1z8sAgAAVwQAAA4AAAAAAAAAAQAgAAAAJgEAAGRycy9lMm9Eb2MueG1sUEsF&#10;BgAAAAAGAAYAWQEAAMQFAAAAAA==&#10;">
              <v:fill on="f" focussize="0,0"/>
              <v:stroke on="f" weight="0.5pt"/>
              <v:imagedata o:title=""/>
              <o:lock v:ext="edit" aspectratio="f"/>
              <v:textbox inset="0mm,0mm,0mm,0mm" style="mso-fit-shape-to-text:t;">
                <w:txbxContent>
                  <w:p w14:paraId="64D3D443">
                    <w:pPr>
                      <w:pStyle w:val="15"/>
                    </w:pPr>
                    <w:r>
                      <w:fldChar w:fldCharType="begin"/>
                    </w:r>
                    <w:r>
                      <w:instrText xml:space="preserve"> PAGE  \* MERGEFORMAT </w:instrText>
                    </w:r>
                    <w:r>
                      <w:fldChar w:fldCharType="separate"/>
                    </w:r>
                    <w:r>
                      <w:t>163</w:t>
                    </w:r>
                    <w:r>
                      <w:fldChar w:fldCharType="end"/>
                    </w: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664384" behindDoc="0" locked="0" layoutInCell="1" allowOverlap="1">
              <wp:simplePos x="0" y="0"/>
              <wp:positionH relativeFrom="margin">
                <wp:posOffset>2802255</wp:posOffset>
              </wp:positionH>
              <wp:positionV relativeFrom="paragraph">
                <wp:posOffset>186690</wp:posOffset>
              </wp:positionV>
              <wp:extent cx="114935" cy="131445"/>
              <wp:effectExtent l="0" t="0" r="0" b="0"/>
              <wp:wrapNone/>
              <wp:docPr id="23" name="文本框 23"/>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40CDCD2B">
                          <w:pPr>
                            <w:snapToGrid w:val="0"/>
                            <w:rPr>
                              <w:sz w:val="18"/>
                            </w:rPr>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left:220.65pt;margin-top:14.7pt;height:10.35pt;width:9.05pt;mso-position-horizontal-relative:margin;mso-wrap-style:none;z-index:251664384;mso-width-relative:page;mso-height-relative:page;" filled="f" stroked="f" coordsize="21600,21600" o:gfxdata="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5AeNHWAAAACQEAAA8AAAAAAAAAAQAg&#10;AAAAIgAAAGRycy9kb3ducmV2LnhtbFBLAQIUABQAAAAIAIdO4kDllbEmEAIAABIEAAAOAAAAAAAA&#10;AAEAIAAAACUBAABkcnMvZTJvRG9jLnhtbFBLBQYAAAAABgAGAFkBAACnBQAAAAA=&#10;">
              <v:fill on="f" focussize="0,0"/>
              <v:stroke on="f"/>
              <v:imagedata o:title=""/>
              <o:lock v:ext="edit" aspectratio="f"/>
              <v:textbox inset="0mm,0mm,0mm,0mm" style="mso-fit-shape-to-text:t;">
                <w:txbxContent>
                  <w:p w14:paraId="40CDCD2B">
                    <w:pPr>
                      <w:snapToGrid w:val="0"/>
                      <w:rPr>
                        <w:sz w:val="18"/>
                      </w:rPr>
                    </w:pPr>
                  </w:p>
                </w:txbxContent>
              </v:textbox>
            </v:shape>
          </w:pict>
        </mc:Fallback>
      </mc:AlternateContent>
    </w:r>
    <w:r>
      <w:rPr>
        <w:rFonts w:hint="eastAsia" w:ascii="仿宋" w:hAnsi="仿宋" w:eastAsia="仿宋" w:cs="仿宋"/>
      </w:rPr>
      <w:t xml:space="preserve">陕西德仁招标有限公司 </w:t>
    </w:r>
    <w:r>
      <w:rPr>
        <w:rFonts w:hint="eastAsia" w:ascii="仿宋" w:hAnsi="仿宋" w:eastAsia="仿宋" w:cs="仿宋"/>
      </w:rPr>
      <w:tab/>
    </w:r>
    <w:r>
      <w:rPr>
        <w:rFonts w:hint="eastAsia" w:ascii="仿宋" w:hAnsi="仿宋" w:eastAsia="仿宋" w:cs="仿宋"/>
      </w:rPr>
      <w:t xml:space="preserve">      </w:t>
    </w:r>
    <w:r>
      <w:rPr>
        <w:rFonts w:hint="eastAsia" w:ascii="仿宋" w:hAnsi="仿宋" w:eastAsia="仿宋" w:cs="仿宋"/>
        <w:color w:val="333333"/>
        <w:shd w:val="clear" w:color="auto" w:fill="FFFFFF"/>
      </w:rPr>
      <w:t>西安市唐延路37号class公馆B栋1103室</w:t>
    </w:r>
    <w:r>
      <w:rPr>
        <w:rFonts w:hint="eastAsia" w:ascii="仿宋" w:hAnsi="仿宋" w:eastAsia="仿宋" w:cs="仿宋"/>
      </w:rPr>
      <w:t xml:space="preserve">        029-85565073</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453D9">
    <w:pPr>
      <w:pBdr>
        <w:top w:val="double" w:color="auto" w:sz="4" w:space="1"/>
      </w:pBdr>
      <w:tabs>
        <w:tab w:val="center" w:pos="4685"/>
      </w:tabs>
      <w:jc w:val="left"/>
      <w:rPr>
        <w:rFonts w:ascii="宋体" w:hAnsi="宋体" w:cs="宋体"/>
        <w:szCs w:val="21"/>
      </w:rPr>
    </w:pPr>
    <w:r>
      <mc:AlternateContent>
        <mc:Choice Requires="wps">
          <w:drawing>
            <wp:anchor distT="0" distB="0" distL="114300" distR="114300" simplePos="0" relativeHeight="251678720" behindDoc="0" locked="0" layoutInCell="1" allowOverlap="1">
              <wp:simplePos x="0" y="0"/>
              <wp:positionH relativeFrom="margin">
                <wp:posOffset>2776855</wp:posOffset>
              </wp:positionH>
              <wp:positionV relativeFrom="paragraph">
                <wp:posOffset>254000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6DA221">
                          <w:pPr>
                            <w:pStyle w:val="15"/>
                          </w:pPr>
                          <w:r>
                            <w:fldChar w:fldCharType="begin"/>
                          </w:r>
                          <w:r>
                            <w:instrText xml:space="preserve"> PAGE  \* MERGEFORMAT </w:instrText>
                          </w:r>
                          <w:r>
                            <w:fldChar w:fldCharType="separate"/>
                          </w:r>
                          <w:r>
                            <w:t>178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18.65pt;margin-top:20pt;height:144pt;width:144pt;mso-position-horizontal-relative:margin;mso-wrap-style:none;z-index:251678720;mso-width-relative:page;mso-height-relative:page;" filled="f" stroked="f" coordsize="21600,21600" o:gfxdata="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FyCsmHXAAAACgEAAA8AAAAAAAAAAQAgAAAAIgAAAGRycy9kb3ducmV2LnhtbFBLAQIU&#10;ABQAAAAIAIdO4kDTYk1lLQIAAFcEAAAOAAAAAAAAAAEAIAAAACYBAABkcnMvZTJvRG9jLnhtbFBL&#10;BQYAAAAABgAGAFkBAADFBQAAAAA=&#10;">
              <v:fill on="f" focussize="0,0"/>
              <v:stroke on="f" weight="0.5pt"/>
              <v:imagedata o:title=""/>
              <o:lock v:ext="edit" aspectratio="f"/>
              <v:textbox inset="0mm,0mm,0mm,0mm" style="mso-fit-shape-to-text:t;">
                <w:txbxContent>
                  <w:p w14:paraId="076DA221">
                    <w:pPr>
                      <w:pStyle w:val="15"/>
                    </w:pPr>
                    <w:r>
                      <w:fldChar w:fldCharType="begin"/>
                    </w:r>
                    <w:r>
                      <w:instrText xml:space="preserve"> PAGE  \* MERGEFORMAT </w:instrText>
                    </w:r>
                    <w:r>
                      <w:fldChar w:fldCharType="separate"/>
                    </w:r>
                    <w:r>
                      <w:t>178</w:t>
                    </w:r>
                    <w:r>
                      <w:fldChar w:fldCharType="end"/>
                    </w: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665408" behindDoc="0" locked="0" layoutInCell="1" allowOverlap="1">
              <wp:simplePos x="0" y="0"/>
              <wp:positionH relativeFrom="margin">
                <wp:posOffset>2802255</wp:posOffset>
              </wp:positionH>
              <wp:positionV relativeFrom="paragraph">
                <wp:posOffset>186690</wp:posOffset>
              </wp:positionV>
              <wp:extent cx="114935" cy="131445"/>
              <wp:effectExtent l="0" t="0" r="0" b="0"/>
              <wp:wrapNone/>
              <wp:docPr id="25" name="文本框 25"/>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21155281">
                          <w:pPr>
                            <w:snapToGrid w:val="0"/>
                            <w:rPr>
                              <w:sz w:val="18"/>
                            </w:rPr>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left:220.65pt;margin-top:14.7pt;height:10.35pt;width:9.05pt;mso-position-horizontal-relative:margin;mso-wrap-style:none;z-index:251665408;mso-width-relative:page;mso-height-relative:page;" filled="f" stroked="f" coordsize="21600,21600" o:gfxdata="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3kB40dYAAAAJAQAADwAAAAAAAAABACAA&#10;AAAiAAAAZHJzL2Rvd25yZXYueG1sUEsBAhQAFAAAAAgAh07iQBx+wKYPAgAAEgQAAA4AAAAAAAAA&#10;AQAgAAAAJQEAAGRycy9lMm9Eb2MueG1sUEsFBgAAAAAGAAYAWQEAAKYFAAAAAA==&#10;">
              <v:fill on="f" focussize="0,0"/>
              <v:stroke on="f"/>
              <v:imagedata o:title=""/>
              <o:lock v:ext="edit" aspectratio="f"/>
              <v:textbox inset="0mm,0mm,0mm,0mm" style="mso-fit-shape-to-text:t;">
                <w:txbxContent>
                  <w:p w14:paraId="21155281">
                    <w:pPr>
                      <w:snapToGrid w:val="0"/>
                      <w:rPr>
                        <w:sz w:val="18"/>
                      </w:rPr>
                    </w:pPr>
                  </w:p>
                </w:txbxContent>
              </v:textbox>
            </v:shape>
          </w:pict>
        </mc:Fallback>
      </mc:AlternateContent>
    </w:r>
    <w:r>
      <w:rPr>
        <w:rFonts w:hint="eastAsia" w:ascii="仿宋" w:hAnsi="仿宋" w:eastAsia="仿宋" w:cs="仿宋"/>
      </w:rPr>
      <w:t xml:space="preserve">陕西德仁招标有限公司 </w:t>
    </w:r>
    <w:r>
      <w:rPr>
        <w:rFonts w:hint="eastAsia" w:ascii="仿宋" w:hAnsi="仿宋" w:eastAsia="仿宋" w:cs="仿宋"/>
      </w:rPr>
      <w:tab/>
    </w:r>
    <w:r>
      <w:rPr>
        <w:rFonts w:hint="eastAsia" w:ascii="仿宋" w:hAnsi="仿宋" w:eastAsia="仿宋" w:cs="仿宋"/>
      </w:rPr>
      <w:t xml:space="preserve">      </w:t>
    </w:r>
    <w:r>
      <w:rPr>
        <w:rFonts w:hint="eastAsia" w:ascii="仿宋" w:hAnsi="仿宋" w:eastAsia="仿宋" w:cs="仿宋"/>
        <w:color w:val="333333"/>
        <w:shd w:val="clear" w:color="auto" w:fill="FFFFFF"/>
      </w:rPr>
      <w:t>西安市唐延路37号class公馆B栋1103室</w:t>
    </w:r>
    <w:r>
      <w:rPr>
        <w:rFonts w:hint="eastAsia" w:ascii="仿宋" w:hAnsi="仿宋" w:eastAsia="仿宋" w:cs="仿宋"/>
      </w:rPr>
      <w:t xml:space="preserve">        029-85565073</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801D7">
    <w:pPr>
      <w:pBdr>
        <w:top w:val="double" w:color="auto" w:sz="4" w:space="1"/>
      </w:pBdr>
      <w:tabs>
        <w:tab w:val="center" w:pos="4685"/>
      </w:tabs>
      <w:jc w:val="left"/>
      <w:rPr>
        <w:rFonts w:ascii="宋体" w:hAnsi="宋体" w:cs="宋体"/>
        <w:szCs w:val="21"/>
      </w:rPr>
    </w:pPr>
    <w:r>
      <mc:AlternateContent>
        <mc:Choice Requires="wps">
          <w:drawing>
            <wp:anchor distT="0" distB="0" distL="114300" distR="114300" simplePos="0" relativeHeight="251679744" behindDoc="0" locked="0" layoutInCell="1" allowOverlap="1">
              <wp:simplePos x="0" y="0"/>
              <wp:positionH relativeFrom="margin">
                <wp:posOffset>2776855</wp:posOffset>
              </wp:positionH>
              <wp:positionV relativeFrom="paragraph">
                <wp:posOffset>254000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91E7A5">
                          <w:pPr>
                            <w:pStyle w:val="15"/>
                          </w:pPr>
                          <w:r>
                            <w:fldChar w:fldCharType="begin"/>
                          </w:r>
                          <w:r>
                            <w:instrText xml:space="preserve"> PAGE  \* MERGEFORMAT </w:instrText>
                          </w:r>
                          <w:r>
                            <w:fldChar w:fldCharType="separate"/>
                          </w:r>
                          <w:r>
                            <w:t>189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18.65pt;margin-top:20pt;height:144pt;width:144pt;mso-position-horizontal-relative:margin;mso-wrap-style:none;z-index:251679744;mso-width-relative:page;mso-height-relative:page;" filled="f" stroked="f" coordsize="21600,21600" o:gfxdata="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XIKyYdcAAAAKAQAADwAAAAAAAAABACAAAAAiAAAAZHJzL2Rvd25yZXYueG1sUEsBAhQA&#10;FAAAAAgAh07iQIP56+UsAgAAVwQAAA4AAAAAAAAAAQAgAAAAJgEAAGRycy9lMm9Eb2MueG1sUEsF&#10;BgAAAAAGAAYAWQEAAMQFAAAAAA==&#10;">
              <v:fill on="f" focussize="0,0"/>
              <v:stroke on="f" weight="0.5pt"/>
              <v:imagedata o:title=""/>
              <o:lock v:ext="edit" aspectratio="f"/>
              <v:textbox inset="0mm,0mm,0mm,0mm" style="mso-fit-shape-to-text:t;">
                <w:txbxContent>
                  <w:p w14:paraId="0991E7A5">
                    <w:pPr>
                      <w:pStyle w:val="15"/>
                    </w:pPr>
                    <w:r>
                      <w:fldChar w:fldCharType="begin"/>
                    </w:r>
                    <w:r>
                      <w:instrText xml:space="preserve"> PAGE  \* MERGEFORMAT </w:instrText>
                    </w:r>
                    <w:r>
                      <w:fldChar w:fldCharType="separate"/>
                    </w:r>
                    <w:r>
                      <w:t>189</w:t>
                    </w:r>
                    <w:r>
                      <w:fldChar w:fldCharType="end"/>
                    </w:r>
                  </w:p>
                </w:txbxContent>
              </v:textbox>
            </v:shape>
          </w:pict>
        </mc:Fallback>
      </mc:AlternateContent>
    </w:r>
    <w:r>
      <w:rPr>
        <w:rFonts w:hint="eastAsia" w:ascii="仿宋" w:hAnsi="仿宋" w:eastAsia="仿宋" w:cs="仿宋"/>
      </w:rPr>
      <mc:AlternateContent>
        <mc:Choice Requires="wps">
          <w:drawing>
            <wp:anchor distT="0" distB="0" distL="114300" distR="114300" simplePos="0" relativeHeight="251666432" behindDoc="0" locked="0" layoutInCell="1" allowOverlap="1">
              <wp:simplePos x="0" y="0"/>
              <wp:positionH relativeFrom="margin">
                <wp:posOffset>2802255</wp:posOffset>
              </wp:positionH>
              <wp:positionV relativeFrom="paragraph">
                <wp:posOffset>186690</wp:posOffset>
              </wp:positionV>
              <wp:extent cx="114935" cy="131445"/>
              <wp:effectExtent l="0" t="0" r="0" b="0"/>
              <wp:wrapNone/>
              <wp:docPr id="27" name="文本框 27"/>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40152CD1">
                          <w:pPr>
                            <w:snapToGrid w:val="0"/>
                            <w:rPr>
                              <w:sz w:val="18"/>
                            </w:rPr>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left:220.65pt;margin-top:14.7pt;height:10.35pt;width:9.05pt;mso-position-horizontal-relative:margin;mso-wrap-style:none;z-index:251666432;mso-width-relative:page;mso-height-relative:page;" filled="f" stroked="f" coordsize="21600,21600" o:gfxdata="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5AeNHWAAAACQEAAA8AAAAAAAAAAQAg&#10;AAAAIgAAAGRycy9kb3ducmV2LnhtbFBLAQIUABQAAAAIAIdO4kB0JcBvEAIAABIEAAAOAAAAAAAA&#10;AAEAIAAAACUBAABkcnMvZTJvRG9jLnhtbFBLBQYAAAAABgAGAFkBAACnBQAAAAA=&#10;">
              <v:fill on="f" focussize="0,0"/>
              <v:stroke on="f"/>
              <v:imagedata o:title=""/>
              <o:lock v:ext="edit" aspectratio="f"/>
              <v:textbox inset="0mm,0mm,0mm,0mm" style="mso-fit-shape-to-text:t;">
                <w:txbxContent>
                  <w:p w14:paraId="40152CD1">
                    <w:pPr>
                      <w:snapToGrid w:val="0"/>
                      <w:rPr>
                        <w:sz w:val="18"/>
                      </w:rPr>
                    </w:pPr>
                  </w:p>
                </w:txbxContent>
              </v:textbox>
            </v:shape>
          </w:pict>
        </mc:Fallback>
      </mc:AlternateContent>
    </w:r>
    <w:r>
      <w:rPr>
        <w:rFonts w:hint="eastAsia" w:ascii="仿宋" w:hAnsi="仿宋" w:eastAsia="仿宋" w:cs="仿宋"/>
      </w:rPr>
      <w:t xml:space="preserve">陕西德仁招标有限公司 </w:t>
    </w:r>
    <w:r>
      <w:rPr>
        <w:rFonts w:hint="eastAsia" w:ascii="仿宋" w:hAnsi="仿宋" w:eastAsia="仿宋" w:cs="仿宋"/>
      </w:rPr>
      <w:tab/>
    </w:r>
    <w:r>
      <w:rPr>
        <w:rFonts w:hint="eastAsia" w:ascii="仿宋" w:hAnsi="仿宋" w:eastAsia="仿宋" w:cs="仿宋"/>
      </w:rPr>
      <w:t xml:space="preserve">      </w:t>
    </w:r>
    <w:r>
      <w:rPr>
        <w:rFonts w:hint="eastAsia" w:ascii="仿宋" w:hAnsi="仿宋" w:eastAsia="仿宋" w:cs="仿宋"/>
        <w:color w:val="333333"/>
        <w:shd w:val="clear" w:color="auto" w:fill="FFFFFF"/>
      </w:rPr>
      <w:t>西安市唐延路37号class公馆B栋1103室</w:t>
    </w:r>
    <w:r>
      <w:rPr>
        <w:rFonts w:hint="eastAsia" w:ascii="仿宋" w:hAnsi="仿宋" w:eastAsia="仿宋" w:cs="仿宋"/>
      </w:rPr>
      <w:t xml:space="preserve">        029-85565073</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A2678">
    <w:pPr>
      <w:pBdr>
        <w:top w:val="double" w:color="auto" w:sz="4" w:space="1"/>
      </w:pBdr>
      <w:tabs>
        <w:tab w:val="center" w:pos="4685"/>
      </w:tabs>
      <w:jc w:val="left"/>
      <w:rPr>
        <w:rFonts w:ascii="仿宋" w:hAnsi="仿宋" w:eastAsia="仿宋" w:cs="仿宋"/>
        <w:szCs w:val="18"/>
      </w:rPr>
    </w:pPr>
    <w:r>
      <mc:AlternateContent>
        <mc:Choice Requires="wps">
          <w:drawing>
            <wp:anchor distT="0" distB="0" distL="114300" distR="114300" simplePos="0" relativeHeight="251680768" behindDoc="0" locked="0" layoutInCell="1" allowOverlap="1">
              <wp:simplePos x="0" y="0"/>
              <wp:positionH relativeFrom="margin">
                <wp:posOffset>2887980</wp:posOffset>
              </wp:positionH>
              <wp:positionV relativeFrom="paragraph">
                <wp:posOffset>256540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503B61">
                          <w:pPr>
                            <w:pStyle w:val="15"/>
                          </w:pPr>
                          <w:r>
                            <w:fldChar w:fldCharType="begin"/>
                          </w:r>
                          <w:r>
                            <w:instrText xml:space="preserve"> PAGE  \* MERGEFORMAT </w:instrText>
                          </w:r>
                          <w:r>
                            <w:fldChar w:fldCharType="separate"/>
                          </w:r>
                          <w:r>
                            <w:t>199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27.4pt;margin-top:20.2pt;height:144pt;width:144pt;mso-position-horizontal-relative:margin;mso-wrap-style:none;z-index:251680768;mso-width-relative:page;mso-height-relative:page;" filled="f" stroked="f" coordsize="21600,21600" o:gfxdata="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NvLzJ3XAAAACgEAAA8AAAAAAAAAAQAgAAAAIgAAAGRycy9kb3ducmV2LnhtbFBLAQIUABQA&#10;AAAIAIdO4kDK3dcMKgIAAFcEAAAOAAAAAAAAAAEAIAAAACYBAABkcnMvZTJvRG9jLnhtbFBLBQYA&#10;AAAABgAGAFkBAADCBQAAAAA=&#10;">
              <v:fill on="f" focussize="0,0"/>
              <v:stroke on="f" weight="0.5pt"/>
              <v:imagedata o:title=""/>
              <o:lock v:ext="edit" aspectratio="f"/>
              <v:textbox inset="0mm,0mm,0mm,0mm" style="mso-fit-shape-to-text:t;">
                <w:txbxContent>
                  <w:p w14:paraId="02503B61">
                    <w:pPr>
                      <w:pStyle w:val="15"/>
                    </w:pPr>
                    <w:r>
                      <w:fldChar w:fldCharType="begin"/>
                    </w:r>
                    <w:r>
                      <w:instrText xml:space="preserve"> PAGE  \* MERGEFORMAT </w:instrText>
                    </w:r>
                    <w:r>
                      <w:fldChar w:fldCharType="separate"/>
                    </w:r>
                    <w:r>
                      <w:t>199</w:t>
                    </w:r>
                    <w:r>
                      <w:fldChar w:fldCharType="end"/>
                    </w:r>
                  </w:p>
                </w:txbxContent>
              </v:textbox>
            </v:shape>
          </w:pict>
        </mc:Fallback>
      </mc:AlternateContent>
    </w:r>
    <w:r>
      <w:rPr>
        <w:rFonts w:hint="eastAsia" w:ascii="仿宋" w:hAnsi="仿宋" w:eastAsia="仿宋" w:cs="仿宋"/>
        <w:szCs w:val="18"/>
      </w:rPr>
      <w:t xml:space="preserve">陕西德仁招标有限公司 </w:t>
    </w:r>
    <w:r>
      <w:rPr>
        <w:rFonts w:hint="eastAsia" w:ascii="仿宋" w:hAnsi="仿宋" w:eastAsia="仿宋" w:cs="仿宋"/>
        <w:szCs w:val="18"/>
      </w:rPr>
      <w:tab/>
    </w:r>
    <w:r>
      <w:rPr>
        <w:rFonts w:hint="eastAsia" w:ascii="仿宋" w:hAnsi="仿宋" w:eastAsia="仿宋" w:cs="仿宋"/>
        <w:szCs w:val="18"/>
      </w:rPr>
      <w:t xml:space="preserve">    西安市唐延路37号class公馆B栋1103室     </w:t>
    </w:r>
    <w:r>
      <w:rPr>
        <w:rFonts w:hint="eastAsia" w:ascii="仿宋" w:hAnsi="仿宋" w:eastAsia="仿宋" w:cs="仿宋"/>
        <w:color w:val="333333"/>
        <w:shd w:val="clear" w:color="auto" w:fill="FFFFFF"/>
      </w:rPr>
      <w:t>029-85565073</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6CA01">
    <w:pPr>
      <w:pBdr>
        <w:top w:val="double" w:color="auto" w:sz="4" w:space="1"/>
      </w:pBdr>
      <w:tabs>
        <w:tab w:val="center" w:pos="4685"/>
      </w:tabs>
      <w:jc w:val="left"/>
      <w:rPr>
        <w:rFonts w:ascii="仿宋" w:hAnsi="仿宋" w:eastAsia="仿宋" w:cs="仿宋"/>
        <w:szCs w:val="21"/>
      </w:rPr>
    </w:pPr>
    <w:r>
      <mc:AlternateContent>
        <mc:Choice Requires="wps">
          <w:drawing>
            <wp:anchor distT="0" distB="0" distL="114300" distR="114300" simplePos="0" relativeHeight="251669504" behindDoc="0" locked="0" layoutInCell="1" allowOverlap="1">
              <wp:simplePos x="0" y="0"/>
              <wp:positionH relativeFrom="margin">
                <wp:posOffset>2963545</wp:posOffset>
              </wp:positionH>
              <wp:positionV relativeFrom="paragraph">
                <wp:posOffset>180975</wp:posOffset>
              </wp:positionV>
              <wp:extent cx="331470" cy="21463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331470" cy="2146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20254F">
                          <w:pPr>
                            <w:pStyle w:val="15"/>
                          </w:pPr>
                          <w:r>
                            <w:fldChar w:fldCharType="begin"/>
                          </w:r>
                          <w:r>
                            <w:instrText xml:space="preserve"> PAGE  \* MERGEFORMAT </w:instrText>
                          </w:r>
                          <w:r>
                            <w:fldChar w:fldCharType="separate"/>
                          </w:r>
                          <w:r>
                            <w:t>230</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33.35pt;margin-top:14.25pt;height:16.9pt;width:26.1pt;mso-position-horizontal-relative:margin;z-index:251669504;mso-width-relative:page;mso-height-relative:page;" filled="f" stroked="f" coordsize="21600,21600" o:gfxdata="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Og8Fq9gAAAAJAQAADwAAAAAAAAABACAAAAAiAAAAZHJzL2Rvd25yZXYueG1s&#10;UEsBAhQAFAAAAAgAh07iQGG9RkIxAgAAVwQAAA4AAAAAAAAAAQAgAAAAJwEAAGRycy9lMm9Eb2Mu&#10;eG1sUEsFBgAAAAAGAAYAWQEAAMoFAAAAAA==&#10;">
              <v:fill on="f" focussize="0,0"/>
              <v:stroke on="f" weight="0.5pt"/>
              <v:imagedata o:title=""/>
              <o:lock v:ext="edit" aspectratio="f"/>
              <v:textbox inset="0mm,0mm,0mm,0mm">
                <w:txbxContent>
                  <w:p w14:paraId="3620254F">
                    <w:pPr>
                      <w:pStyle w:val="15"/>
                    </w:pPr>
                    <w:r>
                      <w:fldChar w:fldCharType="begin"/>
                    </w:r>
                    <w:r>
                      <w:instrText xml:space="preserve"> PAGE  \* MERGEFORMAT </w:instrText>
                    </w:r>
                    <w:r>
                      <w:fldChar w:fldCharType="separate"/>
                    </w:r>
                    <w:r>
                      <w:t>230</w:t>
                    </w:r>
                    <w:r>
                      <w:fldChar w:fldCharType="end"/>
                    </w:r>
                  </w:p>
                </w:txbxContent>
              </v:textbox>
            </v:shape>
          </w:pict>
        </mc:Fallback>
      </mc:AlternateContent>
    </w:r>
    <w:r>
      <w:rPr>
        <w:rFonts w:hint="eastAsia" w:ascii="仿宋" w:hAnsi="仿宋" w:eastAsia="仿宋" w:cs="仿宋"/>
        <w:szCs w:val="21"/>
      </w:rPr>
      <w:t xml:space="preserve">陕西德仁招标有限公司 </w:t>
    </w:r>
    <w:r>
      <w:rPr>
        <w:rFonts w:hint="eastAsia" w:ascii="仿宋" w:hAnsi="仿宋" w:eastAsia="仿宋" w:cs="仿宋"/>
        <w:szCs w:val="21"/>
      </w:rPr>
      <w:tab/>
    </w:r>
    <w:r>
      <w:rPr>
        <w:rFonts w:hint="eastAsia" w:ascii="仿宋" w:hAnsi="仿宋" w:eastAsia="仿宋" w:cs="仿宋"/>
        <w:szCs w:val="21"/>
      </w:rPr>
      <w:t xml:space="preserve">    西安市唐延路37号class公馆B栋1103室     </w:t>
    </w:r>
    <w:r>
      <w:rPr>
        <w:rFonts w:hint="eastAsia" w:ascii="仿宋" w:hAnsi="仿宋" w:eastAsia="仿宋" w:cs="仿宋"/>
        <w:color w:val="333333"/>
        <w:szCs w:val="21"/>
        <w:shd w:val="clear" w:color="auto" w:fill="FFFFFF"/>
      </w:rPr>
      <w:t>029-85565073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57243">
    <w:pPr>
      <w:pStyle w:val="17"/>
      <w:pBdr>
        <w:bottom w:val="double" w:color="auto" w:sz="8" w:space="0"/>
      </w:pBdr>
      <w:jc w:val="both"/>
      <w:rPr>
        <w:rFonts w:ascii="宋体" w:hAnsi="宋体" w:cs="宋体"/>
        <w:sz w:val="20"/>
        <w:szCs w:val="20"/>
      </w:rPr>
    </w:pPr>
    <w:r>
      <w:rPr>
        <w:rFonts w:hint="eastAsia" w:ascii="宋体" w:hAnsi="宋体" w:cs="宋体"/>
        <w:sz w:val="20"/>
        <w:szCs w:val="20"/>
      </w:rPr>
      <w:t>陕西省222222222222222222222管理委员会信息化软件运维服务项目                       项目编号： DRZB2019-ZC-143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81BAD">
    <w:pPr>
      <w:pStyle w:val="17"/>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64243">
    <w:pPr>
      <w:pStyle w:val="17"/>
      <w:pBdr>
        <w:bottom w:val="double" w:color="auto" w:sz="8" w:space="0"/>
      </w:pBdr>
      <w:jc w:val="both"/>
      <w:rPr>
        <w:rFonts w:ascii="宋体" w:hAnsi="宋体" w:cs="宋体"/>
        <w:sz w:val="20"/>
        <w:szCs w:val="20"/>
      </w:rPr>
    </w:pPr>
    <w:r>
      <w:rPr>
        <w:rFonts w:hint="eastAsia" w:ascii="宋体" w:hAnsi="宋体" w:cs="宋体"/>
        <w:sz w:val="20"/>
        <w:szCs w:val="20"/>
      </w:rPr>
      <w:t>陕西省222222222222222222222管理委员会信息化软件运维服务项目                       项目编号： DRZB2019-ZC-143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43A3D">
    <w:pPr>
      <w:pStyle w:val="17"/>
      <w:pBdr>
        <w:bottom w:val="single" w:color="auto" w:sz="4" w:space="1"/>
      </w:pBdr>
    </w:pPr>
    <w:r>
      <w:rPr>
        <w:rFonts w:hint="eastAsia" w:ascii="仿宋" w:hAnsi="仿宋" w:eastAsia="仿宋" w:cs="仿宋"/>
        <w:sz w:val="21"/>
      </w:rPr>
      <mc:AlternateContent>
        <mc:Choice Requires="wps">
          <w:drawing>
            <wp:anchor distT="0" distB="0" distL="114300" distR="114300" simplePos="0" relativeHeight="251668480" behindDoc="0" locked="0" layoutInCell="1" allowOverlap="1">
              <wp:simplePos x="0" y="0"/>
              <wp:positionH relativeFrom="margin">
                <wp:align>outside</wp:align>
              </wp:positionH>
              <wp:positionV relativeFrom="paragraph">
                <wp:posOffset>-274320</wp:posOffset>
              </wp:positionV>
              <wp:extent cx="415925" cy="270510"/>
              <wp:effectExtent l="0" t="0" r="0" b="0"/>
              <wp:wrapNone/>
              <wp:docPr id="6" name="文本框 6"/>
              <wp:cNvGraphicFramePr/>
              <a:graphic xmlns:a="http://schemas.openxmlformats.org/drawingml/2006/main">
                <a:graphicData uri="http://schemas.microsoft.com/office/word/2010/wordprocessingShape">
                  <wps:wsp>
                    <wps:cNvSpPr txBox="1"/>
                    <wps:spPr>
                      <a:xfrm>
                        <a:off x="0" y="0"/>
                        <a:ext cx="415925" cy="270510"/>
                      </a:xfrm>
                      <a:prstGeom prst="rect">
                        <a:avLst/>
                      </a:prstGeom>
                      <a:noFill/>
                      <a:ln w="15875">
                        <a:noFill/>
                      </a:ln>
                    </wps:spPr>
                    <wps:txbx>
                      <w:txbxContent>
                        <w:p w14:paraId="3A439263">
                          <w:pPr>
                            <w:rPr>
                              <w:rFonts w:ascii="宋体" w:hAnsi="宋体" w:cs="宋体"/>
                              <w:sz w:val="24"/>
                            </w:rPr>
                          </w:pPr>
                        </w:p>
                      </w:txbxContent>
                    </wps:txbx>
                    <wps:bodyPr lIns="0" tIns="0" rIns="0" bIns="0"/>
                  </wps:wsp>
                </a:graphicData>
              </a:graphic>
            </wp:anchor>
          </w:drawing>
        </mc:Choice>
        <mc:Fallback>
          <w:pict>
            <v:shape id="_x0000_s1026" o:spid="_x0000_s1026" o:spt="202" type="#_x0000_t202" style="position:absolute;left:0pt;margin-top:-21.6pt;height:21.3pt;width:32.75pt;mso-position-horizontal:outside;mso-position-horizontal-relative:margin;z-index:251668480;mso-width-relative:page;mso-height-relative:page;" filled="f" stroked="f" coordsize="21600,21600" o:gfxdata="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Sx8CJ1QAAAAUBAAAPAAAAAAAAAAEAIAAAACIAAABkcnMvZG93bnJldi54bWxQSwEC&#10;FAAUAAAACACHTuJAyGsVyb4BAABvAwAADgAAAAAAAAABACAAAAAkAQAAZHJzL2Uyb0RvYy54bWxQ&#10;SwUGAAAAAAYABgBZAQAAVAUAAAAA&#10;">
              <v:fill on="f" focussize="0,0"/>
              <v:stroke on="f" weight="1.25pt"/>
              <v:imagedata o:title=""/>
              <o:lock v:ext="edit" aspectratio="f"/>
              <v:textbox inset="0mm,0mm,0mm,0mm">
                <w:txbxContent>
                  <w:p w14:paraId="3A439263">
                    <w:pPr>
                      <w:rPr>
                        <w:rFonts w:ascii="宋体" w:hAnsi="宋体" w:cs="宋体"/>
                        <w:sz w:val="24"/>
                      </w:rPr>
                    </w:pPr>
                  </w:p>
                </w:txbxContent>
              </v:textbox>
            </v:shape>
          </w:pict>
        </mc:Fallback>
      </mc:AlternateContent>
    </w:r>
    <w:r>
      <w:rPr>
        <w:rFonts w:hint="eastAsia" w:ascii="仿宋" w:hAnsi="仿宋" w:eastAsia="仿宋" w:cs="仿宋"/>
        <w:color w:val="333333"/>
        <w:sz w:val="21"/>
        <w:szCs w:val="21"/>
        <w:shd w:val="clear" w:color="auto" w:fill="FFFFFF"/>
      </w:rPr>
      <w:t>医院信息系统售后服务采购项目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2487D">
    <w:pPr>
      <w:pStyle w:val="17"/>
      <w:pBdr>
        <w:bottom w:val="double" w:color="auto" w:sz="8" w:space="1"/>
      </w:pBdr>
      <w:jc w:val="left"/>
      <w:rPr>
        <w:rFonts w:ascii="仿宋" w:hAnsi="仿宋" w:eastAsia="仿宋" w:cs="仿宋"/>
        <w:sz w:val="21"/>
        <w:szCs w:val="21"/>
      </w:rPr>
    </w:pPr>
    <w:r>
      <w:rPr>
        <w:rFonts w:hint="eastAsia" w:ascii="仿宋" w:hAnsi="仿宋" w:eastAsia="仿宋" w:cs="仿宋"/>
        <w:color w:val="333333"/>
        <w:sz w:val="21"/>
        <w:szCs w:val="21"/>
        <w:shd w:val="clear" w:color="auto" w:fill="FFFFFF"/>
      </w:rPr>
      <w:t>医院信息系统售后服务采购项目</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B9087">
    <w:pPr>
      <w:pStyle w:val="17"/>
      <w:pBdr>
        <w:bottom w:val="double" w:color="auto" w:sz="8" w:space="1"/>
      </w:pBdr>
      <w:jc w:val="left"/>
      <w:rPr>
        <w:rFonts w:ascii="仿宋" w:hAnsi="仿宋" w:eastAsia="仿宋" w:cs="仿宋"/>
        <w:sz w:val="21"/>
        <w:szCs w:val="21"/>
      </w:rPr>
    </w:pPr>
    <w:r>
      <w:rPr>
        <w:rFonts w:hint="eastAsia" w:ascii="仿宋" w:hAnsi="仿宋" w:eastAsia="仿宋" w:cs="仿宋"/>
        <w:color w:val="333333"/>
        <w:sz w:val="21"/>
        <w:szCs w:val="21"/>
        <w:shd w:val="clear" w:color="auto" w:fill="FFFFFF"/>
      </w:rPr>
      <w:t>医院信息系统售后服务采购项目</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F641A">
    <w:pPr>
      <w:pStyle w:val="17"/>
      <w:pBdr>
        <w:bottom w:val="double" w:color="auto" w:sz="8" w:space="1"/>
      </w:pBdr>
      <w:jc w:val="left"/>
      <w:rPr>
        <w:rFonts w:ascii="仿宋" w:hAnsi="仿宋" w:eastAsia="仿宋" w:cs="仿宋"/>
        <w:sz w:val="21"/>
        <w:szCs w:val="21"/>
      </w:rPr>
    </w:pPr>
    <w:r>
      <w:rPr>
        <w:rFonts w:hint="eastAsia" w:ascii="仿宋" w:hAnsi="仿宋" w:eastAsia="仿宋" w:cs="仿宋"/>
        <w:color w:val="333333"/>
        <w:sz w:val="21"/>
        <w:szCs w:val="21"/>
        <w:shd w:val="clear" w:color="auto" w:fill="FFFFFF"/>
      </w:rPr>
      <w:t>医院信息系统售后服务采购项目</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AF0DD">
    <w:pPr>
      <w:pStyle w:val="17"/>
      <w:pBdr>
        <w:bottom w:val="double" w:color="auto" w:sz="8" w:space="1"/>
      </w:pBdr>
      <w:jc w:val="left"/>
      <w:rPr>
        <w:rFonts w:ascii="仿宋" w:hAnsi="仿宋" w:eastAsia="仿宋" w:cs="仿宋"/>
        <w:sz w:val="21"/>
        <w:szCs w:val="21"/>
      </w:rPr>
    </w:pPr>
    <w:r>
      <w:rPr>
        <w:rFonts w:hint="eastAsia" w:ascii="仿宋" w:hAnsi="仿宋" w:eastAsia="仿宋" w:cs="仿宋"/>
        <w:color w:val="333333"/>
        <w:sz w:val="21"/>
        <w:szCs w:val="21"/>
        <w:shd w:val="clear" w:color="auto" w:fill="FFFFFF"/>
      </w:rPr>
      <w:t>医院信息系统售后服务采购项目</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2C217">
    <w:pPr>
      <w:pStyle w:val="17"/>
      <w:pBdr>
        <w:bottom w:val="double" w:color="auto" w:sz="8" w:space="1"/>
      </w:pBdr>
      <w:jc w:val="left"/>
      <w:rPr>
        <w:rFonts w:ascii="仿宋" w:hAnsi="仿宋" w:eastAsia="仿宋" w:cs="仿宋"/>
        <w:sz w:val="21"/>
        <w:szCs w:val="21"/>
      </w:rPr>
    </w:pPr>
    <w:r>
      <w:rPr>
        <w:rFonts w:hint="eastAsia" w:ascii="仿宋" w:hAnsi="仿宋" w:eastAsia="仿宋" w:cs="仿宋"/>
        <w:color w:val="333333"/>
        <w:sz w:val="21"/>
        <w:szCs w:val="21"/>
        <w:shd w:val="clear" w:color="auto" w:fill="FFFFFF"/>
      </w:rPr>
      <w:t>医院信息系统售后服务采购项目</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B4C8E">
    <w:pPr>
      <w:pStyle w:val="17"/>
      <w:pBdr>
        <w:bottom w:val="double" w:color="auto" w:sz="8" w:space="1"/>
      </w:pBdr>
      <w:jc w:val="left"/>
      <w:rPr>
        <w:rFonts w:ascii="仿宋" w:hAnsi="仿宋" w:eastAsia="仿宋" w:cs="仿宋"/>
        <w:sz w:val="21"/>
        <w:szCs w:val="21"/>
      </w:rPr>
    </w:pPr>
    <w:r>
      <w:rPr>
        <w:rFonts w:hint="eastAsia" w:ascii="仿宋" w:hAnsi="仿宋" w:eastAsia="仿宋" w:cs="仿宋"/>
        <w:color w:val="333333"/>
        <w:sz w:val="21"/>
        <w:szCs w:val="21"/>
        <w:shd w:val="clear" w:color="auto" w:fill="FFFFFF"/>
      </w:rPr>
      <w:t>医院信息系统售后服务采购项目</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3CB02">
    <w:pPr>
      <w:pStyle w:val="17"/>
      <w:pBdr>
        <w:bottom w:val="double" w:color="auto" w:sz="8" w:space="1"/>
      </w:pBdr>
      <w:jc w:val="left"/>
      <w:rPr>
        <w:rFonts w:ascii="仿宋" w:hAnsi="仿宋" w:eastAsia="仿宋" w:cs="仿宋"/>
        <w:sz w:val="21"/>
        <w:szCs w:val="21"/>
      </w:rPr>
    </w:pPr>
    <w:r>
      <w:rPr>
        <w:rFonts w:hint="eastAsia" w:ascii="仿宋" w:hAnsi="仿宋" w:eastAsia="仿宋" w:cs="仿宋"/>
        <w:color w:val="333333"/>
        <w:sz w:val="21"/>
        <w:szCs w:val="21"/>
        <w:shd w:val="clear" w:color="auto" w:fill="FFFFFF"/>
      </w:rPr>
      <w:t>医院信息系统售后服务采购项目</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6761C">
    <w:pPr>
      <w:pStyle w:val="17"/>
      <w:pBdr>
        <w:bottom w:val="double" w:color="auto" w:sz="8" w:space="1"/>
      </w:pBdr>
      <w:jc w:val="left"/>
      <w:rPr>
        <w:rFonts w:ascii="仿宋" w:hAnsi="仿宋" w:eastAsia="仿宋" w:cs="仿宋"/>
        <w:sz w:val="21"/>
        <w:szCs w:val="21"/>
      </w:rPr>
    </w:pPr>
    <w:r>
      <w:rPr>
        <w:rFonts w:hint="eastAsia" w:ascii="仿宋" w:hAnsi="仿宋" w:eastAsia="仿宋" w:cs="仿宋"/>
        <w:color w:val="333333"/>
        <w:sz w:val="21"/>
        <w:szCs w:val="21"/>
        <w:shd w:val="clear" w:color="auto" w:fill="FFFFFF"/>
      </w:rPr>
      <w:t>医院信息系统售后服务采购项目</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6FE0B">
    <w:pPr>
      <w:pStyle w:val="17"/>
      <w:pBdr>
        <w:bottom w:val="double" w:color="auto" w:sz="8" w:space="1"/>
      </w:pBdr>
      <w:jc w:val="left"/>
      <w:rPr>
        <w:rFonts w:ascii="仿宋" w:hAnsi="仿宋" w:eastAsia="仿宋" w:cs="仿宋"/>
        <w:sz w:val="21"/>
        <w:szCs w:val="21"/>
      </w:rPr>
    </w:pPr>
    <w:r>
      <w:rPr>
        <w:rFonts w:hint="eastAsia" w:ascii="仿宋" w:hAnsi="仿宋" w:eastAsia="仿宋" w:cs="仿宋"/>
        <w:color w:val="333333"/>
        <w:sz w:val="21"/>
        <w:szCs w:val="21"/>
        <w:shd w:val="clear" w:color="auto" w:fill="FFFFFF"/>
      </w:rPr>
      <w:t>医院信息系统售后服务采购项目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1167C1"/>
    <w:multiLevelType w:val="singleLevel"/>
    <w:tmpl w:val="871167C1"/>
    <w:lvl w:ilvl="0" w:tentative="0">
      <w:start w:val="2"/>
      <w:numFmt w:val="chineseCounting"/>
      <w:suff w:val="nothing"/>
      <w:lvlText w:val="%1、"/>
      <w:lvlJc w:val="left"/>
      <w:rPr>
        <w:rFonts w:hint="eastAsia"/>
      </w:rPr>
    </w:lvl>
  </w:abstractNum>
  <w:abstractNum w:abstractNumId="1">
    <w:nsid w:val="2220612D"/>
    <w:multiLevelType w:val="multilevel"/>
    <w:tmpl w:val="2220612D"/>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33016E02"/>
    <w:multiLevelType w:val="multilevel"/>
    <w:tmpl w:val="33016E02"/>
    <w:lvl w:ilvl="0" w:tentative="0">
      <w:start w:val="1"/>
      <w:numFmt w:val="bullet"/>
      <w:lvlText w:val=""/>
      <w:lvlJc w:val="left"/>
      <w:pPr>
        <w:ind w:left="860" w:hanging="420"/>
      </w:pPr>
      <w:rPr>
        <w:rFonts w:hint="default" w:ascii="Wingdings" w:hAnsi="Wingdings"/>
      </w:rPr>
    </w:lvl>
    <w:lvl w:ilvl="1" w:tentative="0">
      <w:start w:val="1"/>
      <w:numFmt w:val="bullet"/>
      <w:lvlText w:val=""/>
      <w:lvlJc w:val="left"/>
      <w:pPr>
        <w:ind w:left="1280" w:hanging="420"/>
      </w:pPr>
      <w:rPr>
        <w:rFonts w:hint="default" w:ascii="Wingdings" w:hAnsi="Wingdings"/>
      </w:rPr>
    </w:lvl>
    <w:lvl w:ilvl="2" w:tentative="0">
      <w:start w:val="1"/>
      <w:numFmt w:val="bullet"/>
      <w:lvlText w:val=""/>
      <w:lvlJc w:val="left"/>
      <w:pPr>
        <w:ind w:left="1700" w:hanging="420"/>
      </w:pPr>
      <w:rPr>
        <w:rFonts w:hint="default" w:ascii="Wingdings" w:hAnsi="Wingdings"/>
      </w:rPr>
    </w:lvl>
    <w:lvl w:ilvl="3" w:tentative="0">
      <w:start w:val="1"/>
      <w:numFmt w:val="bullet"/>
      <w:lvlText w:val=""/>
      <w:lvlJc w:val="left"/>
      <w:pPr>
        <w:ind w:left="2120" w:hanging="420"/>
      </w:pPr>
      <w:rPr>
        <w:rFonts w:hint="default" w:ascii="Wingdings" w:hAnsi="Wingdings"/>
      </w:rPr>
    </w:lvl>
    <w:lvl w:ilvl="4" w:tentative="0">
      <w:start w:val="1"/>
      <w:numFmt w:val="bullet"/>
      <w:lvlText w:val=""/>
      <w:lvlJc w:val="left"/>
      <w:pPr>
        <w:ind w:left="2540" w:hanging="420"/>
      </w:pPr>
      <w:rPr>
        <w:rFonts w:hint="default" w:ascii="Wingdings" w:hAnsi="Wingdings"/>
      </w:rPr>
    </w:lvl>
    <w:lvl w:ilvl="5" w:tentative="0">
      <w:start w:val="1"/>
      <w:numFmt w:val="bullet"/>
      <w:lvlText w:val=""/>
      <w:lvlJc w:val="left"/>
      <w:pPr>
        <w:ind w:left="2960" w:hanging="420"/>
      </w:pPr>
      <w:rPr>
        <w:rFonts w:hint="default" w:ascii="Wingdings" w:hAnsi="Wingdings"/>
      </w:rPr>
    </w:lvl>
    <w:lvl w:ilvl="6" w:tentative="0">
      <w:start w:val="1"/>
      <w:numFmt w:val="bullet"/>
      <w:lvlText w:val=""/>
      <w:lvlJc w:val="left"/>
      <w:pPr>
        <w:ind w:left="3380" w:hanging="420"/>
      </w:pPr>
      <w:rPr>
        <w:rFonts w:hint="default" w:ascii="Wingdings" w:hAnsi="Wingdings"/>
      </w:rPr>
    </w:lvl>
    <w:lvl w:ilvl="7" w:tentative="0">
      <w:start w:val="1"/>
      <w:numFmt w:val="bullet"/>
      <w:lvlText w:val=""/>
      <w:lvlJc w:val="left"/>
      <w:pPr>
        <w:ind w:left="3800" w:hanging="420"/>
      </w:pPr>
      <w:rPr>
        <w:rFonts w:hint="default" w:ascii="Wingdings" w:hAnsi="Wingdings"/>
      </w:rPr>
    </w:lvl>
    <w:lvl w:ilvl="8" w:tentative="0">
      <w:start w:val="1"/>
      <w:numFmt w:val="bullet"/>
      <w:lvlText w:val=""/>
      <w:lvlJc w:val="left"/>
      <w:pPr>
        <w:ind w:left="4220" w:hanging="420"/>
      </w:pPr>
      <w:rPr>
        <w:rFonts w:hint="default" w:ascii="Wingdings" w:hAnsi="Wingdings"/>
      </w:rPr>
    </w:lvl>
  </w:abstractNum>
  <w:abstractNum w:abstractNumId="3">
    <w:nsid w:val="48385F38"/>
    <w:multiLevelType w:val="multilevel"/>
    <w:tmpl w:val="48385F38"/>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605B402D"/>
    <w:multiLevelType w:val="multilevel"/>
    <w:tmpl w:val="605B402D"/>
    <w:lvl w:ilvl="0" w:tentative="0">
      <w:start w:val="1"/>
      <w:numFmt w:val="bullet"/>
      <w:lvlText w:val=""/>
      <w:lvlJc w:val="left"/>
      <w:pPr>
        <w:ind w:left="860" w:hanging="420"/>
      </w:pPr>
      <w:rPr>
        <w:rFonts w:hint="default" w:ascii="Wingdings" w:hAnsi="Wingdings"/>
      </w:rPr>
    </w:lvl>
    <w:lvl w:ilvl="1" w:tentative="0">
      <w:start w:val="1"/>
      <w:numFmt w:val="bullet"/>
      <w:lvlText w:val=""/>
      <w:lvlJc w:val="left"/>
      <w:pPr>
        <w:ind w:left="1280" w:hanging="420"/>
      </w:pPr>
      <w:rPr>
        <w:rFonts w:hint="default" w:ascii="Wingdings" w:hAnsi="Wingdings"/>
      </w:rPr>
    </w:lvl>
    <w:lvl w:ilvl="2" w:tentative="0">
      <w:start w:val="1"/>
      <w:numFmt w:val="bullet"/>
      <w:lvlText w:val=""/>
      <w:lvlJc w:val="left"/>
      <w:pPr>
        <w:ind w:left="1700" w:hanging="420"/>
      </w:pPr>
      <w:rPr>
        <w:rFonts w:hint="default" w:ascii="Wingdings" w:hAnsi="Wingdings"/>
      </w:rPr>
    </w:lvl>
    <w:lvl w:ilvl="3" w:tentative="0">
      <w:start w:val="1"/>
      <w:numFmt w:val="bullet"/>
      <w:lvlText w:val=""/>
      <w:lvlJc w:val="left"/>
      <w:pPr>
        <w:ind w:left="2120" w:hanging="420"/>
      </w:pPr>
      <w:rPr>
        <w:rFonts w:hint="default" w:ascii="Wingdings" w:hAnsi="Wingdings"/>
      </w:rPr>
    </w:lvl>
    <w:lvl w:ilvl="4" w:tentative="0">
      <w:start w:val="1"/>
      <w:numFmt w:val="bullet"/>
      <w:lvlText w:val=""/>
      <w:lvlJc w:val="left"/>
      <w:pPr>
        <w:ind w:left="2540" w:hanging="420"/>
      </w:pPr>
      <w:rPr>
        <w:rFonts w:hint="default" w:ascii="Wingdings" w:hAnsi="Wingdings"/>
      </w:rPr>
    </w:lvl>
    <w:lvl w:ilvl="5" w:tentative="0">
      <w:start w:val="1"/>
      <w:numFmt w:val="bullet"/>
      <w:lvlText w:val=""/>
      <w:lvlJc w:val="left"/>
      <w:pPr>
        <w:ind w:left="2960" w:hanging="420"/>
      </w:pPr>
      <w:rPr>
        <w:rFonts w:hint="default" w:ascii="Wingdings" w:hAnsi="Wingdings"/>
      </w:rPr>
    </w:lvl>
    <w:lvl w:ilvl="6" w:tentative="0">
      <w:start w:val="1"/>
      <w:numFmt w:val="bullet"/>
      <w:lvlText w:val=""/>
      <w:lvlJc w:val="left"/>
      <w:pPr>
        <w:ind w:left="3380" w:hanging="420"/>
      </w:pPr>
      <w:rPr>
        <w:rFonts w:hint="default" w:ascii="Wingdings" w:hAnsi="Wingdings"/>
      </w:rPr>
    </w:lvl>
    <w:lvl w:ilvl="7" w:tentative="0">
      <w:start w:val="1"/>
      <w:numFmt w:val="bullet"/>
      <w:lvlText w:val=""/>
      <w:lvlJc w:val="left"/>
      <w:pPr>
        <w:ind w:left="3800" w:hanging="420"/>
      </w:pPr>
      <w:rPr>
        <w:rFonts w:hint="default" w:ascii="Wingdings" w:hAnsi="Wingdings"/>
      </w:rPr>
    </w:lvl>
    <w:lvl w:ilvl="8" w:tentative="0">
      <w:start w:val="1"/>
      <w:numFmt w:val="bullet"/>
      <w:lvlText w:val=""/>
      <w:lvlJc w:val="left"/>
      <w:pPr>
        <w:ind w:left="4220" w:hanging="420"/>
      </w:pPr>
      <w:rPr>
        <w:rFonts w:hint="default" w:ascii="Wingdings" w:hAnsi="Wingdings"/>
      </w:rPr>
    </w:lvl>
  </w:abstractNum>
  <w:abstractNum w:abstractNumId="5">
    <w:nsid w:val="65651D1A"/>
    <w:multiLevelType w:val="multilevel"/>
    <w:tmpl w:val="65651D1A"/>
    <w:lvl w:ilvl="0" w:tentative="0">
      <w:start w:val="0"/>
      <w:numFmt w:val="bullet"/>
      <w:lvlText w:val="•"/>
      <w:lvlJc w:val="left"/>
      <w:rPr>
        <w:color w:val="3370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5"/>
  </w:num>
  <w:num w:numId="2">
    <w:abstractNumId w:val="3"/>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embedSystemFonts/>
  <w:bordersDoNotSurroundHeader w:val="1"/>
  <w:bordersDoNotSurroundFooter w:val="1"/>
  <w:hideSpellingErrors/>
  <w:trackRevisions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JiYmZiMGMyMzI4NGFkOWViYWQ0Nzg1MjhkNzEzNDYifQ=="/>
    <w:docVar w:name="KSO_WPS_MARK_KEY" w:val="1c6c22fc-dd00-4e56-8639-4a92813b284f"/>
  </w:docVars>
  <w:rsids>
    <w:rsidRoot w:val="1B6C2164"/>
    <w:rsid w:val="004B15F8"/>
    <w:rsid w:val="00511986"/>
    <w:rsid w:val="00515001"/>
    <w:rsid w:val="00681D19"/>
    <w:rsid w:val="00706A2D"/>
    <w:rsid w:val="00995667"/>
    <w:rsid w:val="00B00BD6"/>
    <w:rsid w:val="00B86D47"/>
    <w:rsid w:val="00C91042"/>
    <w:rsid w:val="00E645F8"/>
    <w:rsid w:val="01050A52"/>
    <w:rsid w:val="01877B89"/>
    <w:rsid w:val="018D5656"/>
    <w:rsid w:val="01AF68B5"/>
    <w:rsid w:val="01C74429"/>
    <w:rsid w:val="01CE7072"/>
    <w:rsid w:val="021E4708"/>
    <w:rsid w:val="024A5CDD"/>
    <w:rsid w:val="02827D38"/>
    <w:rsid w:val="03890B58"/>
    <w:rsid w:val="039F4C5B"/>
    <w:rsid w:val="04A8769A"/>
    <w:rsid w:val="04DB3478"/>
    <w:rsid w:val="05724CA0"/>
    <w:rsid w:val="059211F2"/>
    <w:rsid w:val="06823015"/>
    <w:rsid w:val="06C1500C"/>
    <w:rsid w:val="07B105DC"/>
    <w:rsid w:val="07BC2556"/>
    <w:rsid w:val="0A014251"/>
    <w:rsid w:val="0A073F5D"/>
    <w:rsid w:val="0A4D6481"/>
    <w:rsid w:val="0A6749FB"/>
    <w:rsid w:val="0A6C0264"/>
    <w:rsid w:val="0B161F7E"/>
    <w:rsid w:val="0B5B6366"/>
    <w:rsid w:val="0BC41ED0"/>
    <w:rsid w:val="0C714F16"/>
    <w:rsid w:val="0D0B3C20"/>
    <w:rsid w:val="0DC95408"/>
    <w:rsid w:val="0DD4230C"/>
    <w:rsid w:val="0E407A3D"/>
    <w:rsid w:val="0E8F7C6B"/>
    <w:rsid w:val="0EF44384"/>
    <w:rsid w:val="10EF4424"/>
    <w:rsid w:val="121D1848"/>
    <w:rsid w:val="12565DAA"/>
    <w:rsid w:val="128A53C6"/>
    <w:rsid w:val="1304176A"/>
    <w:rsid w:val="13EA5A86"/>
    <w:rsid w:val="14697BE6"/>
    <w:rsid w:val="1514363D"/>
    <w:rsid w:val="1514659D"/>
    <w:rsid w:val="155A0762"/>
    <w:rsid w:val="157F36EC"/>
    <w:rsid w:val="1597458A"/>
    <w:rsid w:val="16513090"/>
    <w:rsid w:val="1677171D"/>
    <w:rsid w:val="17222925"/>
    <w:rsid w:val="17233A97"/>
    <w:rsid w:val="173160BF"/>
    <w:rsid w:val="18307DB5"/>
    <w:rsid w:val="184639D8"/>
    <w:rsid w:val="18B4270C"/>
    <w:rsid w:val="190555D9"/>
    <w:rsid w:val="192167CE"/>
    <w:rsid w:val="1931341F"/>
    <w:rsid w:val="195E346D"/>
    <w:rsid w:val="19650358"/>
    <w:rsid w:val="19706CFD"/>
    <w:rsid w:val="19B66E06"/>
    <w:rsid w:val="1AD25EC1"/>
    <w:rsid w:val="1B15236E"/>
    <w:rsid w:val="1B6C2164"/>
    <w:rsid w:val="1C2838BF"/>
    <w:rsid w:val="1C4171CD"/>
    <w:rsid w:val="1C707260"/>
    <w:rsid w:val="1C8E7BC6"/>
    <w:rsid w:val="1CB955E8"/>
    <w:rsid w:val="1D847F7C"/>
    <w:rsid w:val="1D916BD5"/>
    <w:rsid w:val="1E153FDE"/>
    <w:rsid w:val="1E2C7AE8"/>
    <w:rsid w:val="1E4A3FC0"/>
    <w:rsid w:val="1E8A260F"/>
    <w:rsid w:val="1E944D52"/>
    <w:rsid w:val="1EDA5344"/>
    <w:rsid w:val="1F2962CC"/>
    <w:rsid w:val="1FE927B2"/>
    <w:rsid w:val="20D65FDF"/>
    <w:rsid w:val="20F64DE2"/>
    <w:rsid w:val="211D0BD9"/>
    <w:rsid w:val="21412C9D"/>
    <w:rsid w:val="221176FF"/>
    <w:rsid w:val="22D12F02"/>
    <w:rsid w:val="22DB5B2F"/>
    <w:rsid w:val="23C42AD0"/>
    <w:rsid w:val="23CA3E81"/>
    <w:rsid w:val="23CD5478"/>
    <w:rsid w:val="24227C95"/>
    <w:rsid w:val="242E1C8E"/>
    <w:rsid w:val="243B6B9B"/>
    <w:rsid w:val="245D627F"/>
    <w:rsid w:val="2539372D"/>
    <w:rsid w:val="268F0567"/>
    <w:rsid w:val="26906C30"/>
    <w:rsid w:val="26E921AF"/>
    <w:rsid w:val="273C797E"/>
    <w:rsid w:val="277246F6"/>
    <w:rsid w:val="27E868EF"/>
    <w:rsid w:val="27FF2AD4"/>
    <w:rsid w:val="28785332"/>
    <w:rsid w:val="28C12409"/>
    <w:rsid w:val="29155A5A"/>
    <w:rsid w:val="29212CA0"/>
    <w:rsid w:val="297D4A91"/>
    <w:rsid w:val="29BE25AF"/>
    <w:rsid w:val="2A083D08"/>
    <w:rsid w:val="2A2231C8"/>
    <w:rsid w:val="2B557A29"/>
    <w:rsid w:val="2C6421B7"/>
    <w:rsid w:val="2CE37B22"/>
    <w:rsid w:val="2D5717FE"/>
    <w:rsid w:val="2D5A07F1"/>
    <w:rsid w:val="2DB529BD"/>
    <w:rsid w:val="2E385BE3"/>
    <w:rsid w:val="2E7E61BB"/>
    <w:rsid w:val="2F061E18"/>
    <w:rsid w:val="2F303AA7"/>
    <w:rsid w:val="3059008F"/>
    <w:rsid w:val="30766094"/>
    <w:rsid w:val="308117D4"/>
    <w:rsid w:val="30AA5B07"/>
    <w:rsid w:val="30C02E9C"/>
    <w:rsid w:val="311E7910"/>
    <w:rsid w:val="3171695A"/>
    <w:rsid w:val="32226BF2"/>
    <w:rsid w:val="3264199E"/>
    <w:rsid w:val="32990C1B"/>
    <w:rsid w:val="32AE5FFD"/>
    <w:rsid w:val="33E317AE"/>
    <w:rsid w:val="343F498B"/>
    <w:rsid w:val="34510852"/>
    <w:rsid w:val="34B352BF"/>
    <w:rsid w:val="34B37FB2"/>
    <w:rsid w:val="34EC2050"/>
    <w:rsid w:val="36AC53C0"/>
    <w:rsid w:val="36B55EFA"/>
    <w:rsid w:val="36CF48BF"/>
    <w:rsid w:val="37B346C5"/>
    <w:rsid w:val="37D44E76"/>
    <w:rsid w:val="38591578"/>
    <w:rsid w:val="38F45F12"/>
    <w:rsid w:val="39026997"/>
    <w:rsid w:val="39346E81"/>
    <w:rsid w:val="39B672DD"/>
    <w:rsid w:val="39C5043E"/>
    <w:rsid w:val="39C75DA3"/>
    <w:rsid w:val="39F1694C"/>
    <w:rsid w:val="39F5295B"/>
    <w:rsid w:val="3A192D6D"/>
    <w:rsid w:val="3A56200E"/>
    <w:rsid w:val="3A88562F"/>
    <w:rsid w:val="3B0D7E5C"/>
    <w:rsid w:val="3B0E415D"/>
    <w:rsid w:val="3B4D1348"/>
    <w:rsid w:val="3B873FE7"/>
    <w:rsid w:val="3CD64F45"/>
    <w:rsid w:val="3DCA6632"/>
    <w:rsid w:val="3E1A70B4"/>
    <w:rsid w:val="3F17628B"/>
    <w:rsid w:val="3F726024"/>
    <w:rsid w:val="3F732611"/>
    <w:rsid w:val="421D16C0"/>
    <w:rsid w:val="42403346"/>
    <w:rsid w:val="425B13DD"/>
    <w:rsid w:val="42F23C02"/>
    <w:rsid w:val="43A146DB"/>
    <w:rsid w:val="440E3217"/>
    <w:rsid w:val="44C24879"/>
    <w:rsid w:val="44CD4E80"/>
    <w:rsid w:val="44E421C9"/>
    <w:rsid w:val="44E56EC9"/>
    <w:rsid w:val="45005731"/>
    <w:rsid w:val="460C47D1"/>
    <w:rsid w:val="46247C45"/>
    <w:rsid w:val="464654DB"/>
    <w:rsid w:val="467F21AA"/>
    <w:rsid w:val="4690213F"/>
    <w:rsid w:val="471C095A"/>
    <w:rsid w:val="47555381"/>
    <w:rsid w:val="48897310"/>
    <w:rsid w:val="48A940FB"/>
    <w:rsid w:val="48BA3719"/>
    <w:rsid w:val="49402663"/>
    <w:rsid w:val="4953558D"/>
    <w:rsid w:val="49764827"/>
    <w:rsid w:val="4989217A"/>
    <w:rsid w:val="4A190B67"/>
    <w:rsid w:val="4A257510"/>
    <w:rsid w:val="4A606796"/>
    <w:rsid w:val="4A9A0905"/>
    <w:rsid w:val="4AE967E1"/>
    <w:rsid w:val="4B5323EE"/>
    <w:rsid w:val="4BEA3185"/>
    <w:rsid w:val="4C0244A9"/>
    <w:rsid w:val="4C3A00C8"/>
    <w:rsid w:val="4C8111BB"/>
    <w:rsid w:val="4D4E7696"/>
    <w:rsid w:val="4D6960BB"/>
    <w:rsid w:val="4D773D2B"/>
    <w:rsid w:val="4D7C5C78"/>
    <w:rsid w:val="4DE247A0"/>
    <w:rsid w:val="4DEB443A"/>
    <w:rsid w:val="4E0B6A5B"/>
    <w:rsid w:val="4EA55CA9"/>
    <w:rsid w:val="4EE74617"/>
    <w:rsid w:val="4F624D5E"/>
    <w:rsid w:val="505B4739"/>
    <w:rsid w:val="50A75FC6"/>
    <w:rsid w:val="50EC58A1"/>
    <w:rsid w:val="5108215B"/>
    <w:rsid w:val="511C0A81"/>
    <w:rsid w:val="51781F68"/>
    <w:rsid w:val="517C48D3"/>
    <w:rsid w:val="51C37662"/>
    <w:rsid w:val="52363773"/>
    <w:rsid w:val="529D77FC"/>
    <w:rsid w:val="5327070C"/>
    <w:rsid w:val="53B2032E"/>
    <w:rsid w:val="53BE69F0"/>
    <w:rsid w:val="53C51517"/>
    <w:rsid w:val="542F0222"/>
    <w:rsid w:val="549E596C"/>
    <w:rsid w:val="54D87BD4"/>
    <w:rsid w:val="551C33AC"/>
    <w:rsid w:val="557853B1"/>
    <w:rsid w:val="55795567"/>
    <w:rsid w:val="55F634AF"/>
    <w:rsid w:val="56045A83"/>
    <w:rsid w:val="563F7100"/>
    <w:rsid w:val="5718504E"/>
    <w:rsid w:val="572B629B"/>
    <w:rsid w:val="57872FC9"/>
    <w:rsid w:val="579E74DE"/>
    <w:rsid w:val="57A113BA"/>
    <w:rsid w:val="57CD4D3F"/>
    <w:rsid w:val="58172929"/>
    <w:rsid w:val="58803725"/>
    <w:rsid w:val="588E6BAA"/>
    <w:rsid w:val="58957D45"/>
    <w:rsid w:val="58E340E1"/>
    <w:rsid w:val="59160B84"/>
    <w:rsid w:val="5976141F"/>
    <w:rsid w:val="59CB241B"/>
    <w:rsid w:val="5A3F5093"/>
    <w:rsid w:val="5ADF26FC"/>
    <w:rsid w:val="5B870309"/>
    <w:rsid w:val="5BFB00CD"/>
    <w:rsid w:val="5C3929A3"/>
    <w:rsid w:val="5C6625AE"/>
    <w:rsid w:val="5D184CAE"/>
    <w:rsid w:val="5D2832CC"/>
    <w:rsid w:val="5D8365CC"/>
    <w:rsid w:val="5D9309F2"/>
    <w:rsid w:val="5DA60977"/>
    <w:rsid w:val="5DF41277"/>
    <w:rsid w:val="5F4E0A86"/>
    <w:rsid w:val="5F873021"/>
    <w:rsid w:val="5F9920D6"/>
    <w:rsid w:val="60B371C8"/>
    <w:rsid w:val="60E545D3"/>
    <w:rsid w:val="61050C74"/>
    <w:rsid w:val="62202A47"/>
    <w:rsid w:val="62E32ED6"/>
    <w:rsid w:val="6324059E"/>
    <w:rsid w:val="63D8605F"/>
    <w:rsid w:val="644C7CC5"/>
    <w:rsid w:val="64620F63"/>
    <w:rsid w:val="6493113F"/>
    <w:rsid w:val="649E29DD"/>
    <w:rsid w:val="64BD0E77"/>
    <w:rsid w:val="657D4B0B"/>
    <w:rsid w:val="66213569"/>
    <w:rsid w:val="665F536C"/>
    <w:rsid w:val="66643F95"/>
    <w:rsid w:val="66AE4DC0"/>
    <w:rsid w:val="684A36EE"/>
    <w:rsid w:val="68AC4F32"/>
    <w:rsid w:val="68CA5B5E"/>
    <w:rsid w:val="68EE6C3C"/>
    <w:rsid w:val="6917388C"/>
    <w:rsid w:val="69220762"/>
    <w:rsid w:val="697A54D9"/>
    <w:rsid w:val="69E5067A"/>
    <w:rsid w:val="6A191C67"/>
    <w:rsid w:val="6A516D7C"/>
    <w:rsid w:val="6B8E4AB9"/>
    <w:rsid w:val="6B9076F1"/>
    <w:rsid w:val="6C81017A"/>
    <w:rsid w:val="6CAD71C1"/>
    <w:rsid w:val="6CCA2D8D"/>
    <w:rsid w:val="6D1B291D"/>
    <w:rsid w:val="6D535C52"/>
    <w:rsid w:val="6E064B8A"/>
    <w:rsid w:val="6E18399E"/>
    <w:rsid w:val="6F050D11"/>
    <w:rsid w:val="6F4B2CC1"/>
    <w:rsid w:val="6F4B4A6F"/>
    <w:rsid w:val="6F6A3D7B"/>
    <w:rsid w:val="6F8975C0"/>
    <w:rsid w:val="6FA81EC2"/>
    <w:rsid w:val="6FF627E0"/>
    <w:rsid w:val="701B2707"/>
    <w:rsid w:val="706A28D1"/>
    <w:rsid w:val="7161444C"/>
    <w:rsid w:val="71A10BAF"/>
    <w:rsid w:val="71A75513"/>
    <w:rsid w:val="71C130F2"/>
    <w:rsid w:val="721675B7"/>
    <w:rsid w:val="72225745"/>
    <w:rsid w:val="726275D9"/>
    <w:rsid w:val="72B33057"/>
    <w:rsid w:val="72E8104F"/>
    <w:rsid w:val="73413276"/>
    <w:rsid w:val="73DB1974"/>
    <w:rsid w:val="7466706A"/>
    <w:rsid w:val="75590754"/>
    <w:rsid w:val="760F2B75"/>
    <w:rsid w:val="762F058C"/>
    <w:rsid w:val="76426BCC"/>
    <w:rsid w:val="764F2508"/>
    <w:rsid w:val="76F61765"/>
    <w:rsid w:val="77195BE7"/>
    <w:rsid w:val="777029AA"/>
    <w:rsid w:val="77860D3A"/>
    <w:rsid w:val="779571D0"/>
    <w:rsid w:val="788134CD"/>
    <w:rsid w:val="78DE29FC"/>
    <w:rsid w:val="793B7D81"/>
    <w:rsid w:val="79411FB2"/>
    <w:rsid w:val="79FF79A7"/>
    <w:rsid w:val="7A0D0409"/>
    <w:rsid w:val="7A391008"/>
    <w:rsid w:val="7A8552D9"/>
    <w:rsid w:val="7B3021CB"/>
    <w:rsid w:val="7B3A1E07"/>
    <w:rsid w:val="7B4A0250"/>
    <w:rsid w:val="7B5B0429"/>
    <w:rsid w:val="7BEC339E"/>
    <w:rsid w:val="7BEF73B6"/>
    <w:rsid w:val="7C286864"/>
    <w:rsid w:val="7C34306B"/>
    <w:rsid w:val="7C346BC6"/>
    <w:rsid w:val="7CE058BD"/>
    <w:rsid w:val="7DAA5057"/>
    <w:rsid w:val="7DBC7236"/>
    <w:rsid w:val="7DD2237C"/>
    <w:rsid w:val="7DD30A52"/>
    <w:rsid w:val="7F0B1540"/>
    <w:rsid w:val="7F381753"/>
    <w:rsid w:val="7FD448B1"/>
    <w:rsid w:val="ECFF0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qFormat="1" w:uiPriority="31"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spacing w:before="50" w:beforeLines="50" w:after="50" w:afterLines="50"/>
      <w:jc w:val="center"/>
      <w:outlineLvl w:val="0"/>
    </w:pPr>
    <w:rPr>
      <w:b/>
      <w:bCs/>
      <w:iCs/>
      <w:kern w:val="0"/>
      <w:sz w:val="36"/>
      <w:szCs w:val="36"/>
    </w:rPr>
  </w:style>
  <w:style w:type="paragraph" w:styleId="3">
    <w:name w:val="heading 2"/>
    <w:basedOn w:val="1"/>
    <w:next w:val="1"/>
    <w:link w:val="41"/>
    <w:semiHidden/>
    <w:unhideWhenUsed/>
    <w:qFormat/>
    <w:uiPriority w:val="0"/>
    <w:pPr>
      <w:jc w:val="center"/>
      <w:outlineLvl w:val="1"/>
    </w:pPr>
    <w:rPr>
      <w:rFonts w:ascii="宋体" w:hAnsi="宋体" w:cstheme="minorBidi"/>
      <w:sz w:val="28"/>
      <w:szCs w:val="28"/>
      <w:lang w:eastAsia="en-US"/>
    </w:rPr>
  </w:style>
  <w:style w:type="paragraph" w:styleId="4">
    <w:name w:val="heading 3"/>
    <w:basedOn w:val="1"/>
    <w:next w:val="1"/>
    <w:semiHidden/>
    <w:unhideWhenUsed/>
    <w:qFormat/>
    <w:uiPriority w:val="0"/>
    <w:pPr>
      <w:keepNext/>
      <w:keepLines/>
      <w:spacing w:line="360" w:lineRule="auto"/>
      <w:outlineLvl w:val="2"/>
    </w:pPr>
    <w:rPr>
      <w:b/>
      <w:bCs/>
    </w:rPr>
  </w:style>
  <w:style w:type="paragraph" w:styleId="5">
    <w:name w:val="heading 4"/>
    <w:basedOn w:val="1"/>
    <w:next w:val="1"/>
    <w:qFormat/>
    <w:uiPriority w:val="99"/>
    <w:pPr>
      <w:keepNext/>
      <w:keepLines/>
      <w:adjustRightInd w:val="0"/>
      <w:spacing w:before="280" w:after="290" w:line="376" w:lineRule="atLeast"/>
      <w:textAlignment w:val="baseline"/>
      <w:outlineLvl w:val="3"/>
    </w:pPr>
    <w:rPr>
      <w:rFonts w:ascii="Arial"/>
      <w:b/>
      <w:spacing w:val="20"/>
      <w:kern w:val="0"/>
      <w:sz w:val="20"/>
    </w:rPr>
  </w:style>
  <w:style w:type="paragraph" w:styleId="6">
    <w:name w:val="heading 6"/>
    <w:basedOn w:val="1"/>
    <w:next w:val="1"/>
    <w:qFormat/>
    <w:uiPriority w:val="99"/>
    <w:pPr>
      <w:keepNext/>
      <w:keepLines/>
      <w:spacing w:before="240" w:after="64" w:line="320" w:lineRule="auto"/>
      <w:outlineLvl w:val="5"/>
    </w:pPr>
    <w:rPr>
      <w:rFonts w:ascii="Calibri Light" w:hAnsi="Calibri Light"/>
      <w:b/>
      <w:bCs/>
      <w:sz w:val="24"/>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8"/>
    <w:qFormat/>
    <w:uiPriority w:val="0"/>
    <w:pPr>
      <w:autoSpaceDE w:val="0"/>
      <w:autoSpaceDN w:val="0"/>
      <w:adjustRightInd w:val="0"/>
      <w:spacing w:line="640" w:lineRule="exact"/>
      <w:ind w:firstLine="585"/>
    </w:pPr>
    <w:rPr>
      <w:rFonts w:ascii="楷体_GB2312" w:eastAsia="楷体_GB2312"/>
      <w:sz w:val="32"/>
      <w:szCs w:val="32"/>
    </w:rPr>
  </w:style>
  <w:style w:type="paragraph" w:styleId="8">
    <w:name w:val="toc 4"/>
    <w:basedOn w:val="1"/>
    <w:next w:val="1"/>
    <w:unhideWhenUsed/>
    <w:qFormat/>
    <w:uiPriority w:val="31"/>
    <w:pPr>
      <w:ind w:left="1275"/>
    </w:pPr>
    <w:rPr>
      <w:rFonts w:ascii="Calibri" w:hAnsi="Calibri"/>
      <w:szCs w:val="21"/>
    </w:rPr>
  </w:style>
  <w:style w:type="paragraph" w:styleId="9">
    <w:name w:val="annotation text"/>
    <w:basedOn w:val="1"/>
    <w:qFormat/>
    <w:uiPriority w:val="0"/>
    <w:pPr>
      <w:jc w:val="left"/>
    </w:pPr>
  </w:style>
  <w:style w:type="paragraph" w:styleId="10">
    <w:name w:val="Body Text"/>
    <w:basedOn w:val="1"/>
    <w:next w:val="1"/>
    <w:qFormat/>
    <w:uiPriority w:val="0"/>
    <w:pPr>
      <w:ind w:left="119" w:firstLine="608" w:firstLineChars="200"/>
    </w:pPr>
    <w:rPr>
      <w:rFonts w:ascii="Arial Unicode MS" w:hAnsi="Arial Unicode MS" w:cstheme="minorBidi"/>
      <w:sz w:val="24"/>
      <w:szCs w:val="28"/>
      <w:lang w:eastAsia="en-US"/>
    </w:rPr>
  </w:style>
  <w:style w:type="paragraph" w:styleId="11">
    <w:name w:val="Body Text Indent"/>
    <w:basedOn w:val="1"/>
    <w:next w:val="1"/>
    <w:qFormat/>
    <w:uiPriority w:val="0"/>
    <w:pPr>
      <w:ind w:firstLine="480"/>
    </w:pPr>
    <w:rPr>
      <w:rFonts w:ascii="宋体" w:hAnsi="宋体"/>
    </w:rPr>
  </w:style>
  <w:style w:type="paragraph" w:styleId="12">
    <w:name w:val="Block Text"/>
    <w:basedOn w:val="1"/>
    <w:qFormat/>
    <w:uiPriority w:val="0"/>
    <w:pPr>
      <w:adjustRightInd w:val="0"/>
      <w:ind w:left="420" w:right="33"/>
      <w:jc w:val="left"/>
      <w:textAlignment w:val="baseline"/>
    </w:pPr>
    <w:rPr>
      <w:kern w:val="0"/>
      <w:sz w:val="24"/>
    </w:rPr>
  </w:style>
  <w:style w:type="paragraph" w:styleId="13">
    <w:name w:val="Plain Text"/>
    <w:basedOn w:val="1"/>
    <w:qFormat/>
    <w:uiPriority w:val="0"/>
    <w:rPr>
      <w:rFonts w:ascii="宋体" w:hAnsi="Courier New" w:cs="Courier New"/>
      <w:szCs w:val="21"/>
    </w:rPr>
  </w:style>
  <w:style w:type="paragraph" w:styleId="14">
    <w:name w:val="Date"/>
    <w:basedOn w:val="1"/>
    <w:next w:val="1"/>
    <w:qFormat/>
    <w:uiPriority w:val="0"/>
    <w:rPr>
      <w:rFonts w:ascii="宋体"/>
    </w:rPr>
  </w:style>
  <w:style w:type="paragraph" w:styleId="15">
    <w:name w:val="footer"/>
    <w:basedOn w:val="1"/>
    <w:next w:val="10"/>
    <w:qFormat/>
    <w:uiPriority w:val="0"/>
    <w:pPr>
      <w:tabs>
        <w:tab w:val="center" w:pos="4153"/>
        <w:tab w:val="right" w:pos="8306"/>
      </w:tabs>
      <w:snapToGrid w:val="0"/>
      <w:jc w:val="left"/>
    </w:pPr>
    <w:rPr>
      <w:sz w:val="18"/>
      <w:szCs w:val="18"/>
    </w:rPr>
  </w:style>
  <w:style w:type="paragraph" w:styleId="16">
    <w:name w:val="envelope return"/>
    <w:basedOn w:val="1"/>
    <w:unhideWhenUsed/>
    <w:qFormat/>
    <w:uiPriority w:val="99"/>
    <w:pPr>
      <w:snapToGrid w:val="0"/>
    </w:pPr>
    <w:rPr>
      <w:rFonts w:ascii="Arial" w:hAnsi="Arial"/>
    </w:rPr>
  </w:style>
  <w:style w:type="paragraph" w:styleId="17">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8">
    <w:name w:val="toc 1"/>
    <w:basedOn w:val="1"/>
    <w:next w:val="1"/>
    <w:qFormat/>
    <w:uiPriority w:val="39"/>
    <w:pPr>
      <w:spacing w:line="240" w:lineRule="auto"/>
    </w:pPr>
  </w:style>
  <w:style w:type="paragraph" w:styleId="19">
    <w:name w:val="List"/>
    <w:basedOn w:val="1"/>
    <w:qFormat/>
    <w:uiPriority w:val="0"/>
    <w:pPr>
      <w:ind w:left="200" w:hanging="200" w:hangingChars="200"/>
    </w:pPr>
    <w:rPr>
      <w:rFonts w:ascii="Calibri" w:hAnsi="Calibri"/>
      <w:szCs w:val="22"/>
    </w:rPr>
  </w:style>
  <w:style w:type="paragraph" w:styleId="20">
    <w:name w:val="toc 2"/>
    <w:basedOn w:val="1"/>
    <w:next w:val="1"/>
    <w:qFormat/>
    <w:uiPriority w:val="39"/>
    <w:pPr>
      <w:spacing w:line="240" w:lineRule="auto"/>
      <w:ind w:left="420" w:leftChars="200"/>
    </w:pPr>
  </w:style>
  <w:style w:type="paragraph" w:styleId="21">
    <w:name w:val="toc 9"/>
    <w:basedOn w:val="1"/>
    <w:next w:val="1"/>
    <w:qFormat/>
    <w:uiPriority w:val="0"/>
    <w:pPr>
      <w:wordWrap w:val="0"/>
      <w:ind w:left="2975"/>
    </w:pPr>
  </w:style>
  <w:style w:type="paragraph" w:styleId="22">
    <w:name w:val="Normal (Web)"/>
    <w:basedOn w:val="1"/>
    <w:qFormat/>
    <w:uiPriority w:val="0"/>
    <w:pPr>
      <w:widowControl/>
      <w:spacing w:before="100" w:beforeAutospacing="1" w:after="100" w:afterAutospacing="1" w:line="240" w:lineRule="auto"/>
      <w:jc w:val="left"/>
    </w:pPr>
    <w:rPr>
      <w:rFonts w:ascii="宋体" w:hAnsi="宋体" w:cs="宋体"/>
      <w:kern w:val="0"/>
      <w:sz w:val="24"/>
    </w:rPr>
  </w:style>
  <w:style w:type="paragraph" w:styleId="23">
    <w:name w:val="Body Text First Indent"/>
    <w:basedOn w:val="10"/>
    <w:next w:val="24"/>
    <w:qFormat/>
    <w:uiPriority w:val="99"/>
    <w:pPr>
      <w:ind w:firstLine="420" w:firstLineChars="100"/>
    </w:pPr>
  </w:style>
  <w:style w:type="paragraph" w:styleId="24">
    <w:name w:val="Body Text First Indent 2"/>
    <w:basedOn w:val="11"/>
    <w:next w:val="1"/>
    <w:qFormat/>
    <w:uiPriority w:val="0"/>
    <w:pPr>
      <w:tabs>
        <w:tab w:val="left" w:pos="8640"/>
      </w:tabs>
      <w:ind w:firstLine="200" w:firstLineChars="200"/>
    </w:pPr>
  </w:style>
  <w:style w:type="table" w:styleId="26">
    <w:name w:val="Table Grid"/>
    <w:basedOn w:val="2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22"/>
    <w:rPr>
      <w:b/>
    </w:rPr>
  </w:style>
  <w:style w:type="character" w:styleId="29">
    <w:name w:val="Hyperlink"/>
    <w:basedOn w:val="27"/>
    <w:qFormat/>
    <w:uiPriority w:val="0"/>
    <w:rPr>
      <w:color w:val="0000FF"/>
      <w:u w:val="single"/>
    </w:rPr>
  </w:style>
  <w:style w:type="paragraph" w:customStyle="1" w:styleId="30">
    <w:name w:val="列出段落1"/>
    <w:basedOn w:val="1"/>
    <w:qFormat/>
    <w:uiPriority w:val="34"/>
    <w:pPr>
      <w:ind w:firstLine="420" w:firstLineChars="200"/>
    </w:pPr>
    <w:rPr>
      <w:rFonts w:ascii="Calibri" w:hAnsi="Calibri"/>
      <w:szCs w:val="22"/>
    </w:rPr>
  </w:style>
  <w:style w:type="paragraph" w:customStyle="1" w:styleId="31">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3">
    <w:name w:val="列出段落2"/>
    <w:basedOn w:val="1"/>
    <w:qFormat/>
    <w:uiPriority w:val="34"/>
    <w:pPr>
      <w:ind w:firstLine="420" w:firstLineChars="200"/>
    </w:pPr>
  </w:style>
  <w:style w:type="paragraph" w:styleId="34">
    <w:name w:val="List Paragraph"/>
    <w:basedOn w:val="1"/>
    <w:qFormat/>
    <w:uiPriority w:val="34"/>
    <w:pPr>
      <w:ind w:firstLine="420" w:firstLineChars="200"/>
    </w:pPr>
  </w:style>
  <w:style w:type="paragraph" w:customStyle="1" w:styleId="35">
    <w:name w:val="列出段落11"/>
    <w:basedOn w:val="1"/>
    <w:qFormat/>
    <w:uiPriority w:val="34"/>
    <w:pPr>
      <w:ind w:firstLine="420" w:firstLineChars="200"/>
    </w:pPr>
    <w:rPr>
      <w:rFonts w:ascii="Calibri" w:hAnsi="Calibri"/>
      <w:szCs w:val="22"/>
    </w:rPr>
  </w:style>
  <w:style w:type="paragraph" w:customStyle="1" w:styleId="36">
    <w:name w:val="Default"/>
    <w:qFormat/>
    <w:uiPriority w:val="99"/>
    <w:pPr>
      <w:widowControl w:val="0"/>
      <w:autoSpaceDE w:val="0"/>
      <w:autoSpaceDN w:val="0"/>
      <w:adjustRightInd w:val="0"/>
      <w:spacing w:after="200" w:line="360" w:lineRule="auto"/>
    </w:pPr>
    <w:rPr>
      <w:rFonts w:ascii="黑体" w:hAnsi="Calibri" w:eastAsia="黑体" w:cs="黑体"/>
      <w:color w:val="000000"/>
      <w:sz w:val="24"/>
      <w:szCs w:val="24"/>
      <w:lang w:val="en-US" w:eastAsia="en-US" w:bidi="ar-SA"/>
    </w:rPr>
  </w:style>
  <w:style w:type="character" w:customStyle="1" w:styleId="37">
    <w:name w:val="标题 2 Char"/>
    <w:qFormat/>
    <w:uiPriority w:val="0"/>
    <w:rPr>
      <w:rFonts w:ascii="宋体" w:hAnsi="宋体" w:eastAsia="宋体" w:cstheme="minorBidi"/>
      <w:sz w:val="28"/>
      <w:szCs w:val="28"/>
      <w:lang w:eastAsia="en-US"/>
    </w:rPr>
  </w:style>
  <w:style w:type="paragraph" w:customStyle="1" w:styleId="38">
    <w:name w:val="Table Text"/>
    <w:basedOn w:val="1"/>
    <w:semiHidden/>
    <w:qFormat/>
    <w:uiPriority w:val="0"/>
    <w:rPr>
      <w:rFonts w:ascii="仿宋" w:hAnsi="仿宋" w:eastAsia="仿宋" w:cs="仿宋"/>
      <w:sz w:val="24"/>
      <w:lang w:eastAsia="en-US"/>
    </w:rPr>
  </w:style>
  <w:style w:type="table" w:customStyle="1" w:styleId="39">
    <w:name w:val="Table Normal"/>
    <w:unhideWhenUsed/>
    <w:qFormat/>
    <w:uiPriority w:val="0"/>
    <w:tblPr>
      <w:tblCellMar>
        <w:top w:w="0" w:type="dxa"/>
        <w:left w:w="0" w:type="dxa"/>
        <w:bottom w:w="0" w:type="dxa"/>
        <w:right w:w="0" w:type="dxa"/>
      </w:tblCellMar>
    </w:tblPr>
  </w:style>
  <w:style w:type="paragraph" w:customStyle="1" w:styleId="40">
    <w:name w:val="null3"/>
    <w:hidden/>
    <w:qFormat/>
    <w:uiPriority w:val="0"/>
    <w:rPr>
      <w:rFonts w:hint="eastAsia" w:asciiTheme="minorHAnsi" w:hAnsiTheme="minorHAnsi" w:eastAsiaTheme="minorEastAsia" w:cstheme="minorBidi"/>
      <w:lang w:val="en-US" w:eastAsia="zh-Hans" w:bidi="ar-SA"/>
    </w:rPr>
  </w:style>
  <w:style w:type="character" w:customStyle="1" w:styleId="41">
    <w:name w:val="标题 2 字符"/>
    <w:basedOn w:val="27"/>
    <w:link w:val="3"/>
    <w:qFormat/>
    <w:uiPriority w:val="9"/>
    <w:rPr>
      <w:rFonts w:ascii="楷体_GB2312" w:hAnsi="Calibri Light" w:eastAsia="楷体_GB2312" w:cs="Times New Roman"/>
      <w:bCs/>
      <w:spacing w:val="-4"/>
      <w:kern w:val="0"/>
      <w:sz w:val="32"/>
      <w:szCs w:val="32"/>
    </w:rPr>
  </w:style>
  <w:style w:type="paragraph" w:customStyle="1" w:styleId="42">
    <w:name w:val="正文空2格  1."/>
    <w:basedOn w:val="1"/>
    <w:qFormat/>
    <w:uiPriority w:val="0"/>
    <w:pPr>
      <w:adjustRightInd w:val="0"/>
      <w:spacing w:line="360" w:lineRule="auto"/>
      <w:ind w:firstLine="480" w:firstLineChars="200"/>
    </w:pPr>
    <w:rPr>
      <w:rFonts w:hint="eastAsia" w:ascii="宋体" w:eastAsia="仿宋" w:cs="宋体"/>
      <w:kern w:val="0"/>
      <w:sz w:val="28"/>
    </w:rPr>
  </w:style>
  <w:style w:type="paragraph" w:customStyle="1" w:styleId="43">
    <w:name w:val="工可正文"/>
    <w:basedOn w:val="13"/>
    <w:qFormat/>
    <w:uiPriority w:val="0"/>
    <w:pPr>
      <w:ind w:firstLine="560" w:firstLineChars="200"/>
    </w:pPr>
    <w:rPr>
      <w:rFonts w:ascii="Times New Roman" w:hAnsi="Times New Roman"/>
      <w:kern w:val="0"/>
      <w:sz w:val="28"/>
    </w:rPr>
  </w:style>
  <w:style w:type="paragraph" w:customStyle="1" w:styleId="44">
    <w:name w:val="_Style 2"/>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5" Type="http://schemas.openxmlformats.org/officeDocument/2006/relationships/fontTable" Target="fontTable.xml"/><Relationship Id="rId34" Type="http://schemas.openxmlformats.org/officeDocument/2006/relationships/customXml" Target="../customXml/item2.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theme" Target="theme/theme1.xml"/><Relationship Id="rId30" Type="http://schemas.openxmlformats.org/officeDocument/2006/relationships/footer" Target="footer13.xml"/><Relationship Id="rId3" Type="http://schemas.openxmlformats.org/officeDocument/2006/relationships/footnotes" Target="footnotes.xml"/><Relationship Id="rId29" Type="http://schemas.openxmlformats.org/officeDocument/2006/relationships/footer" Target="footer12.xml"/><Relationship Id="rId28" Type="http://schemas.openxmlformats.org/officeDocument/2006/relationships/header" Target="header13.xml"/><Relationship Id="rId27" Type="http://schemas.openxmlformats.org/officeDocument/2006/relationships/footer" Target="footer11.xml"/><Relationship Id="rId26" Type="http://schemas.openxmlformats.org/officeDocument/2006/relationships/header" Target="header12.xml"/><Relationship Id="rId25" Type="http://schemas.openxmlformats.org/officeDocument/2006/relationships/footer" Target="footer10.xml"/><Relationship Id="rId24" Type="http://schemas.openxmlformats.org/officeDocument/2006/relationships/header" Target="header11.xml"/><Relationship Id="rId23" Type="http://schemas.openxmlformats.org/officeDocument/2006/relationships/footer" Target="footer9.xml"/><Relationship Id="rId22" Type="http://schemas.openxmlformats.org/officeDocument/2006/relationships/header" Target="header10.xml"/><Relationship Id="rId21" Type="http://schemas.openxmlformats.org/officeDocument/2006/relationships/footer" Target="footer8.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8.xml"/><Relationship Id="rId17" Type="http://schemas.openxmlformats.org/officeDocument/2006/relationships/footer" Target="footer6.xml"/><Relationship Id="rId16" Type="http://schemas.openxmlformats.org/officeDocument/2006/relationships/header" Target="header7.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70064641-ae52-47c4-b7ff-54c47f7555b3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C989E25</paraID>
      <start>0</start>
      <end>2</end>
      <status>unmodified</status>
      <modifiedWord/>
      <trackRevisions>false</trackRevisions>
    </reviewItem>
    <reviewItem>
      <errorID>468cfc01-bfb2-4288-be63-75a6fb9556eb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41540A40</paraID>
      <start>0</start>
      <end>2</end>
      <status>unmodified</status>
      <modifiedWord/>
      <trackRevisions>false</trackRevisions>
    </reviewItem>
    <reviewItem>
      <errorID>870f7f41-00d0-44eb-8c3d-03794e21f264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13739333</paraID>
      <start>1</start>
      <end>3</end>
      <status>unmodified</status>
      <modifiedWord/>
      <trackRevisions>false</trackRevisions>
    </reviewItem>
    <reviewItem>
      <errorID>02753785-793d-47d2-a2ba-57bc4d97b410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5A5C2A6</paraID>
      <start>0</start>
      <end>2</end>
      <status>unmodified</status>
      <modifiedWord/>
      <trackRevisions>false</trackRevisions>
    </reviewItem>
    <reviewItem>
      <errorID>b3c09574-caa9-4de2-8c5e-6afe4d901ac1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3CC0BCCC</paraID>
      <start>0</start>
      <end>2</end>
      <status>unmodified</status>
      <modifiedWord/>
      <trackRevisions>false</trackRevisions>
    </reviewItem>
    <reviewItem>
      <errorID>77fe04d8-2ce6-48b6-a0e4-e94496159dee</errorID>
      <errorWord>其它</errorWord>
      <group>L1_Word</group>
      <groupName>字词问题</groupName>
      <ability>L2_Alias</ability>
      <abilityName>也作/曾用词</abilityName>
      <candidateList>
        <item>其他</item>
      </candidateList>
      <explain>词汇[其它]为不规范表述或旧称，其规范书面表述为[其他]。</explain>
      <paraID> C819BF5</paraID>
      <start>12</start>
      <end>14</end>
      <status>unmodified</status>
      <modifiedWord/>
      <trackRevisions>false</trackRevisions>
    </reviewItem>
    <reviewItem>
      <errorID>a5f4ffcc-20f9-4584-9b78-264c4779285a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75378CA9</paraID>
      <start>0</start>
      <end>2</end>
      <status>unmodified</status>
      <modifiedWord/>
      <trackRevisions>false</trackRevisions>
    </reviewItem>
    <reviewItem>
      <errorID>51cc8a1a-f52a-4c03-ac44-b2564b475c84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6413BF13</paraID>
      <start>0</start>
      <end>2</end>
      <status>unmodified</status>
      <modifiedWord/>
      <trackRevisions>false</trackRevisions>
    </reviewItem>
    <reviewItem>
      <errorID>50e41cc7-0c19-4ad5-99ac-94609829be66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3F881212</paraID>
      <start>0</start>
      <end>2</end>
      <status>unmodified</status>
      <modifiedWord/>
      <trackRevisions>false</trackRevisions>
    </reviewItem>
    <reviewItem>
      <errorID>10b2601d-fb33-4734-8361-4c9b8111f95a</errorID>
      <errorWord>;</errorWord>
      <group>L1_Format</group>
      <groupName>格式问题</groupName>
      <ability>L2_HalfPunc</ability>
      <abilityName>全半角检查</abilityName>
      <candidateList>
        <item>；</item>
      </candidateList>
      <explain>文本全半角错误。</explain>
      <paraID>7F3AE7B9</paraID>
      <start>52</start>
      <end>53</end>
      <status>unmodified</status>
      <modifiedWord/>
      <trackRevisions>false</trackRevisions>
    </reviewItem>
    <reviewItem>
      <errorID>a5305b8e-27ef-4ddd-861d-bc3f58c21a2f</errorID>
      <errorWord>送达至</errorWord>
      <group>L1_Word</group>
      <groupName>字词问题</groupName>
      <ability>L2_Typo</ability>
      <abilityName>字词错误</abilityName>
      <candidateList>
        <item>送达</item>
      </candidateList>
      <explain/>
      <paraID>16FED862</paraID>
      <start>33</start>
      <end>36</end>
      <status>unmodified</status>
      <modifiedWord/>
      <trackRevisions>false</trackRevisions>
    </reviewItem>
    <reviewItem>
      <errorID>e53e0439-125d-48ff-811a-d685201c4cdf</errorID>
      <errorWord>间</errorWord>
      <group>L1_Word</group>
      <groupName>字词问题</groupName>
      <ability>L2_Typo</ability>
      <abilityName>字词错误</abilityName>
      <candidateList>
        <item>间之</item>
      </candidateList>
      <explain/>
      <paraID>75B1E9A7</paraID>
      <start>21</start>
      <end>22</end>
      <status>unmodified</status>
      <modifiedWord/>
      <trackRevisions>false</trackRevisions>
    </reviewItem>
    <reviewItem>
      <errorID>0f1c3dfc-448c-4dfe-88b1-c6fe830480dd</errorID>
      <errorWord>间</errorWord>
      <group>L1_Word</group>
      <groupName>字词问题</groupName>
      <ability>L2_Typo</ability>
      <abilityName>字词错误</abilityName>
      <candidateList>
        <item>间之</item>
      </candidateList>
      <explain/>
      <paraID>106F5450</paraID>
      <start>38</start>
      <end>39</end>
      <status>unmodified</status>
      <modifiedWord/>
      <trackRevisions>false</trackRevisions>
    </reviewItem>
    <reviewItem>
      <errorID>4264d2fd-b260-43b8-8fb0-1697253a759a</errorID>
      <errorWord>其它情形</errorWord>
      <group>L1_Word</group>
      <groupName>字词问题</groupName>
      <ability>L2_Alias</ability>
      <abilityName>也作/曾用词</abilityName>
      <candidateList>
        <item>其他情形</item>
      </candidateList>
      <explain>词汇[其它情形]为不规范表述或旧称，其规范书面表述为[其他情形]。</explain>
      <paraID>402C2297</paraID>
      <start>0</start>
      <end>4</end>
      <status>unmodified</status>
      <modifiedWord/>
      <trackRevisions>false</trackRevisions>
    </reviewItem>
    <reviewItem>
      <errorID>00241f14-88e8-4891-b5e0-11a1c0b32800</errorID>
      <errorWord>其它</errorWord>
      <group>L1_Word</group>
      <groupName>字词问题</groupName>
      <ability>L2_Alias</ability>
      <abilityName>也作/曾用词</abilityName>
      <candidateList>
        <item>其他</item>
      </candidateList>
      <explain>词汇[其它]为不规范表述或旧称，其规范书面表述为[其他]。</explain>
      <paraID>767C2264</paraID>
      <start>2</start>
      <end>4</end>
      <status>unmodified</status>
      <modifiedWord/>
      <trackRevisions>false</trackRevisions>
    </reviewItem>
    <reviewItem>
      <errorID>8dfe7ecd-e7f3-4921-9ac8-d9e5210b1c4a</errorID>
      <errorWord>-</errorWord>
      <group>L1_Format</group>
      <groupName>格式问题</groupName>
      <ability>L2_HalfPunc</ability>
      <abilityName>全半角检查</abilityName>
      <candidateList>
        <item>－</item>
      </candidateList>
      <explain>文本全半角错误。</explain>
      <paraID>45F7DB20</paraID>
      <start>4</start>
      <end>5</end>
      <status>unmodified</status>
      <modifiedWord/>
      <trackRevisions>false</trackRevisions>
    </reviewItem>
    <reviewItem>
      <errorID>a1aa3ec7-3801-4d4c-8110-8771c9fa5a2f</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1FDC3129</paraID>
      <start>7</start>
      <end>9</end>
      <status>unmodified</status>
      <modifiedWord/>
      <trackRevisions>false</trackRevisions>
    </reviewItem>
    <reviewItem>
      <errorID>853ea3ff-d5a3-4c0f-848f-c42000c46b87</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3DB1CD7D</paraID>
      <start>11</start>
      <end>13</end>
      <status>unmodified</status>
      <modifiedWord/>
      <trackRevisions>false</trackRevisions>
    </reviewItem>
    <reviewItem>
      <errorID>49c81c85-5049-4f33-bd81-1dcd08cec2a6</errorID>
      <errorWord>包括了</errorWord>
      <group>L1_Word</group>
      <groupName>字词问题</groupName>
      <ability>L2_Typo</ability>
      <abilityName>字词错误</abilityName>
      <candidateList>
        <item>包括</item>
      </candidateList>
      <explain/>
      <paraID>3DB1CD7D</paraID>
      <start>28</start>
      <end>31</end>
      <status>unmodified</status>
      <modifiedWord/>
      <trackRevisions>false</trackRevisions>
    </reviewItem>
    <reviewItem>
      <errorID>40684678-1b44-4da2-a037-5e8284b00c3c</errorID>
      <errorWord>程</errorWord>
      <group>L1_Word</group>
      <groupName>字词问题</groupName>
      <ability>L2_Typo</ability>
      <abilityName>字词错误</abilityName>
      <candidateList>
        <item>程中</item>
      </candidateList>
      <explain/>
      <paraID>6891F024</paraID>
      <start>26</start>
      <end>27</end>
      <status>unmodified</status>
      <modifiedWord/>
      <trackRevisions>false</trackRevisions>
    </reviewItem>
    <reviewItem>
      <errorID>9624f7c2-a8dc-4ba4-90e7-f08ba3a33672</errorID>
      <errorWord>季</errorWord>
      <group>L1_Word</group>
      <groupName>字词问题</groupName>
      <ability>L2_Typo</ability>
      <abilityName>字词错误</abilityName>
      <candidateList>
        <item>季度</item>
      </candidateList>
      <explain/>
      <paraID>6CD28AE8</paraID>
      <start>3</start>
      <end>4</end>
      <status>unmodified</status>
      <modifiedWord/>
      <trackRevisions>false</trackRevisions>
    </reviewItem>
    <reviewItem>
      <errorID>c3b03c84-a468-45a0-9529-bd8d64b0c166</errorID>
      <errorWord>作</errorWord>
      <group>L1_Word</group>
      <groupName>字词问题</groupName>
      <ability>L2_Typo</ability>
      <abilityName>字词错误</abilityName>
      <candidateList>
        <item>做</item>
      </candidateList>
      <explain>存在发音相同字词的误用。</explain>
      <paraID>6CD28AE8</paraID>
      <start>39</start>
      <end>40</end>
      <status>unmodified</status>
      <modifiedWord/>
      <trackRevisions>false</trackRevisions>
    </reviewItem>
    <reviewItem>
      <errorID>c4fedd32-4062-4824-9020-597a8a95b9f7</errorID>
      <errorWord>很少</errorWord>
      <group>L1_Word</group>
      <groupName>字词问题</groupName>
      <ability>L2_Typo</ability>
      <abilityName>字词错误</abilityName>
      <candidateList>
        <item>很小</item>
      </candidateList>
      <explain>存在字形相近字词的误用。</explain>
      <paraID>5EAFA016</paraID>
      <start>4</start>
      <end>6</end>
      <status>unmodified</status>
      <modifiedWord/>
      <trackRevisions>false</trackRevisions>
    </reviewItem>
    <reviewItem>
      <errorID>8c261a2e-f7a9-4bc0-a1e8-fe19d4cf09ea</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5EAFA016</paraID>
      <start>36</start>
      <end>37</end>
      <status>unmodified</status>
      <modifiedWord/>
      <trackRevisions>false</trackRevisions>
    </reviewItem>
    <reviewItem>
      <errorID>c500bc1b-89dd-4b39-a800-4e3a7c434131</errorID>
      <errorWord>-</errorWord>
      <group>L1_Format</group>
      <groupName>格式问题</groupName>
      <ability>L2_HalfPunc</ability>
      <abilityName>全半角检查</abilityName>
      <candidateList>
        <item>－</item>
      </candidateList>
      <explain>文本全半角错误。</explain>
      <paraID>2AF31811</paraID>
      <start>5</start>
      <end>6</end>
      <status>unmodified</status>
      <modifiedWord/>
      <trackRevisions>false</trackRevisions>
    </reviewItem>
    <reviewItem>
      <errorID>10582038-017a-4278-bf79-0ae19ce10ef8</errorID>
      <errorWord>和或</errorWord>
      <group>L1_Word</group>
      <groupName>字词问题</groupName>
      <ability>L2_Typo</ability>
      <abilityName>字词错误</abilityName>
      <candidateList>
        <item>和</item>
      </candidateList>
      <explain>〈量〉用于洗东西换水的次数或一剂药煎的次数：衣裳已经洗了三～｜二～药。</explain>
      <paraID>1A6E8CFA</paraID>
      <start>92</start>
      <end>94</end>
      <status>unmodified</status>
      <modifiedWord/>
      <trackRevisions>false</trackRevisions>
    </reviewItem>
    <reviewItem>
      <errorID>0c7aa67b-cbfb-4b2c-a7c2-315ebd945ced</errorID>
      <errorWord>等等</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3ECA2FEF</paraID>
      <start>99</start>
      <end>101</end>
      <status>unmodified</status>
      <modifiedWord/>
      <trackRevisions>false</trackRevisions>
    </reviewItem>
    <reviewItem>
      <errorID>79ce8e11-a5de-477a-8923-5676ad57a6f6</errorID>
      <errorWord>出</errorWord>
      <group>L1_Word</group>
      <groupName>字词问题</groupName>
      <ability>L2_Typo</ability>
      <abilityName>字词错误</abilityName>
      <candidateList>
        <item>出现</item>
      </candidateList>
      <explain>〈动〉❶显露出来：比赛开始前半小时运动员已经～在运动场上了。❷产生出来：近年来～了许多优秀作品。</explain>
      <paraID>4CAEC690</paraID>
      <start>56</start>
      <end>57</end>
      <status>unmodified</status>
      <modifiedWord/>
      <trackRevisions>false</trackRevisions>
    </reviewItem>
    <reviewItem>
      <errorID>d0b4fad7-f30b-4a98-96d2-2f47a6fde4eb</errorID>
      <errorWord>其它</errorWord>
      <group>L1_Word</group>
      <groupName>字词问题</groupName>
      <ability>L2_Alias</ability>
      <abilityName>也作/曾用词</abilityName>
      <candidateList>
        <item>其他</item>
      </candidateList>
      <explain>词汇[其它]为不规范表述或旧称，其规范书面表述为[其他]。</explain>
      <paraID>2D4BEAE0</paraID>
      <start>21</start>
      <end>23</end>
      <status>unmodified</status>
      <modifiedWord/>
      <trackRevisions>false</trackRevisions>
    </reviewItem>
    <reviewItem>
      <errorID>f250c240-1c89-4ddd-8d64-af9b40b84747</errorID>
      <errorWord>其它</errorWord>
      <group>L1_Word</group>
      <groupName>字词问题</groupName>
      <ability>L2_Alias</ability>
      <abilityName>也作/曾用词</abilityName>
      <candidateList>
        <item>其他</item>
      </candidateList>
      <explain>词汇[其它]为不规范表述或旧称，其规范书面表述为[其他]。</explain>
      <paraID>1D22C7C6</paraID>
      <start>36</start>
      <end>38</end>
      <status>unmodified</status>
      <modifiedWord/>
      <trackRevisions>false</trackRevisions>
    </reviewItem>
    <reviewItem>
      <errorID>867fbca6-e78b-4dd2-a516-35902a0bfd78</errorID>
      <errorWord>-</errorWord>
      <group>L1_Format</group>
      <groupName>格式问题</groupName>
      <ability>L2_HalfPunc</ability>
      <abilityName>全半角检查</abilityName>
      <candidateList>
        <item>－</item>
      </candidateList>
      <explain>文本全半角错误。</explain>
      <paraID>5CF133A5</paraID>
      <start>4</start>
      <end>5</end>
      <status>unmodified</status>
      <modifiedWord/>
      <trackRevisions>false</trackRevisions>
    </reviewItem>
    <reviewItem>
      <errorID>620a3621-4ee5-4b6c-8a9c-c3d9bb060abc</errorID>
      <errorWord>需要对</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2D5D6114</paraID>
      <start>220</start>
      <end>223</end>
      <status>unmodified</status>
      <modifiedWord/>
      <trackRevisions>false</trackRevisions>
    </reviewItem>
    <reviewItem>
      <errorID>48a96a30-e5f8-4701-867f-198f6eed8f1d</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D73394B</paraID>
      <start>7</start>
      <end>9</end>
      <status>unmodified</status>
      <modifiedWord/>
      <trackRevisions>false</trackRevisions>
    </reviewItem>
    <reviewItem>
      <errorID>a571d9f6-4127-41c7-9f63-4d6cfee9208f</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21C1B904</paraID>
      <start>11</start>
      <end>13</end>
      <status>unmodified</status>
      <modifiedWord/>
      <trackRevisions>false</trackRevisions>
    </reviewItem>
    <reviewItem>
      <errorID>de2bc353-f6eb-4ff8-a321-145e214c8705</errorID>
      <errorWord>包括了</errorWord>
      <group>L1_Word</group>
      <groupName>字词问题</groupName>
      <ability>L2_Typo</ability>
      <abilityName>字词错误</abilityName>
      <candidateList>
        <item>包括</item>
      </candidateList>
      <explain/>
      <paraID>21C1B904</paraID>
      <start>28</start>
      <end>31</end>
      <status>unmodified</status>
      <modifiedWord/>
      <trackRevisions>false</trackRevisions>
    </reviewItem>
    <reviewItem>
      <errorID>5bc15f53-214b-48b1-9610-527e1ada46d1</errorID>
      <errorWord>程</errorWord>
      <group>L1_Word</group>
      <groupName>字词问题</groupName>
      <ability>L2_Typo</ability>
      <abilityName>字词错误</abilityName>
      <candidateList>
        <item>程中</item>
      </candidateList>
      <explain/>
      <paraID>64BA3450</paraID>
      <start>26</start>
      <end>27</end>
      <status>unmodified</status>
      <modifiedWord/>
      <trackRevisions>false</trackRevisions>
    </reviewItem>
    <reviewItem>
      <errorID>657eaad7-7a1a-452f-8c41-741820170b3e</errorID>
      <errorWord>季</errorWord>
      <group>L1_Word</group>
      <groupName>字词问题</groupName>
      <ability>L2_Typo</ability>
      <abilityName>字词错误</abilityName>
      <candidateList>
        <item>季度</item>
      </candidateList>
      <explain/>
      <paraID>4F4B866B</paraID>
      <start>3</start>
      <end>4</end>
      <status>unmodified</status>
      <modifiedWord/>
      <trackRevisions>false</trackRevisions>
    </reviewItem>
    <reviewItem>
      <errorID>9434abf4-122f-4093-83fe-85c44a304919</errorID>
      <errorWord>作</errorWord>
      <group>L1_Word</group>
      <groupName>字词问题</groupName>
      <ability>L2_Typo</ability>
      <abilityName>字词错误</abilityName>
      <candidateList>
        <item>做</item>
      </candidateList>
      <explain>存在发音相同字词的误用。</explain>
      <paraID>4F4B866B</paraID>
      <start>39</start>
      <end>40</end>
      <status>unmodified</status>
      <modifiedWord/>
      <trackRevisions>false</trackRevisions>
    </reviewItem>
    <reviewItem>
      <errorID>d0ffb8b8-830a-4793-8a16-623901e0f7bf</errorID>
      <errorWord>很少</errorWord>
      <group>L1_Word</group>
      <groupName>字词问题</groupName>
      <ability>L2_Typo</ability>
      <abilityName>字词错误</abilityName>
      <candidateList>
        <item>很小</item>
      </candidateList>
      <explain>存在字形相近字词的误用。</explain>
      <paraID>523A3373</paraID>
      <start>4</start>
      <end>6</end>
      <status>unmodified</status>
      <modifiedWord/>
      <trackRevisions>false</trackRevisions>
    </reviewItem>
    <reviewItem>
      <errorID>0f637b49-96c2-41bb-ab29-a1202e9e05de</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523A3373</paraID>
      <start>36</start>
      <end>37</end>
      <status>unmodified</status>
      <modifiedWord/>
      <trackRevisions>false</trackRevisions>
    </reviewItem>
    <reviewItem>
      <errorID>2ededab2-1b6e-4392-aa42-c64a901bff98</errorID>
      <errorWord>-</errorWord>
      <group>L1_Format</group>
      <groupName>格式问题</groupName>
      <ability>L2_HalfPunc</ability>
      <abilityName>全半角检查</abilityName>
      <candidateList>
        <item>－</item>
      </candidateList>
      <explain>文本全半角错误。</explain>
      <paraID>2868384D</paraID>
      <start>4</start>
      <end>5</end>
      <status>unmodified</status>
      <modifiedWord/>
      <trackRevisions>false</trackRevisions>
    </reviewItem>
    <reviewItem>
      <errorID>588b0639-e807-4f9b-8bdd-68b6817abb6a</errorID>
      <errorWord>等等</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556579B8</paraID>
      <start>99</start>
      <end>101</end>
      <status>unmodified</status>
      <modifiedWord/>
      <trackRevisions>false</trackRevisions>
    </reviewItem>
    <reviewItem>
      <errorID>7d3d0ec1-d656-4c6b-b707-27e3f5835560</errorID>
      <errorWord>出</errorWord>
      <group>L1_Word</group>
      <groupName>字词问题</groupName>
      <ability>L2_Typo</ability>
      <abilityName>字词错误</abilityName>
      <candidateList>
        <item>出现</item>
      </candidateList>
      <explain>〈动〉❶显露出来：比赛开始前半小时运动员已经～在运动场上了。❷产生出来：近年来～了许多优秀作品。</explain>
      <paraID>597FA1FC</paraID>
      <start>56</start>
      <end>57</end>
      <status>unmodified</status>
      <modifiedWord/>
      <trackRevisions>false</trackRevisions>
    </reviewItem>
    <reviewItem>
      <errorID>23fa244a-b8af-40ea-a04f-dc58d7cbca29</errorID>
      <errorWord>其它</errorWord>
      <group>L1_Word</group>
      <groupName>字词问题</groupName>
      <ability>L2_Alias</ability>
      <abilityName>也作/曾用词</abilityName>
      <candidateList>
        <item>其他</item>
      </candidateList>
      <explain>词汇[其它]为不规范表述或旧称，其规范书面表述为[其他]。</explain>
      <paraID>610A67D3</paraID>
      <start>21</start>
      <end>23</end>
      <status>unmodified</status>
      <modifiedWord/>
      <trackRevisions>false</trackRevisions>
    </reviewItem>
    <reviewItem>
      <errorID>67133eba-f7d4-41a5-9d17-98102475bda0</errorID>
      <errorWord>其它</errorWord>
      <group>L1_Word</group>
      <groupName>字词问题</groupName>
      <ability>L2_Alias</ability>
      <abilityName>也作/曾用词</abilityName>
      <candidateList>
        <item>其他</item>
      </candidateList>
      <explain>词汇[其它]为不规范表述或旧称，其规范书面表述为[其他]。</explain>
      <paraID>37399571</paraID>
      <start>56</start>
      <end>58</end>
      <status>unmodified</status>
      <modifiedWord/>
      <trackRevisions>false</trackRevisions>
    </reviewItem>
    <reviewItem>
      <errorID>e34a6b30-4ece-4831-90fe-adfa992d38b2</errorID>
      <errorWord>其它</errorWord>
      <group>L1_Word</group>
      <groupName>字词问题</groupName>
      <ability>L2_Alias</ability>
      <abilityName>也作/曾用词</abilityName>
      <candidateList>
        <item>其他</item>
      </candidateList>
      <explain>词汇[其它]为不规范表述或旧称，其规范书面表述为[其他]。</explain>
      <paraID>76C574DA</paraID>
      <start>9</start>
      <end>11</end>
      <status>unmodified</status>
      <modifiedWord/>
      <trackRevisions>false</trackRevisions>
    </reviewItem>
    <reviewItem>
      <errorID>6510032b-5ae0-4fc3-9f05-e280db27ac6b</errorID>
      <errorWord>定</errorWord>
      <group>L1_Word</group>
      <groupName>字词问题</groupName>
      <ability>L2_Typo</ability>
      <abilityName>字词错误</abilityName>
      <candidateList>
        <item>定以</item>
      </candidateList>
      <explain/>
      <paraID>66586742</paraID>
      <start>40</start>
      <end>41</end>
      <status>unmodified</status>
      <modifiedWord/>
      <trackRevisions>false</trackRevisions>
    </reviewItem>
    <reviewItem>
      <errorID>4759365f-1f74-4a11-82ae-3abc2326a5f2</errorID>
      <errorWord>其它</errorWord>
      <group>L1_Word</group>
      <groupName>字词问题</groupName>
      <ability>L2_Alias</ability>
      <abilityName>也作/曾用词</abilityName>
      <candidateList>
        <item>其他</item>
      </candidateList>
      <explain>词汇[其它]为不规范表述或旧称，其规范书面表述为[其他]。</explain>
      <paraID>36013006</paraID>
      <start>2</start>
      <end>4</end>
      <status>unmodified</status>
      <modifiedWord/>
      <trackRevisions>false</trackRevisions>
    </reviewItem>
    <reviewItem>
      <errorID>cbbcc7d6-01b0-4b6b-a2d8-6437928d7218</errorID>
      <errorWord>：）</errorWord>
      <group>L1_Punc</group>
      <groupName>标点问题</groupName>
      <ability>L2_Punc</ability>
      <abilityName>标点符号检查</abilityName>
      <candidateList>
        <item>）</item>
      </candidateList>
      <explain/>
      <paraID> 466DBB4</paraID>
      <start>33</start>
      <end>35</end>
      <status>unmodified</status>
      <modifiedWord/>
      <trackRevisions>false</trackRevisions>
    </reviewItem>
    <reviewItem>
      <errorID>fd794edf-f620-457e-87b1-0c24ed4c397d</errorID>
      <errorWord>;</errorWord>
      <group>L1_Format</group>
      <groupName>格式问题</groupName>
      <ability>L2_HalfPunc</ability>
      <abilityName>全半角检查</abilityName>
      <candidateList>
        <item>；</item>
      </candidateList>
      <explain>文本全半角错误。</explain>
      <paraID>22569E06</paraID>
      <start>26</start>
      <end>27</end>
      <status>unmodified</status>
      <modifiedWord/>
      <trackRevisions>false</trackRevisions>
    </reviewItem>
    <reviewItem>
      <errorID>0fe5fde5-f051-4fc8-b824-bf62497c2226</errorID>
      <errorWord>表</errorWord>
      <group>L1_Word</group>
      <groupName>字词问题</groupName>
      <ability>L2_Typo</ability>
      <abilityName>字词错误</abilityName>
      <candidateList>
        <item>表人</item>
      </candidateList>
      <explain/>
      <paraID> 2D89C81</paraID>
      <start>3</start>
      <end>4</end>
      <status>unmodified</status>
      <modifiedWord/>
      <trackRevisions>false</trackRevisions>
    </reviewItem>
    <reviewItem>
      <errorID>35608243-c52d-438f-976f-7ffc144948c8</errorID>
      <errorWord>表</errorWord>
      <group>L1_Word</group>
      <groupName>字词问题</groupName>
      <ability>L2_Typo</ability>
      <abilityName>字词错误</abilityName>
      <candidateList>
        <item>表人</item>
      </candidateList>
      <explain/>
      <paraID>4EFB4D94</paraID>
      <start>3</start>
      <end>4</end>
      <status>unmodified</status>
      <modifiedWord/>
      <trackRevisions>false</trackRevisions>
    </reviewItem>
    <reviewItem>
      <errorID>b20e2d34-a4e9-42a6-bebd-bb984a248185</errorID>
      <errorWord>[2011]</errorWord>
      <group>L1_Punc</group>
      <groupName>标点问题</groupName>
      <ability>L2_Punc</ability>
      <abilityName>标点符号检查</abilityName>
      <candidateList>
        <item>〔2011〕</item>
      </candidateList>
      <explain/>
      <paraID>53B9B0BD</paraID>
      <start>68</start>
      <end>74</end>
      <status>unmodified</status>
      <modifiedWord/>
      <trackRevisions>false</trackRevisions>
    </reviewItem>
    <reviewItem>
      <errorID>e97ff3e6-4baa-48e9-ab19-bf9cf523d6b5</errorID>
      <errorWord>[2020]</errorWord>
      <group>L1_Punc</group>
      <groupName>标点问题</groupName>
      <ability>L2_Punc</ability>
      <abilityName>标点符号检查</abilityName>
      <candidateList>
        <item>〔2020〕</item>
      </candidateList>
      <explain/>
      <paraID>53B9B0BD</paraID>
      <start>121</start>
      <end>127</end>
      <status>unmodified</status>
      <modifiedWord/>
      <trackRevisions>false</trackRevisions>
    </reviewItem>
    <reviewItem>
      <errorID>39a02ac8-73ce-4272-8b07-74ef4cb35fcb</errorID>
      <errorWord>[2011]</errorWord>
      <group>L1_Punc</group>
      <groupName>标点问题</groupName>
      <ability>L2_Punc</ability>
      <abilityName>标点符号检查</abilityName>
      <candidateList>
        <item>〔2011〕</item>
      </candidateList>
      <explain/>
      <paraID>675EDFA2</paraID>
      <start>59</start>
      <end>65</end>
      <status>unmodified</status>
      <modifiedWord/>
      <trackRevisions>false</trackRevisions>
    </reviewItem>
    <reviewItem>
      <errorID>ada0ad86-e4e6-4827-b0e3-cb88aba3558f</errorID>
      <errorWord>[2017]</errorWord>
      <group>L1_Punc</group>
      <groupName>标点问题</groupName>
      <ability>L2_Punc</ability>
      <abilityName>标点符号检查</abilityName>
      <candidateList>
        <item>〔2017〕</item>
      </candidateList>
      <explain/>
      <paraID>24C578C5</paraID>
      <start>48</start>
      <end>54</end>
      <status>unmodified</status>
      <modifiedWord/>
      <trackRevisions>false</trackRevisions>
    </reviewItem>
    <reviewItem>
      <errorID>19ce5e9f-e76e-4190-afa5-c22110fd4aff</errorID>
      <errorWord>“/</errorWord>
      <group>L1_Punc</group>
      <groupName>标点问题</groupName>
      <ability>L2_Punc</ability>
      <abilityName>标点符号检查</abilityName>
      <candidateList>
        <item>“</item>
      </candidateList>
      <explain/>
      <paraID> CEB9009</paraID>
      <start>24</start>
      <end>26</end>
      <status>unmodified</status>
      <modifiedWord/>
      <trackRevisions>false</trackRevisions>
    </reviewItem>
    <reviewItem>
      <errorID>441e4914-8f28-4c46-b019-7a83b96f475b</errorID>
      <errorWord>[2017]</errorWord>
      <group>L1_Punc</group>
      <groupName>标点问题</groupName>
      <ability>L2_Punc</ability>
      <abilityName>标点符号检查</abilityName>
      <candidateList>
        <item>〔2017〕</item>
      </candidateList>
      <explain/>
      <paraID>50762243</paraID>
      <start>41</start>
      <end>47</end>
      <status>unmodified</status>
      <modifiedWord/>
      <trackRevisions>false</trackRevisions>
    </reviewItem>
    <reviewItem>
      <errorID>704bd1d9-7dc7-40fb-ab32-b17ff466c9a6</errorID>
      <errorWord>[2014]68号</errorWord>
      <group>L1_Knowledge</group>
      <groupName>知识性问题</groupName>
      <ability>L2_Knowledge</ability>
      <abilityName>其他知识</abilityName>
      <candidateList>
        <item>〔2014〕68号</item>
      </candidateList>
      <explain>发文字号格式错误。</explain>
      <paraID>74A08808</paraID>
      <start>42</start>
      <end>51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6CD7E5-FDFA-4819-9892-0F83725466B0}">
  <ds:schemaRefs/>
</ds:datastoreItem>
</file>

<file path=docProps/app.xml><?xml version="1.0" encoding="utf-8"?>
<Properties xmlns="http://schemas.openxmlformats.org/officeDocument/2006/extended-properties" xmlns:vt="http://schemas.openxmlformats.org/officeDocument/2006/docPropsVTypes">
  <Template>Normal.dotm</Template>
  <Pages>222</Pages>
  <Words>2232</Words>
  <Characters>2626</Characters>
  <Lines>1013</Lines>
  <Paragraphs>285</Paragraphs>
  <TotalTime>9</TotalTime>
  <ScaleCrop>false</ScaleCrop>
  <LinksUpToDate>false</LinksUpToDate>
  <CharactersWithSpaces>2655</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2026-08-05T03:49:00Z</dcterms:created>
  <cp:lastPrinted>2025-07-04T17:56:00Z</cp:lastPrinted>
  <dcterms:modified xsi:type="dcterms:W3CDTF">2026-08-19T02:17:36Z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74B17A15D1EE4AF39D754366F8AC2AD7_13</vt:lpwstr>
  </property>
  <property fmtid="{D5CDD505-2E9C-101B-9397-08002B2CF9AE}" pid="4" name="KSOTemplateDocerSaveRecord">
    <vt:lpwstr>eyJoZGlkIjoiNTFlZTExNjNjMmViNzViNTAzMjFiMjQ1Y2QyNjYxZjkiLCJ1c2VySWQiOiIyNDM5NDEyMjcifQ==</vt:lpwstr>
  </property>
</Properties>
</file>