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版本号：ZBZB-2026-302520260831002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委托开展第23届中国东盟博览会场馆搭建及相关服务事宜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ZBZB-2026-3025</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委托开展第23届中国东盟博览会场馆搭建及相关服务事宜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ZBZB-2026-3025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委托开展第23届中国东盟博览会场馆搭建及相关服务事宜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按照委托开展第23届中国东盟博览会场馆搭建及相关服务事宜相关要求，在规定条件下完成服务。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采购包1（委托开展第23届中国东盟博览会场馆搭建及相关服务事宜）：属于专门面向中小企业采购。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p>
      <w:pPr>
        <w:pStyle w:val="null3"/>
      </w:pPr>
      <w:r>
        <w:rPr>
          <w:rFonts w:ascii="仿宋_GB2312" w:hAnsi="仿宋_GB2312" w:cs="仿宋_GB2312" w:eastAsia="仿宋_GB2312"/>
        </w:rPr>
        <w:t>3、财务状况：提供2024或2025年度经审计的完整财务审计报告，或其开标前六个月内基本存款账户开户银行出具的资信证明；</w:t>
      </w:r>
    </w:p>
    <w:p>
      <w:pPr>
        <w:pStyle w:val="null3"/>
      </w:pPr>
      <w:r>
        <w:rPr>
          <w:rFonts w:ascii="仿宋_GB2312" w:hAnsi="仿宋_GB2312" w:cs="仿宋_GB2312" w:eastAsia="仿宋_GB2312"/>
        </w:rPr>
        <w:t>4、社会保障资金缴纳证明：提供2026年1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p>
      <w:pPr>
        <w:pStyle w:val="null3"/>
      </w:pPr>
      <w:r>
        <w:rPr>
          <w:rFonts w:ascii="仿宋_GB2312" w:hAnsi="仿宋_GB2312" w:cs="仿宋_GB2312" w:eastAsia="仿宋_GB2312"/>
        </w:rPr>
        <w:t>5、税收缴纳证明：提供2026年1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p>
      <w:pPr>
        <w:pStyle w:val="null3"/>
      </w:pPr>
      <w:r>
        <w:rPr>
          <w:rFonts w:ascii="仿宋_GB2312" w:hAnsi="仿宋_GB2312" w:cs="仿宋_GB2312" w:eastAsia="仿宋_GB2312"/>
        </w:rPr>
        <w:t>6、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7、承诺书：提供具有履行合同所必需的设备和专业技术能力的承诺书。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029-63913950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029-85578186转838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采购包1：249,500.00元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开户银行：平安银行西安分行营业部/平安银行西安分行</w:t>
            </w:r>
          </w:p>
          <w:p>
            <w:pPr>
              <w:pStyle w:val="null3"/>
            </w:pPr>
            <w:r>
              <w:rPr>
                <w:rFonts w:ascii="仿宋_GB2312" w:hAnsi="仿宋_GB2312" w:cs="仿宋_GB2312" w:eastAsia="仿宋_GB2312"/>
              </w:rPr>
              <w:t>银行账号：30205380002153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发改价格【2011】534号文规定，经协商由成交供应商向采购代理机构支付招标代理服务费（包含“招标代理费、会务费（如有）”），如本项目各包服务费不足6000.00元则供应商按6000.00元支付服务费。 缴交渠道： 开户名称：陕西正邦招标有限责任公司 开户银行：平安银行西安分行营业部/平安银行西安分行 银行账号：30205380002153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联系电话：029-85578186转838</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按照委托开展第23届中国东盟博览会场馆搭建及相关服务事宜相关要求，在规定条件下完成服务。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249,500.00</w:t>
      </w:r>
    </w:p>
    <w:p>
      <w:pPr>
        <w:pStyle w:val="null3"/>
      </w:pPr>
      <w:r>
        <w:rPr>
          <w:rFonts w:ascii="仿宋_GB2312" w:hAnsi="仿宋_GB2312" w:cs="仿宋_GB2312" w:eastAsia="仿宋_GB2312"/>
        </w:rPr>
        <w:t>采购包最高限价（元）: 249,500.00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场馆搭建及相关服务事宜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249,500.00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标的名称：场馆搭建及相关服务事宜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一、</w:t>
                  </w:r>
                  <w:r>
                    <w:rPr>
                      <w:rFonts w:ascii="仿宋_GB2312" w:hAnsi="仿宋_GB2312" w:cs="仿宋_GB2312" w:eastAsia="仿宋_GB2312"/>
                      <w:sz w:val="19"/>
                      <w:b/>
                    </w:rPr>
                    <w:t>采购内容</w:t>
                  </w:r>
                  <w:r>
                    <w:rPr>
                      <w:rFonts w:ascii="仿宋_GB2312" w:hAnsi="仿宋_GB2312" w:cs="仿宋_GB2312" w:eastAsia="仿宋_GB2312"/>
                      <w:sz w:val="19"/>
                    </w:rPr>
                    <w:t>：委托开展第</w:t>
                  </w:r>
                  <w:r>
                    <w:rPr>
                      <w:rFonts w:ascii="仿宋_GB2312" w:hAnsi="仿宋_GB2312" w:cs="仿宋_GB2312" w:eastAsia="仿宋_GB2312"/>
                      <w:sz w:val="19"/>
                    </w:rPr>
                    <w:t>23</w:t>
                  </w:r>
                  <w:r>
                    <w:rPr>
                      <w:rFonts w:ascii="仿宋_GB2312" w:hAnsi="仿宋_GB2312" w:cs="仿宋_GB2312" w:eastAsia="仿宋_GB2312"/>
                      <w:sz w:val="19"/>
                    </w:rPr>
                    <w:t>届中国东盟博览会场馆搭建及相关服务事宜服务项目</w:t>
                  </w:r>
                  <w:r>
                    <w:rPr>
                      <w:rFonts w:ascii="仿宋_GB2312" w:hAnsi="仿宋_GB2312" w:cs="仿宋_GB2312" w:eastAsia="仿宋_GB2312"/>
                      <w:sz w:val="19"/>
                    </w:rPr>
                    <w:t>。</w:t>
                  </w:r>
                </w:p>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包含展馆设计、地面和主体结构搭建，展区展柜制作安装，整体</w:t>
                  </w:r>
                  <w:r>
                    <w:rPr>
                      <w:rFonts w:ascii="仿宋_GB2312" w:hAnsi="仿宋_GB2312" w:cs="仿宋_GB2312" w:eastAsia="仿宋_GB2312"/>
                      <w:sz w:val="19"/>
                    </w:rPr>
                    <w:t>LOGO</w:t>
                  </w:r>
                  <w:r>
                    <w:rPr>
                      <w:rFonts w:ascii="仿宋_GB2312" w:hAnsi="仿宋_GB2312" w:cs="仿宋_GB2312" w:eastAsia="仿宋_GB2312"/>
                      <w:sz w:val="19"/>
                    </w:rPr>
                    <w:t>字和墙面立体字制作，照明，布线，灯箱和展板制作，多媒体租赁及</w:t>
                  </w:r>
                  <w:r>
                    <w:rPr>
                      <w:rFonts w:ascii="仿宋_GB2312" w:hAnsi="仿宋_GB2312" w:cs="仿宋_GB2312" w:eastAsia="仿宋_GB2312"/>
                      <w:sz w:val="19"/>
                    </w:rPr>
                    <w:t>大会</w:t>
                  </w:r>
                  <w:r>
                    <w:rPr>
                      <w:rFonts w:ascii="仿宋_GB2312" w:hAnsi="仿宋_GB2312" w:cs="仿宋_GB2312" w:eastAsia="仿宋_GB2312"/>
                      <w:sz w:val="19"/>
                    </w:rPr>
                    <w:t>相关</w:t>
                  </w:r>
                  <w:r>
                    <w:rPr>
                      <w:rFonts w:ascii="仿宋_GB2312" w:hAnsi="仿宋_GB2312" w:cs="仿宋_GB2312" w:eastAsia="仿宋_GB2312"/>
                      <w:sz w:val="19"/>
                    </w:rPr>
                    <w:t>会务</w:t>
                  </w:r>
                  <w:r>
                    <w:rPr>
                      <w:rFonts w:ascii="仿宋_GB2312" w:hAnsi="仿宋_GB2312" w:cs="仿宋_GB2312" w:eastAsia="仿宋_GB2312"/>
                      <w:sz w:val="19"/>
                    </w:rPr>
                    <w:t>服务等。</w:t>
                  </w:r>
                </w:p>
                <w:p>
                  <w:pPr>
                    <w:pStyle w:val="null3"/>
                  </w:pPr>
                  <w:r>
                    <w:rPr>
                      <w:rFonts w:ascii="仿宋_GB2312" w:hAnsi="仿宋_GB2312" w:cs="仿宋_GB2312" w:eastAsia="仿宋_GB2312"/>
                      <w:sz w:val="19"/>
                      <w:b/>
                    </w:rPr>
                    <w:t>二、</w:t>
                  </w:r>
                  <w:r>
                    <w:rPr>
                      <w:rFonts w:ascii="仿宋_GB2312" w:hAnsi="仿宋_GB2312" w:cs="仿宋_GB2312" w:eastAsia="仿宋_GB2312"/>
                      <w:sz w:val="19"/>
                      <w:b/>
                    </w:rPr>
                    <w:t>需满足的要求：</w:t>
                  </w:r>
                </w:p>
                <w:p>
                  <w:pPr>
                    <w:pStyle w:val="null3"/>
                  </w:pPr>
                  <w:r>
                    <w:rPr>
                      <w:rFonts w:ascii="仿宋_GB2312" w:hAnsi="仿宋_GB2312" w:cs="仿宋_GB2312" w:eastAsia="仿宋_GB2312"/>
                      <w:sz w:val="19"/>
                    </w:rPr>
                    <w:t>1.</w:t>
                  </w:r>
                  <w:r>
                    <w:rPr>
                      <w:rFonts w:ascii="仿宋_GB2312" w:hAnsi="仿宋_GB2312" w:cs="仿宋_GB2312" w:eastAsia="仿宋_GB2312"/>
                      <w:sz w:val="19"/>
                    </w:rPr>
                    <w:t>坚持勤俭节约：展场的设计、搭建应简约大方，注重环保，符合组委会对搭建材质的相关要求。</w:t>
                  </w:r>
                </w:p>
                <w:p>
                  <w:pPr>
                    <w:pStyle w:val="null3"/>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会务服务安全：及时周到安全。</w:t>
                  </w:r>
                </w:p>
                <w:p>
                  <w:pPr>
                    <w:pStyle w:val="null3"/>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设计布局合理：展场设计应构思新颖，创意独特，方便实用；科学设计参观游览线路，避免拥堵；要严格按照展馆要求进行设计和搭建。</w:t>
                  </w:r>
                </w:p>
                <w:p>
                  <w:pPr>
                    <w:pStyle w:val="null3"/>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保证施工安全及消防要求：供应商布撤展期间必须保证施工安全，遵守场馆相关规定，并组织开展施工搭建安全检查，具有完善的施工安全及消防安全管理办法。供应商须制定搭建及展出安全承诺书，整个搭建及展会期间的安全责任，均由供应商承担，采购人概不负责。</w:t>
                  </w:r>
                </w:p>
                <w:p>
                  <w:pPr>
                    <w:pStyle w:val="null3"/>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服务要求：在规定时间内完成陕西展区整体设计，提交采购人进行审核，提出改进意见并修改方案至采购人满意。搭建期间，安排专人现场协调对接落实陕西展区搭建各项具体事宜，严格执行方案，确保展示效果</w:t>
                  </w:r>
                  <w:r>
                    <w:rPr>
                      <w:rFonts w:ascii="仿宋_GB2312" w:hAnsi="仿宋_GB2312" w:cs="仿宋_GB2312" w:eastAsia="仿宋_GB2312"/>
                      <w:sz w:val="19"/>
                    </w:rPr>
                    <w:t>，按时完成展品运输。</w:t>
                  </w:r>
                </w:p>
                <w:p>
                  <w:pPr>
                    <w:pStyle w:val="null3"/>
                  </w:pPr>
                  <w:r>
                    <w:rPr>
                      <w:rFonts w:ascii="仿宋_GB2312" w:hAnsi="仿宋_GB2312" w:cs="仿宋_GB2312" w:eastAsia="仿宋_GB2312"/>
                      <w:sz w:val="21"/>
                    </w:rPr>
                    <w:t>费用</w:t>
                  </w:r>
                  <w:r>
                    <w:rPr>
                      <w:rFonts w:ascii="仿宋_GB2312" w:hAnsi="仿宋_GB2312" w:cs="仿宋_GB2312" w:eastAsia="仿宋_GB2312"/>
                      <w:sz w:val="21"/>
                    </w:rPr>
                    <w:t>包括服务商完成展区搭建费、展馆水电费、管理费、展品布置服务费、展品运输费、租车费用、资料印刷费等费用全部费用。</w:t>
                  </w:r>
                </w:p>
                <w:p>
                  <w:pPr>
                    <w:pStyle w:val="null3"/>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质量保证：展区整体策划要具有专业性、人文性、综合性、时尚性、协调性。设计效果与实际效果要保持一致。在规定的搭建时间内进驻展馆施工，完成布展工作，并确保工程质量符合标准。</w:t>
                  </w:r>
                </w:p>
                <w:p>
                  <w:pPr>
                    <w:pStyle w:val="null3"/>
                  </w:pPr>
                  <w:r>
                    <w:rPr>
                      <w:rFonts w:ascii="仿宋_GB2312" w:hAnsi="仿宋_GB2312" w:cs="仿宋_GB2312" w:eastAsia="仿宋_GB2312"/>
                      <w:sz w:val="19"/>
                    </w:rPr>
                    <w:t>7.</w:t>
                  </w:r>
                  <w:r>
                    <w:rPr>
                      <w:rFonts w:ascii="仿宋_GB2312" w:hAnsi="仿宋_GB2312" w:cs="仿宋_GB2312" w:eastAsia="仿宋_GB2312"/>
                      <w:sz w:val="19"/>
                    </w:rPr>
                    <w:t>展位搭建所用材料应符合国家相关规定，不得使用劣质材料。中标供应商不得将项目转包、分包。为了确保服务质量，中标供应商应组织一支强有力的技术骨干队伍，建立严格的质量管理体系，规范操作。</w:t>
                  </w:r>
                </w:p>
                <w:p>
                  <w:pPr>
                    <w:pStyle w:val="null3"/>
                  </w:pPr>
                  <w:r>
                    <w:rPr>
                      <w:rFonts w:ascii="仿宋_GB2312" w:hAnsi="仿宋_GB2312" w:cs="仿宋_GB2312" w:eastAsia="仿宋_GB2312"/>
                      <w:sz w:val="19"/>
                      <w:b/>
                    </w:rPr>
                    <w:t>三、展区图</w:t>
                  </w:r>
                </w:p>
                <w:p>
                  <w:pPr>
                    <w:pStyle w:val="null3"/>
                  </w:pPr>
                  <w:r>
                    <w:rPr>
                      <w:rFonts w:ascii="仿宋_GB2312" w:hAnsi="仿宋_GB2312" w:cs="仿宋_GB2312" w:eastAsia="仿宋_GB2312"/>
                      <w:sz w:val="19"/>
                    </w:rPr>
                    <w:t>(详见附件）</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自合同签订之日起10个工作日内完成全部工作。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进度款，验收合格并提供正规发票后，达到付款条件起30个工作日内，支付合同总金额的100.0%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解决办法：1．在执行本合同中发生的或与本合同有关的争端，双方应通过友好协商解决，经协商在_10_天内不能达成协议时，则采取方式解决争议： （1）向甲方所在地有管辖权的人民法院提起诉讼； （2）向西安仲裁委员会按其仲裁规则申请仲裁。 2．在仲裁期间，本合同应继续履行。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1.供应商缴纳保证金时请备注：项目编号后四位+保证金。 2.（1）为保证项目存档使用供应商须提交纸质响应文件正本壹份、副本贰份。（2）纸质响应文件正、副本分别胶装递交，递交截止时间：开标后2个工作日之内，递交地址：西安市雁塔区朱雀大街南段69号长丰园三区5号楼9层9006室。（3）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提供2024或2025年度经审计的完整财务审计报告，或其开标前六个月内基本存款账户开户银行出具的资信证明；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中小企业声明函 商务应答表 供应商应提交的相关资格证明材料 服务内容及服务要求应答表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磋商报价是否唯一有效的或磋商报价是否超过采购预算</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项目理解及重难点分析</w:t>
            </w:r>
          </w:p>
        </w:tc>
        <w:tc>
          <w:tcPr>
            <w:tcW w:type="dxa" w:w="2492"/>
          </w:tcPr>
          <w:p>
            <w:pPr>
              <w:pStyle w:val="null3"/>
            </w:pPr>
            <w:r>
              <w:rPr>
                <w:rFonts w:ascii="仿宋_GB2312" w:hAnsi="仿宋_GB2312" w:cs="仿宋_GB2312" w:eastAsia="仿宋_GB2312"/>
              </w:rPr>
              <w:t>针对本项目提供对项目理解及重难点分析，包括但不限于 ①项目背景、内容及意义的理解； ②项目重点难点分析及应对措施。 评审标准：以上两项方案各部分内容全面详细、阐述条理清晰详尽、符合本项目采购需求，能保障本项目实施得12分； 评审项目中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针对本项目提供服务方案，包括但不限于 ①会议策划方案； ②工作流程节点梳理、工作制度； ③场地搭建、会场布置、会场设备和物料道具的布置、展品运输； ④会议现场人流动线的规划方案； ⑤展会期间的运营维护、秩序维护、后勤保障及医疗救援等方案； ⑥会议现场的管理方案； ⑦与采购人及各单位间沟通、协调方案。 评审标准：方案各部分内容全面详细、阐述条理清晰详尽、符合本项目采购需求，能保障本项目实施得15分； 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针对本项目提供后期服务方案，包括但不限于①后期服务承诺及会议后期宣传；②全过程资料的收集、整理及移交。 评审标准：方案各部分内容全面详细、阐述条理清晰详尽、符合本项目采购需求，能保障本项目实施得8分；评审内容每缺一项扣4分，每有一处缺陷扣2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针对本项目提供服务质量保障措施，包括但不限于 ①服务质量承诺； ②展会会期接待方案； ③会期各项保障措施； ④进度计划安排； ⑤进度保障措施。 评审标准：方案各部分内容全面详细、阐述条理清晰详尽、符合本项目采购需求，能保障本项目实施得15分； 评审内容每缺一项扣3分，扣完为止。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安全保障措施及应急预案</w:t>
            </w:r>
          </w:p>
        </w:tc>
        <w:tc>
          <w:tcPr>
            <w:tcW w:type="dxa" w:w="2492"/>
          </w:tcPr>
          <w:p>
            <w:pPr>
              <w:pStyle w:val="null3"/>
            </w:pPr>
            <w:r>
              <w:rPr>
                <w:rFonts w:ascii="仿宋_GB2312" w:hAnsi="仿宋_GB2312" w:cs="仿宋_GB2312" w:eastAsia="仿宋_GB2312"/>
              </w:rPr>
              <w:t>针对本项目提供安全保障措施及应急预案，包括但不限于①安全管理制度；②安保计划；③安保设备配备方案；④紧急医疗救援；⑤应对突发事件的处理措施。 评审标准：方案各部分内容全面详细、阐述条理清晰详尽、符合本项目采购需求，能保障本项目实施得15分；评审内容每缺一项扣3分，扣完为止。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拟派人员配备</w:t>
            </w:r>
          </w:p>
        </w:tc>
        <w:tc>
          <w:tcPr>
            <w:tcW w:type="dxa" w:w="2492"/>
          </w:tcPr>
          <w:p>
            <w:pPr>
              <w:pStyle w:val="null3"/>
            </w:pPr>
            <w:r>
              <w:rPr>
                <w:rFonts w:ascii="仿宋_GB2312" w:hAnsi="仿宋_GB2312" w:cs="仿宋_GB2312" w:eastAsia="仿宋_GB2312"/>
              </w:rPr>
              <w:t>针对本项目采购需求，拟派服务团队组织架构清晰，至少包含人员名单及岗位信息。提供拟派人员名单≥5人得5分，每增加一人得1分，最高的10分。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供应商提供（2023年8月至今）类似项目业绩，每提供 1 个得 2分，最高得 10分；业绩证明（以合同或中标通知书为准，须在文件中附合同的扫描件加盖单位公章。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