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版本号：SXDXYZB2026-07-0120260728001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草滩四路城市断头路打通工程监理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SXDXYZB2026-07-01</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陕西德欣源项目管理有限公司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陕西德欣源项目管理有限公司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草滩四路城市断头路打通工程监理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SXDXYZB2026-07-01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草滩四路城市断头路打通工程监理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项目全线 615.064 米，标准段宽度 40 米，渠化段宽度50 米，标准段为双向 4 车道，道路等级为城市支路。建设内容主要包括道路工程、排水工程、交通工程、照明工程、高铁节点工程等。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采购包1（草滩四路城市断头路打通工程监理）：属于专门面向中小企业采购。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2、财务状况报告（任选其一）：财务状况报告（任选其一）①2024年度或2025年度经审计的完整财务审计报告（成立时间至提交响应文件截止时间不足一年的可提供成立后任意时段的资产负债表）；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pPr>
        <w:pStyle w:val="null3"/>
      </w:pPr>
      <w:r>
        <w:rPr>
          <w:rFonts w:ascii="仿宋_GB2312" w:hAnsi="仿宋_GB2312" w:cs="仿宋_GB2312" w:eastAsia="仿宋_GB2312"/>
        </w:rPr>
        <w:t>4、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7、具有履行合同所必需的设备和专业技术能力：提供具有履行合同所必需的设备和专业技术能力声明。</w:t>
      </w:r>
    </w:p>
    <w:p>
      <w:pPr>
        <w:pStyle w:val="null3"/>
      </w:pPr>
      <w:r>
        <w:rPr>
          <w:rFonts w:ascii="仿宋_GB2312" w:hAnsi="仿宋_GB2312" w:cs="仿宋_GB2312" w:eastAsia="仿宋_GB2312"/>
        </w:rPr>
        <w:t>8、法定代表人授权委托书/法定代表人身份证明：法定代表人参加投标的，须提供本人身份证复印件(附在资格证明资料中)； 法定代表人（主要负责人）委托代理人参加投标时，应提供法定代表人（主要负责人）委托授权书及代理人本单位证明（响应文件提交截止日前六个月内任意一个月社会保险缴纳证明）。 磋商响应文件中凡是需要法定代表人盖章之处，非法人单位的负责人均参照执行。法人的分支机构参与投标时，除提供《法定代表人授权委托书》外，还须同时提供法人给分支机构出具的授权书。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9、本项目不接受联合体投标，不允许分包：供应商应提供《非联合体不分包投标声明》，视为独立投标，不分包。</w:t>
      </w:r>
    </w:p>
    <w:p>
      <w:pPr>
        <w:pStyle w:val="null3"/>
      </w:pPr>
      <w:r>
        <w:rPr>
          <w:rFonts w:ascii="仿宋_GB2312" w:hAnsi="仿宋_GB2312" w:cs="仿宋_GB2312" w:eastAsia="仿宋_GB2312"/>
        </w:rPr>
        <w:t>10、资质要求：供应商须具备建设部门颁发的工程监理综合资质或市政公用工程专业监理乙级及以上资质。</w:t>
      </w:r>
    </w:p>
    <w:p>
      <w:pPr>
        <w:pStyle w:val="null3"/>
      </w:pPr>
      <w:r>
        <w:rPr>
          <w:rFonts w:ascii="仿宋_GB2312" w:hAnsi="仿宋_GB2312" w:cs="仿宋_GB2312" w:eastAsia="仿宋_GB2312"/>
        </w:rPr>
        <w:t>11、项目总监资格要求：拟派总监理工程师须具备市政公用工程专业国家注册监理工程师执业资格，在本单位注册，且未担任其他在建项目的总监理工程师。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西安市未央区龙首北路永祥路9号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吴晓娜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029-86249090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陕西德欣源项目管理有限公司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陕西省西安市经济技术开发区文景路一方中港国际B座1701室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029-86109738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采购包1：615,255.00元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 代理服务费账号信息如下： 公司名称：陕西德欣源项目管理有限公司， 开户行：中国建设银行股份有限公司西安凤城七路支行， 账号：61050110309109999888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陕西德欣源项目管理有限公司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陕西德欣源项目管理有限公司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陕西德欣源项目管理有限公司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联系人：王玉</w:t>
      </w:r>
    </w:p>
    <w:p>
      <w:pPr>
        <w:pStyle w:val="null3"/>
      </w:pPr>
      <w:r>
        <w:rPr>
          <w:rFonts w:ascii="仿宋_GB2312" w:hAnsi="仿宋_GB2312" w:cs="仿宋_GB2312" w:eastAsia="仿宋_GB2312"/>
        </w:rPr>
        <w:t>联系电话：029-86109738</w:t>
      </w:r>
    </w:p>
    <w:p>
      <w:pPr>
        <w:pStyle w:val="null3"/>
      </w:pPr>
      <w:r>
        <w:rPr>
          <w:rFonts w:ascii="仿宋_GB2312" w:hAnsi="仿宋_GB2312" w:cs="仿宋_GB2312" w:eastAsia="仿宋_GB2312"/>
        </w:rPr>
        <w:t>地址：陕西省西安市经济技术开发区文景路一方中港国际B座1701室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项目全线 615.064 米，标准段宽度 40 米，渠化段宽度50 米，标准段为双向 4 车道，道路等级为城市支路。建设内容主要包括道路工程、排水工程、交通工程、照明工程、高铁节点工程等。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615,255.00</w:t>
      </w:r>
    </w:p>
    <w:p>
      <w:pPr>
        <w:pStyle w:val="null3"/>
      </w:pPr>
      <w:r>
        <w:rPr>
          <w:rFonts w:ascii="仿宋_GB2312" w:hAnsi="仿宋_GB2312" w:cs="仿宋_GB2312" w:eastAsia="仿宋_GB2312"/>
        </w:rPr>
        <w:t>采购包最高限价（元）: 615,255.00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草滩四路城市断头路打通工程监理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615,255.00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标的名称：草滩四路城市断头路打通工程监理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一、项目名称：</w:t>
            </w:r>
          </w:p>
          <w:p>
            <w:pPr>
              <w:pStyle w:val="null3"/>
            </w:pPr>
            <w:r>
              <w:rPr>
                <w:rFonts w:ascii="仿宋_GB2312" w:hAnsi="仿宋_GB2312" w:cs="仿宋_GB2312" w:eastAsia="仿宋_GB2312"/>
              </w:rPr>
              <w:t>草滩四路城市断头路打通工程监理</w:t>
            </w:r>
          </w:p>
          <w:p>
            <w:pPr>
              <w:pStyle w:val="null3"/>
            </w:pPr>
            <w:r>
              <w:rPr>
                <w:rFonts w:ascii="仿宋_GB2312" w:hAnsi="仿宋_GB2312" w:cs="仿宋_GB2312" w:eastAsia="仿宋_GB2312"/>
                <w:b/>
              </w:rPr>
              <w:t>二、</w:t>
            </w:r>
            <w:r>
              <w:rPr>
                <w:rFonts w:ascii="仿宋_GB2312" w:hAnsi="仿宋_GB2312" w:cs="仿宋_GB2312" w:eastAsia="仿宋_GB2312"/>
                <w:b/>
              </w:rPr>
              <w:t>建设地址</w:t>
            </w:r>
            <w:r>
              <w:rPr>
                <w:rFonts w:ascii="仿宋_GB2312" w:hAnsi="仿宋_GB2312" w:cs="仿宋_GB2312" w:eastAsia="仿宋_GB2312"/>
                <w:b/>
              </w:rPr>
              <w:t>：</w:t>
            </w:r>
          </w:p>
          <w:p>
            <w:pPr>
              <w:pStyle w:val="null3"/>
            </w:pPr>
            <w:r>
              <w:rPr>
                <w:rFonts w:ascii="仿宋_GB2312" w:hAnsi="仿宋_GB2312" w:cs="仿宋_GB2312" w:eastAsia="仿宋_GB2312"/>
              </w:rPr>
              <w:t>项目位于西安市未央区，尚耕路，北至尚耘路。</w:t>
            </w:r>
          </w:p>
          <w:p>
            <w:pPr>
              <w:pStyle w:val="null3"/>
            </w:pPr>
            <w:r>
              <w:rPr>
                <w:rFonts w:ascii="仿宋_GB2312" w:hAnsi="仿宋_GB2312" w:cs="仿宋_GB2312" w:eastAsia="仿宋_GB2312"/>
                <w:b/>
              </w:rPr>
              <w:t>三、</w:t>
            </w:r>
            <w:r>
              <w:rPr>
                <w:rFonts w:ascii="仿宋_GB2312" w:hAnsi="仿宋_GB2312" w:cs="仿宋_GB2312" w:eastAsia="仿宋_GB2312"/>
                <w:b/>
              </w:rPr>
              <w:t>建设规模和内容</w:t>
            </w:r>
            <w:r>
              <w:rPr>
                <w:rFonts w:ascii="仿宋_GB2312" w:hAnsi="仿宋_GB2312" w:cs="仿宋_GB2312" w:eastAsia="仿宋_GB2312"/>
                <w:b/>
              </w:rPr>
              <w:t>：</w:t>
            </w:r>
          </w:p>
          <w:p>
            <w:pPr>
              <w:pStyle w:val="null3"/>
            </w:pPr>
            <w:r>
              <w:rPr>
                <w:rFonts w:ascii="仿宋_GB2312" w:hAnsi="仿宋_GB2312" w:cs="仿宋_GB2312" w:eastAsia="仿宋_GB2312"/>
              </w:rPr>
              <w:t>项目全线</w:t>
            </w:r>
            <w:r>
              <w:rPr>
                <w:rFonts w:ascii="仿宋_GB2312" w:hAnsi="仿宋_GB2312" w:cs="仿宋_GB2312" w:eastAsia="仿宋_GB2312"/>
              </w:rPr>
              <w:t>615.064 米，标准段宽度 40 米，渠化段宽度50 米，标准段为双向 4 车道，道路等级为城市支路。建设内容主要包括道路工程、排水工程、交通工程、照明工程、高铁节点工程等。</w:t>
            </w:r>
          </w:p>
          <w:p>
            <w:pPr>
              <w:pStyle w:val="null3"/>
            </w:pPr>
            <w:r>
              <w:rPr>
                <w:rFonts w:ascii="仿宋_GB2312" w:hAnsi="仿宋_GB2312" w:cs="仿宋_GB2312" w:eastAsia="仿宋_GB2312"/>
              </w:rPr>
              <w:t>主要工程内容如下：</w:t>
            </w:r>
          </w:p>
          <w:p>
            <w:pPr>
              <w:pStyle w:val="null3"/>
            </w:pPr>
            <w:r>
              <w:rPr>
                <w:rFonts w:ascii="仿宋_GB2312" w:hAnsi="仿宋_GB2312" w:cs="仿宋_GB2312" w:eastAsia="仿宋_GB2312"/>
                <w:b/>
              </w:rPr>
              <w:t>（一）道路工程</w:t>
            </w:r>
          </w:p>
          <w:p>
            <w:pPr>
              <w:pStyle w:val="null3"/>
            </w:pPr>
            <w:r>
              <w:rPr>
                <w:rFonts w:ascii="仿宋_GB2312" w:hAnsi="仿宋_GB2312" w:cs="仿宋_GB2312" w:eastAsia="仿宋_GB2312"/>
              </w:rPr>
              <w:t>新建车行道面积约</w:t>
            </w:r>
            <w:r>
              <w:rPr>
                <w:rFonts w:ascii="仿宋_GB2312" w:hAnsi="仿宋_GB2312" w:cs="仿宋_GB2312" w:eastAsia="仿宋_GB2312"/>
              </w:rPr>
              <w:t>9065 平方米，非机动车道面积约3443 平方米，新建人行道面积 3007 平方米；填方 2217 立方米，挖方28154 立方米，路基湿陷性处理 5482 立方米。</w:t>
            </w:r>
          </w:p>
          <w:p>
            <w:pPr>
              <w:pStyle w:val="null3"/>
            </w:pPr>
            <w:r>
              <w:rPr>
                <w:rFonts w:ascii="仿宋_GB2312" w:hAnsi="仿宋_GB2312" w:cs="仿宋_GB2312" w:eastAsia="仿宋_GB2312"/>
                <w:b/>
              </w:rPr>
              <w:t>（二）雨水工程</w:t>
            </w:r>
          </w:p>
          <w:p>
            <w:pPr>
              <w:pStyle w:val="null3"/>
            </w:pPr>
            <w:r>
              <w:rPr>
                <w:rFonts w:ascii="仿宋_GB2312" w:hAnsi="仿宋_GB2312" w:cs="仿宋_GB2312" w:eastAsia="仿宋_GB2312"/>
              </w:rPr>
              <w:t>南段明开挖敷设</w:t>
            </w:r>
            <w:r>
              <w:rPr>
                <w:rFonts w:ascii="仿宋_GB2312" w:hAnsi="仿宋_GB2312" w:cs="仿宋_GB2312" w:eastAsia="仿宋_GB2312"/>
              </w:rPr>
              <w:t>d800 毫米雨水主管道 120 米，敷设 d1200毫米雨水主管道 117 米，顶管施工敷设 d1200 毫米雨水主管 67米。新建雨水检查井 8 座，新建顶管井 2 座。</w:t>
            </w:r>
          </w:p>
          <w:p>
            <w:pPr>
              <w:pStyle w:val="null3"/>
            </w:pPr>
            <w:r>
              <w:rPr>
                <w:rFonts w:ascii="仿宋_GB2312" w:hAnsi="仿宋_GB2312" w:cs="仿宋_GB2312" w:eastAsia="仿宋_GB2312"/>
              </w:rPr>
              <w:t>北段明开挖敷设</w:t>
            </w:r>
            <w:r>
              <w:rPr>
                <w:rFonts w:ascii="仿宋_GB2312" w:hAnsi="仿宋_GB2312" w:cs="仿宋_GB2312" w:eastAsia="仿宋_GB2312"/>
              </w:rPr>
              <w:t>d800 毫米雨水主管道 99 米，敷设 d1000 毫米雨水主管道 49 米，顶管施工敷设 d1000 毫米雨水主管道 102米。新建雨水检查井 9 座，新建顶管井2 座。明开挖敷设d500毫米雨水副管 349 米，敷设 d600 毫米雨水副管263 米，新建雨水检查井 19 座。</w:t>
            </w:r>
          </w:p>
          <w:p>
            <w:pPr>
              <w:pStyle w:val="null3"/>
            </w:pPr>
            <w:r>
              <w:rPr>
                <w:rFonts w:ascii="仿宋_GB2312" w:hAnsi="仿宋_GB2312" w:cs="仿宋_GB2312" w:eastAsia="仿宋_GB2312"/>
                <w:b/>
              </w:rPr>
              <w:t>（三）交通安全设施工程</w:t>
            </w:r>
          </w:p>
          <w:p>
            <w:pPr>
              <w:pStyle w:val="null3"/>
            </w:pPr>
            <w:r>
              <w:rPr>
                <w:rFonts w:ascii="仿宋_GB2312" w:hAnsi="仿宋_GB2312" w:cs="仿宋_GB2312" w:eastAsia="仿宋_GB2312"/>
              </w:rPr>
              <w:t>设置交通工程标志牌共</w:t>
            </w:r>
            <w:r>
              <w:rPr>
                <w:rFonts w:ascii="仿宋_GB2312" w:hAnsi="仿宋_GB2312" w:cs="仿宋_GB2312" w:eastAsia="仿宋_GB2312"/>
              </w:rPr>
              <w:t>23 个，施划标线面积约 810 平方米。</w:t>
            </w:r>
          </w:p>
          <w:p>
            <w:pPr>
              <w:pStyle w:val="null3"/>
            </w:pPr>
            <w:r>
              <w:rPr>
                <w:rFonts w:ascii="仿宋_GB2312" w:hAnsi="仿宋_GB2312" w:cs="仿宋_GB2312" w:eastAsia="仿宋_GB2312"/>
                <w:b/>
              </w:rPr>
              <w:t>（四）交通管理设施</w:t>
            </w:r>
          </w:p>
          <w:p>
            <w:pPr>
              <w:pStyle w:val="null3"/>
            </w:pPr>
            <w:r>
              <w:rPr>
                <w:rFonts w:ascii="仿宋_GB2312" w:hAnsi="仿宋_GB2312" w:cs="仿宋_GB2312" w:eastAsia="仿宋_GB2312"/>
              </w:rPr>
              <w:t>尚耕路交叉口处完善信号灯系统</w:t>
            </w:r>
            <w:r>
              <w:rPr>
                <w:rFonts w:ascii="仿宋_GB2312" w:hAnsi="仿宋_GB2312" w:cs="仿宋_GB2312" w:eastAsia="仿宋_GB2312"/>
              </w:rPr>
              <w:t>1 套；尚耘路交叉口处设计信号灯系统 1 套；尚耕路交叉口设置车流量监测设备 4 套，尚耘路交叉口设置车流量检测设备 3 套，共计 7 套，尚耕路路口设置视频监控设备 2 套，在机务段大门南侧设置视频监控设备1 套，尚耘路路口设置视频监控设备 1 套，共计 4 套；尚耕路与尚耘路交叉口各设计电子警察系统 1 套，共计 2 套。</w:t>
            </w:r>
          </w:p>
          <w:p>
            <w:pPr>
              <w:pStyle w:val="null3"/>
            </w:pPr>
            <w:r>
              <w:rPr>
                <w:rFonts w:ascii="仿宋_GB2312" w:hAnsi="仿宋_GB2312" w:cs="仿宋_GB2312" w:eastAsia="仿宋_GB2312"/>
                <w:b/>
              </w:rPr>
              <w:t>（五）照明工程</w:t>
            </w:r>
          </w:p>
          <w:p>
            <w:pPr>
              <w:pStyle w:val="null3"/>
            </w:pPr>
            <w:r>
              <w:rPr>
                <w:rFonts w:ascii="仿宋_GB2312" w:hAnsi="仿宋_GB2312" w:cs="仿宋_GB2312" w:eastAsia="仿宋_GB2312"/>
              </w:rPr>
              <w:t>4.5 米高步道灯 42 套，6 米高单臂路灯 4 套，10 米高单臂路灯 32 套，交叉口处新建 14 米中杆灯共 4 套。</w:t>
            </w:r>
          </w:p>
          <w:p>
            <w:pPr>
              <w:pStyle w:val="null3"/>
            </w:pPr>
            <w:r>
              <w:rPr>
                <w:rFonts w:ascii="仿宋_GB2312" w:hAnsi="仿宋_GB2312" w:cs="仿宋_GB2312" w:eastAsia="仿宋_GB2312"/>
                <w:b/>
              </w:rPr>
              <w:t>（六）高铁节点工程</w:t>
            </w:r>
          </w:p>
          <w:p>
            <w:pPr>
              <w:pStyle w:val="null3"/>
            </w:pPr>
            <w:r>
              <w:rPr>
                <w:rFonts w:ascii="仿宋_GB2312" w:hAnsi="仿宋_GB2312" w:cs="仿宋_GB2312" w:eastAsia="仿宋_GB2312"/>
              </w:rPr>
              <w:t>1.道路工程：新建机动车道面积约2049 平方米，新建人行道面积 394 平方米；挖方 4456 立方米、地基注浆加固 593 立方米、新建箱涵南北侧顺接挡墙 160 米。</w:t>
            </w:r>
          </w:p>
          <w:p>
            <w:pPr>
              <w:pStyle w:val="null3"/>
            </w:pPr>
            <w:r>
              <w:rPr>
                <w:rFonts w:ascii="仿宋_GB2312" w:hAnsi="仿宋_GB2312" w:cs="仿宋_GB2312" w:eastAsia="仿宋_GB2312"/>
              </w:rPr>
              <w:t>2.雨水工程：D1000 既有雨水管道迁改，新建工作井和接收井各 1 座。</w:t>
            </w:r>
          </w:p>
          <w:p>
            <w:pPr>
              <w:pStyle w:val="null3"/>
            </w:pPr>
            <w:r>
              <w:rPr>
                <w:rFonts w:ascii="仿宋_GB2312" w:hAnsi="仿宋_GB2312" w:cs="仿宋_GB2312" w:eastAsia="仿宋_GB2312"/>
              </w:rPr>
              <w:t>3.桥梁工程：桥梁排水、栏杆改造 163 米；新建电力防护涵81.5 平方米。</w:t>
            </w:r>
          </w:p>
          <w:p>
            <w:pPr>
              <w:pStyle w:val="null3"/>
            </w:pPr>
            <w:r>
              <w:rPr>
                <w:rFonts w:ascii="仿宋_GB2312" w:hAnsi="仿宋_GB2312" w:cs="仿宋_GB2312" w:eastAsia="仿宋_GB2312"/>
              </w:rPr>
              <w:t>4.交通工程： 限高架 2 套。</w:t>
            </w:r>
          </w:p>
          <w:p>
            <w:pPr>
              <w:pStyle w:val="null3"/>
            </w:pPr>
            <w:r>
              <w:rPr>
                <w:rFonts w:ascii="仿宋_GB2312" w:hAnsi="仿宋_GB2312" w:cs="仿宋_GB2312" w:eastAsia="仿宋_GB2312"/>
              </w:rPr>
              <w:t>5.铁路电力工程：箱式变电站拆除还建 1 座，其他配套电缆迁移防护。</w:t>
            </w:r>
          </w:p>
          <w:p>
            <w:pPr>
              <w:pStyle w:val="null3"/>
            </w:pPr>
            <w:r>
              <w:rPr>
                <w:rFonts w:ascii="仿宋_GB2312" w:hAnsi="仿宋_GB2312" w:cs="仿宋_GB2312" w:eastAsia="仿宋_GB2312"/>
              </w:rPr>
              <w:t>6.铁路通信工程：通信光缆迁移防护 15000 米。</w:t>
            </w:r>
          </w:p>
          <w:p>
            <w:pPr>
              <w:pStyle w:val="null3"/>
            </w:pPr>
            <w:r>
              <w:rPr>
                <w:rFonts w:ascii="仿宋_GB2312" w:hAnsi="仿宋_GB2312" w:cs="仿宋_GB2312" w:eastAsia="仿宋_GB2312"/>
              </w:rPr>
              <w:t>7.铁路信号工程： 既有 4 根信号道岔融雪电缆防护。</w:t>
            </w:r>
          </w:p>
          <w:p>
            <w:pPr>
              <w:pStyle w:val="null3"/>
            </w:pPr>
            <w:r>
              <w:rPr>
                <w:rFonts w:ascii="仿宋_GB2312" w:hAnsi="仿宋_GB2312" w:cs="仿宋_GB2312" w:eastAsia="仿宋_GB2312"/>
              </w:rPr>
              <w:t>8.铁路电气化工程：西宝高铁【211# 、212# 、213# 、214#】中间地段采用电缆改架空线迁改 8874 米；两端进牵引变电所和上桥在路基地段采用高压电缆钢筋混凝土电缆管涵内敷设 2880米。</w:t>
            </w:r>
          </w:p>
          <w:p>
            <w:pPr>
              <w:pStyle w:val="null3"/>
            </w:pPr>
            <w:r>
              <w:rPr>
                <w:rFonts w:ascii="仿宋_GB2312" w:hAnsi="仿宋_GB2312" w:cs="仿宋_GB2312" w:eastAsia="仿宋_GB2312"/>
                <w:b/>
              </w:rPr>
              <w:t>四、</w:t>
            </w:r>
            <w:r>
              <w:rPr>
                <w:rFonts w:ascii="仿宋_GB2312" w:hAnsi="仿宋_GB2312" w:cs="仿宋_GB2312" w:eastAsia="仿宋_GB2312"/>
                <w:b/>
              </w:rPr>
              <w:t>对</w:t>
            </w:r>
            <w:r>
              <w:rPr>
                <w:rFonts w:ascii="仿宋_GB2312" w:hAnsi="仿宋_GB2312" w:cs="仿宋_GB2312" w:eastAsia="仿宋_GB2312"/>
                <w:b/>
              </w:rPr>
              <w:t>供应商</w:t>
            </w:r>
            <w:r>
              <w:rPr>
                <w:rFonts w:ascii="仿宋_GB2312" w:hAnsi="仿宋_GB2312" w:cs="仿宋_GB2312" w:eastAsia="仿宋_GB2312"/>
                <w:b/>
              </w:rPr>
              <w:t>的</w:t>
            </w:r>
            <w:r>
              <w:rPr>
                <w:rFonts w:ascii="仿宋_GB2312" w:hAnsi="仿宋_GB2312" w:cs="仿宋_GB2312" w:eastAsia="仿宋_GB2312"/>
                <w:b/>
              </w:rPr>
              <w:t>服务要求</w:t>
            </w:r>
          </w:p>
          <w:p>
            <w:pPr>
              <w:pStyle w:val="null3"/>
            </w:pPr>
            <w:r>
              <w:rPr>
                <w:rFonts w:ascii="仿宋_GB2312" w:hAnsi="仿宋_GB2312" w:cs="仿宋_GB2312" w:eastAsia="仿宋_GB2312"/>
              </w:rPr>
              <w:t>1.质量管控：按规范监督施工质量，及时排查质量隐患，对材料、工序验收严格把关，确保工程符合设计及标准。主动对接建设、施工、设计等单位，及时传递信息，协调解决项目实施中的争议与问题。</w:t>
            </w:r>
          </w:p>
          <w:p>
            <w:pPr>
              <w:pStyle w:val="null3"/>
            </w:pPr>
            <w:r>
              <w:rPr>
                <w:rFonts w:ascii="仿宋_GB2312" w:hAnsi="仿宋_GB2312" w:cs="仿宋_GB2312" w:eastAsia="仿宋_GB2312"/>
              </w:rPr>
              <w:t>2.进度管理：跟踪施工进度，对比计划及时预警延误风险，协调解决影响进度的问题，保障工期节点落实。</w:t>
            </w:r>
          </w:p>
          <w:p>
            <w:pPr>
              <w:pStyle w:val="null3"/>
            </w:pPr>
            <w:r>
              <w:rPr>
                <w:rFonts w:ascii="仿宋_GB2312" w:hAnsi="仿宋_GB2312" w:cs="仿宋_GB2312" w:eastAsia="仿宋_GB2312"/>
              </w:rPr>
              <w:t>3.资料规范：及时整理监理日志、验收报告、会议纪要等资料，确保完整、准确，符合工程归档要求。</w:t>
            </w:r>
          </w:p>
          <w:p>
            <w:pPr>
              <w:pStyle w:val="null3"/>
            </w:pPr>
            <w:r>
              <w:rPr>
                <w:rFonts w:ascii="仿宋_GB2312" w:hAnsi="仿宋_GB2312" w:cs="仿宋_GB2312" w:eastAsia="仿宋_GB2312"/>
                <w:b/>
              </w:rPr>
              <w:t>五、服务期限：</w:t>
            </w:r>
          </w:p>
          <w:p>
            <w:pPr>
              <w:pStyle w:val="null3"/>
            </w:pPr>
            <w:r>
              <w:rPr>
                <w:rFonts w:ascii="仿宋_GB2312" w:hAnsi="仿宋_GB2312" w:cs="仿宋_GB2312" w:eastAsia="仿宋_GB2312"/>
              </w:rPr>
              <w:t>18个月（具体监理服务期与施工工期同步）。</w:t>
            </w:r>
          </w:p>
          <w:p>
            <w:pPr>
              <w:pStyle w:val="null3"/>
            </w:pPr>
            <w:r>
              <w:rPr>
                <w:rFonts w:ascii="仿宋_GB2312" w:hAnsi="仿宋_GB2312" w:cs="仿宋_GB2312" w:eastAsia="仿宋_GB2312"/>
                <w:b/>
              </w:rPr>
              <w:t>六、成果交付要求</w:t>
            </w:r>
          </w:p>
          <w:p>
            <w:pPr>
              <w:pStyle w:val="null3"/>
            </w:pPr>
            <w:r>
              <w:rPr>
                <w:rFonts w:ascii="仿宋_GB2312" w:hAnsi="仿宋_GB2312" w:cs="仿宋_GB2312" w:eastAsia="仿宋_GB2312"/>
              </w:rPr>
              <w:t>监理规划、监理月报及约定的专项报告等。</w:t>
            </w:r>
          </w:p>
          <w:p>
            <w:pPr>
              <w:pStyle w:val="null3"/>
            </w:pPr>
            <w:r>
              <w:rPr>
                <w:rFonts w:ascii="仿宋_GB2312" w:hAnsi="仿宋_GB2312" w:cs="仿宋_GB2312" w:eastAsia="仿宋_GB2312"/>
                <w:b/>
              </w:rPr>
              <w:t>七、质量验收标准或规范</w:t>
            </w:r>
          </w:p>
          <w:p>
            <w:pPr>
              <w:pStyle w:val="null3"/>
            </w:pPr>
            <w:r>
              <w:rPr>
                <w:rFonts w:ascii="仿宋_GB2312" w:hAnsi="仿宋_GB2312" w:cs="仿宋_GB2312" w:eastAsia="仿宋_GB2312"/>
                <w:sz w:val="21"/>
              </w:rPr>
              <w:t>各项具体工作的质量标准和作业规范，按国家相关标准、规范执行。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设施设备配置满足采购人服务需求。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18个月（具体监理服务期与施工工期同步）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西安市未央区，尚耕路，北至尚耘路</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进度款，全部工程量竣工验收合格后，达到付款条件起30个工作日内，支付合同总金额的70.0%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财务状况报告（任选其一）①2024年度或2025年度经审计的完整财务审计报告（成立时间至提交响应文件截止时间不足一年的可提供成立后任意时段的资产负债表）；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提供递交响应文件截止之日前一年内任意一个月依法缴纳税收的相关凭据，凭据应有税务机关或代收机关的公章或业务专用章。依法免税或无须缴纳税收的供应商，应提供书面说明和相关证明材料。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法定代表人授权委托书/法定代表人身份证明</w:t>
            </w:r>
          </w:p>
        </w:tc>
        <w:tc>
          <w:tcPr>
            <w:tcW w:type="dxa" w:w="3322"/>
          </w:tcPr>
          <w:p>
            <w:pPr>
              <w:pStyle w:val="null3"/>
            </w:pPr>
            <w:r>
              <w:rPr>
                <w:rFonts w:ascii="仿宋_GB2312" w:hAnsi="仿宋_GB2312" w:cs="仿宋_GB2312" w:eastAsia="仿宋_GB2312"/>
              </w:rPr>
              <w:t>法定代表人参加投标的，须提供本人身份证复印件(附在资格证明资料中)； 法定代表人（主要负责人）委托代理人参加投标时，应提供法定代表人（主要负责人）委托授权书及代理人本单位证明（响应文件提交截止日前六个月内任意一个月社会保险缴纳证明）。 磋商响应文件中凡是需要法定代表人盖章之处，非法人单位的负责人均参照执行。法人的分支机构参与投标时，除提供《法定代表人授权委托书》外，还须同时提供法人给分支机构出具的授权书。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供应商须具备建设部门颁发的工程监理综合资质或市政公用工程专业监理乙级及以上资质。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项目总监资格要求</w:t>
            </w:r>
          </w:p>
        </w:tc>
        <w:tc>
          <w:tcPr>
            <w:tcW w:type="dxa" w:w="3322"/>
          </w:tcPr>
          <w:p>
            <w:pPr>
              <w:pStyle w:val="null3"/>
            </w:pPr>
            <w:r>
              <w:rPr>
                <w:rFonts w:ascii="仿宋_GB2312" w:hAnsi="仿宋_GB2312" w:cs="仿宋_GB2312" w:eastAsia="仿宋_GB2312"/>
              </w:rPr>
              <w:t>拟派总监理工程师须具备市政公用工程专业国家注册监理工程师执业资格，在本单位注册，且未担任其他在建项目的总监理工程师。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业绩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首次报价只能有一个有效报价，不得提交选择性报价，并未超出采购预算或最高限价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服务内容及服务要求应答表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中小企业声明函 商务应答表 供应商应提交的相关资格证明材料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 针对供应商提供的项目实施方案进行评审，包含但不限于：①本项目的基本情况及项目背景分析、②监理服务范围及工作目标、③监理服务工作标准、④服务实施计划(服务工作流程)。 （2）评审标准 ①完整性：方案必须全面，对评审内容中的各项要求有详细描述； ②可实施性：切合本项目实际情况，提出切实可行、合理的方案； ③针对性：方案能够紧扣项目实际情况，内容科学合理。 （3）赋分标准（满分12分） ①本项目的基本情况及项目背景分析：每完全满足一个评审标准得1分，满分3分； ②监理服务范围及工作目标：每完全满足一个评审标准得1分，满分3分； ③监理服务工作标准：每完全满足一个评审标准得1分，满分3分； ④服务实施计划(服务工作流程)：每完全满足一个评审标准得1分，满分3分。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（1）评审内容 供应商针对本项目服务要求提供的质量控制措施，包含但不限于：①工程监理质量保障措施、②资料管理与验收归档质量保障措施、③投资控制质量保障措施、④安全生产与文明施工监理控制措施。 （2）评审标准 ①完整性：方案必须全面，对评审内容中的各项要求有详细描述； ②可实施性：切合本项目实际情况，提出切实可行、合理的方案； ③针对性：方案能够紧扣项目实际情况，内容科学合理。 （3）赋分标准（满分12分） ①工程监理质量保障措施：每完全满足一个评审标准得1分，满分3分； ②资料管理与验收归档质量保障措施：每完全满足一个评审标准得1分，满分3分； ③投资控制质量保障措施：每完全满足一个评审标准得1分，满分3分； ④安全生产与文明施工监理控制措施：每完全满足一个评审标准得1分，满分3分。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（1）评审内容 供应商针对本项目配置能满足监理服务及技术要求的专业巡检设备、检测工具、办公设备等确保日常巡检、检测、资料整理工作常态化开展，本项目设备配置包含但不限于：测距仪、裂缝观测仪、平整度检测仪、相机、电脑、打印机、巡检交通工具等。 （2）赋分标准（满分16分） 每提供1项相关仪器设备得2分，满分16分。 具备购买发票（本公司自有设备）或租赁协议等相关证明材料作为评审依据，证明资料不齐全或不符合上述要求该项不得分。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项目组成人员：（1）至少配备1名专业监理工程师，具备市政工程相关专业中级及以上职称或注册监理工程师或专业监理工程师岗位证书，得基础分1分。每多配备1人加2.5分，最高得6分。（2）至少配备1名监理员，持有监理员岗位证书，得基础分1分。每多配备1人加1.5分，最高得4分。 （2）评审依据：须提供以上人员身份证、有效监理工程师岗位证书或注册监理工程师或职称证，监理员需提供有效的执业资格证书或岗位证书。 注：上述项目人员配备“项目总监”不计入打分。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根据采购文件技术、服务、商务等要求作出相关服务承诺，包括但不限于①服务质量承诺、②服务响应时限和服务内容承诺、③不得擅自更换响应文件中人员配置承诺、④实际作业过程中的安全保障承诺、⑤不能完全履行承诺时愿意接受相关处罚承诺、⑥廉洁服务承诺。 （2）评审标准：（满分9分） 每提供一项服务承诺得1.5分，不提供或承诺内容不针对本项目该项承诺不得分。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服务管理与考核</w:t>
            </w:r>
          </w:p>
        </w:tc>
        <w:tc>
          <w:tcPr>
            <w:tcW w:type="dxa" w:w="2492"/>
          </w:tcPr>
          <w:p>
            <w:pPr>
              <w:pStyle w:val="null3"/>
            </w:pPr>
            <w:r>
              <w:rPr>
                <w:rFonts w:ascii="仿宋_GB2312" w:hAnsi="仿宋_GB2312" w:cs="仿宋_GB2312" w:eastAsia="仿宋_GB2312"/>
              </w:rPr>
              <w:t>（1）评审内容 供应商针对本项目的服务管理与考核方案，内容包含：①岗位工作职责及管理制度、②服务人员考核制度、③考核评价机制、④应急处置监理。 （2）评审标准 ①完整性：方案必须全面，对评审内容中的各项要求有详细描述； ②可实施性：切合本项目实际情况，提出切实可行、合理的方案； ③针对性：方案能够紧扣项目实际情况，内容科学合理。 （3）赋分标准（满分12分） ①岗位工作职责及管理制度：每完全满足一个评审标准得1分，满分3分； ②服务人员考核制度：每完全满足一个评审标准得1分，满分3分； ③考核评价机制：每完全满足一个评审标准得1分，满分3分； ④应急处置监理：每完全满足一个评审标准得1分，满分3分。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（1）评审内容 根据供应商针对本项目提供的监理服务重点、难点分析方案进行综合评审，方案包含但不限于：①项目实施过程中的重点、难点理解分析、②关键性技术问题分析及应对措施。 （2）评审依据 ①完整性：方案必须全面，对评审内容中的各项要求有详细描述； ②针对性：方案能够紧扣项目实际情况，内容科学合理。 （3）赋分标准（满分4分） ①项目实施过程中的重点、难点理解分析：每完全满足一个评审标准得1分，满分2分； ②关键性技术问题分析及应对措施：每完全满足一个评审标准得1分，满分2分。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供应商2023年7月1日至今类似项目业绩，每提供一个类似项目业绩得2分，最高得10分。 注：业绩资料以合同签订日期为准，合同内容须包含合同名称、签订双方名称、签订时间、主要服务内容、双方盖章页等关键页。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2.满足磋商文件实质性要求且最后报价最低的供应商的价格为磋商基准价，其价格分为满分15分。 3.磋商报价得分=(磋商基准价/最终磋商报价）×15的公式计算得分。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因落实政府采购政策进行价格调整的，以调整后的价格计算评标基准价和投标报价，详见磋商文件本部分政府采购政策评分标准，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