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版本号：SXBH-ZFCG-2026-01720260430001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文化和旅游资源普查工作第三方服务单位采购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SXBH-ZFCG-2026-017</w:t>
      </w:r>
      <w:r>
        <w:br/>
      </w:r>
      <w:r>
        <w:br/>
      </w:r>
      <w:r>
        <w:br/>
      </w:r>
    </w:p>
    <w:p>
      <w:pPr>
        <w:pStyle w:val="null3"/>
        <w:jc w:val="center"/>
        <w:outlineLvl w:val="2"/>
      </w:pPr>
      <w:r>
        <w:rPr>
          <w:rFonts w:ascii="仿宋_GB2312" w:hAnsi="仿宋_GB2312" w:cs="仿宋_GB2312" w:eastAsia="仿宋_GB2312"/>
          <w:sz w:val="28"/>
          <w:b/>
        </w:rPr>
        <w:t>铜川市印台区文化和旅游文物局</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铜川市印台区文化和旅游文物局</w:t>
      </w:r>
      <w:r>
        <w:rPr>
          <w:rFonts w:ascii="仿宋_GB2312" w:hAnsi="仿宋_GB2312" w:cs="仿宋_GB2312" w:eastAsia="仿宋_GB2312"/>
        </w:rPr>
        <w:t>委托，拟对</w:t>
      </w:r>
      <w:r>
        <w:rPr>
          <w:rFonts w:ascii="仿宋_GB2312" w:hAnsi="仿宋_GB2312" w:cs="仿宋_GB2312" w:eastAsia="仿宋_GB2312"/>
        </w:rPr>
        <w:t>文化和旅游资源普查工作第三方服务单位采购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SXBH-ZFCG-2026-017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文化和旅游资源普查工作第三方服务单位采购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文化与旅游资源印台区全域普查等相关服务工作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采购包1（文化和旅游资源普查工作第三方服务单位采购）：属于专门面向中小企业采购。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2、资质证书：具备乙级以上（含乙级）测绘资质，提供有效期内证书；供应商需在项目电子化交易系统中按要求上传相应证明文件并进行电子签章。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供应商需在项目电子化交易系统中按要求上传相应证明文件并进行电子签章。</w:t>
      </w:r>
    </w:p>
    <w:p>
      <w:pPr>
        <w:pStyle w:val="null3"/>
      </w:pPr>
      <w:r>
        <w:rPr>
          <w:rFonts w:ascii="仿宋_GB2312" w:hAnsi="仿宋_GB2312" w:cs="仿宋_GB2312" w:eastAsia="仿宋_GB2312"/>
        </w:rPr>
        <w:t>4、具有良好的财务制度：提供近三年（2023 年、2024 年、2025 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 2025 年 8 月至今基本存款账户开户银行出具的资信证明及基本存款账户信息；供应商需在项目电子化交易系统中按要求上传相应证明文件并进行电子签章。</w:t>
      </w:r>
    </w:p>
    <w:p>
      <w:pPr>
        <w:pStyle w:val="null3"/>
      </w:pPr>
      <w:r>
        <w:rPr>
          <w:rFonts w:ascii="仿宋_GB2312" w:hAnsi="仿宋_GB2312" w:cs="仿宋_GB2312" w:eastAsia="仿宋_GB2312"/>
        </w:rPr>
        <w:t>5、依法缴纳税收：提供2025年8月1日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6、依法缴纳社会保障资金：提供2025年8月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7、具有履行合同所必需的设备和专业技术能力：提供具有履行合同所必需的设备和专业技术能力的书面声明；供应商需在项目电子化交易系统中按要求上传相应书面声明并进行电子签章。</w:t>
      </w:r>
    </w:p>
    <w:p>
      <w:pPr>
        <w:pStyle w:val="null3"/>
      </w:pPr>
      <w:r>
        <w:rPr>
          <w:rFonts w:ascii="仿宋_GB2312" w:hAnsi="仿宋_GB2312" w:cs="仿宋_GB2312" w:eastAsia="仿宋_GB2312"/>
        </w:rPr>
        <w:t>8、参加本次政府采购活动前3年内在经营活动中没有重大违法记录或被起诉：提供参加本次政府采购活动前3年内在经营活动中没有重大违法记录或被起诉的书面声明；供应商需在项目电子化交易系统中按要求上传相应书面声明并进行电子签章。</w:t>
      </w:r>
    </w:p>
    <w:p>
      <w:pPr>
        <w:pStyle w:val="null3"/>
      </w:pPr>
      <w:r>
        <w:rPr>
          <w:rFonts w:ascii="仿宋_GB2312" w:hAnsi="仿宋_GB2312" w:cs="仿宋_GB2312" w:eastAsia="仿宋_GB2312"/>
        </w:rPr>
        <w:t>9、法定代表人或法定代表授权人：法定代表人（负责人）直接参加磋商的，须出具法定代表人（负责人）身份证明及身份证复印件，并与营业执照上信息一致；法定代表人（负责人）授权代表参加磋商的，须出具法定代表人（负责人）授权书及授权代表身份证复印件；供应商需在项目电子化交易系统中按要求上传相应证明文件并进行电子签章。</w:t>
      </w:r>
    </w:p>
    <w:p>
      <w:pPr>
        <w:pStyle w:val="null3"/>
      </w:pPr>
      <w:r>
        <w:rPr>
          <w:rFonts w:ascii="仿宋_GB2312" w:hAnsi="仿宋_GB2312" w:cs="仿宋_GB2312" w:eastAsia="仿宋_GB2312"/>
        </w:rPr>
        <w:t>10、无关联：提供单位负责人为同一人或者存在直接控股、管理关系的不同供应商，不得参加同一合同项下的政府采购活动的书面声明；供应商需在项目电子化交易系统中按要求上传相应书面声明并进行电子签章。</w:t>
      </w:r>
    </w:p>
    <w:p>
      <w:pPr>
        <w:pStyle w:val="null3"/>
      </w:pPr>
      <w:r>
        <w:rPr>
          <w:rFonts w:ascii="仿宋_GB2312" w:hAnsi="仿宋_GB2312" w:cs="仿宋_GB2312" w:eastAsia="仿宋_GB2312"/>
        </w:rPr>
        <w:t>11、非联合体磋商：提供非联合体磋商的承诺书；供应商需在项目电子化交易系统中按要求上传相应承诺书并进行电子签章。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铜川市印台区文化和旅游文物局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铜川市印台区城关老街图书馆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0919-4196138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成交供应商承担，采购代理工作结束后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铜川市印台区文化和旅游文物局</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铜川市印台区文化和旅游文物局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铜川市印台区文化和旅游文物局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文化与旅游资源印台区全域普查等相关服务工作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印台区文化和旅游资源普查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标的名称：印台区文化和旅游资源普查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一、普查对象</w:t>
            </w:r>
          </w:p>
          <w:p>
            <w:pPr>
              <w:pStyle w:val="null3"/>
            </w:pPr>
            <w:r>
              <w:rPr>
                <w:rFonts w:ascii="仿宋_GB2312" w:hAnsi="仿宋_GB2312" w:cs="仿宋_GB2312" w:eastAsia="仿宋_GB2312"/>
              </w:rPr>
              <w:t>分为文化资源和旅游资源两大部分</w:t>
            </w:r>
          </w:p>
          <w:p>
            <w:pPr>
              <w:pStyle w:val="null3"/>
            </w:pPr>
            <w:r>
              <w:rPr>
                <w:rFonts w:ascii="仿宋_GB2312" w:hAnsi="仿宋_GB2312" w:cs="仿宋_GB2312" w:eastAsia="仿宋_GB2312"/>
              </w:rPr>
              <w:t>(一)文化资源。</w:t>
            </w:r>
          </w:p>
          <w:p>
            <w:pPr>
              <w:pStyle w:val="null3"/>
            </w:pPr>
            <w:r>
              <w:rPr>
                <w:rFonts w:ascii="仿宋_GB2312" w:hAnsi="仿宋_GB2312" w:cs="仿宋_GB2312" w:eastAsia="仿宋_GB2312"/>
              </w:rPr>
              <w:t>依据文化和旅游部、省市有关标准，主要对古籍、美术馆藏品、地方戏曲剧种、非物质文化遗产四大类资源开展普查。</w:t>
            </w:r>
          </w:p>
          <w:p>
            <w:pPr>
              <w:pStyle w:val="null3"/>
            </w:pPr>
            <w:r>
              <w:rPr>
                <w:rFonts w:ascii="仿宋_GB2312" w:hAnsi="仿宋_GB2312" w:cs="仿宋_GB2312" w:eastAsia="仿宋_GB2312"/>
              </w:rPr>
              <w:t>(二)旅游资源。</w:t>
            </w:r>
          </w:p>
          <w:p>
            <w:pPr>
              <w:pStyle w:val="null3"/>
            </w:pPr>
            <w:r>
              <w:rPr>
                <w:rFonts w:ascii="仿宋_GB2312" w:hAnsi="仿宋_GB2312" w:cs="仿宋_GB2312" w:eastAsia="仿宋_GB2312"/>
              </w:rPr>
              <w:t>全区范围内能对旅游者产生吸引力，可以为旅游业开发利用，并可产生经济效益、社会效益和环境效益的各种事物和现象。依据《旅游资源分类、调查与评价》（</w:t>
            </w:r>
            <w:r>
              <w:rPr>
                <w:rFonts w:ascii="仿宋_GB2312" w:hAnsi="仿宋_GB2312" w:cs="仿宋_GB2312" w:eastAsia="仿宋_GB2312"/>
              </w:rPr>
              <w:t>GB/T18972-2017）国家标准，主要对地文景观、水文景观、生物景观、天气与气候景观、历史遗迹、建筑与设施、旅游商品（文创产品）、人文活动八大类资源开展普查；需满足的要求:通过市级、区级质量检查抽查验收和成果复核。</w:t>
            </w:r>
          </w:p>
          <w:p>
            <w:pPr>
              <w:pStyle w:val="null3"/>
            </w:pPr>
            <w:r>
              <w:rPr>
                <w:rFonts w:ascii="仿宋_GB2312" w:hAnsi="仿宋_GB2312" w:cs="仿宋_GB2312" w:eastAsia="仿宋_GB2312"/>
              </w:rPr>
              <w:t>二、普查范围</w:t>
            </w:r>
          </w:p>
          <w:p>
            <w:pPr>
              <w:pStyle w:val="null3"/>
            </w:pPr>
            <w:r>
              <w:rPr>
                <w:rFonts w:ascii="仿宋_GB2312" w:hAnsi="仿宋_GB2312" w:cs="仿宋_GB2312" w:eastAsia="仿宋_GB2312"/>
              </w:rPr>
              <w:t>铜川市印台区范围内。</w:t>
            </w:r>
          </w:p>
          <w:p>
            <w:pPr>
              <w:pStyle w:val="null3"/>
            </w:pPr>
            <w:r>
              <w:rPr>
                <w:rFonts w:ascii="仿宋_GB2312" w:hAnsi="仿宋_GB2312" w:cs="仿宋_GB2312" w:eastAsia="仿宋_GB2312"/>
              </w:rPr>
              <w:t>三、普查原则</w:t>
            </w:r>
          </w:p>
          <w:p>
            <w:pPr>
              <w:pStyle w:val="null3"/>
            </w:pPr>
            <w:r>
              <w:rPr>
                <w:rFonts w:ascii="仿宋_GB2312" w:hAnsi="仿宋_GB2312" w:cs="仿宋_GB2312" w:eastAsia="仿宋_GB2312"/>
              </w:rPr>
              <w:t>(一)统一领导，各负其责。全区文化和旅游资源普查按照“统一领导、分工协作、分级负责、共同参与”的原则组织实施。有关部门依据职责协同推进。</w:t>
            </w:r>
          </w:p>
          <w:p>
            <w:pPr>
              <w:pStyle w:val="null3"/>
            </w:pPr>
            <w:r>
              <w:rPr>
                <w:rFonts w:ascii="仿宋_GB2312" w:hAnsi="仿宋_GB2312" w:cs="仿宋_GB2312" w:eastAsia="仿宋_GB2312"/>
              </w:rPr>
              <w:t>(二)严格标准，普调结合。贯彻执行国家和省级相关标准、技术规程和规范，建立区文化旅游资源数据库。坚持普查与调查、传统手段与数字科技相结合，对部门管理的资源采取调查方式，对各县(区)资源采取现场普查方式，做到“能普尽普、应普尽普”</w:t>
            </w:r>
          </w:p>
          <w:p>
            <w:pPr>
              <w:pStyle w:val="null3"/>
            </w:pPr>
            <w:r>
              <w:rPr>
                <w:rFonts w:ascii="仿宋_GB2312" w:hAnsi="仿宋_GB2312" w:cs="仿宋_GB2312" w:eastAsia="仿宋_GB2312"/>
              </w:rPr>
              <w:t>(三)全面动员，凝聚合力。广泛动员全民参与普查工作，坚持统筹协调，注重行政和技术结合，地方与行业结合：群众参与和专业调查结合，存量发掘与增量发现结合，凝聚各方合力共同做好资源普查工作。</w:t>
            </w:r>
          </w:p>
          <w:p>
            <w:pPr>
              <w:pStyle w:val="null3"/>
            </w:pPr>
            <w:r>
              <w:rPr>
                <w:rFonts w:ascii="仿宋_GB2312" w:hAnsi="仿宋_GB2312" w:cs="仿宋_GB2312" w:eastAsia="仿宋_GB2312"/>
              </w:rPr>
              <w:t>四、普查主要任务</w:t>
            </w:r>
          </w:p>
          <w:p>
            <w:pPr>
              <w:pStyle w:val="null3"/>
            </w:pPr>
            <w:r>
              <w:rPr>
                <w:rFonts w:ascii="仿宋_GB2312" w:hAnsi="仿宋_GB2312" w:cs="仿宋_GB2312" w:eastAsia="仿宋_GB2312"/>
              </w:rPr>
              <w:t>(一)依据文化和旅游部有关标准、《旅游资源分类、调查与评价》(GB/T18972-2017)《陕西省文化和旅游资源普查标准体系》和其他相关技术标准;做好旅游资源普查标准解读和宣贯工作。</w:t>
            </w:r>
          </w:p>
          <w:p>
            <w:pPr>
              <w:pStyle w:val="null3"/>
            </w:pPr>
            <w:r>
              <w:rPr>
                <w:rFonts w:ascii="仿宋_GB2312" w:hAnsi="仿宋_GB2312" w:cs="仿宋_GB2312" w:eastAsia="仿宋_GB2312"/>
              </w:rPr>
              <w:t>(二)对普查人员进行全面培训。指导普查工作者全面掌握文化和旅游资源普查的顶层设计、技术要求、成果编制审查流程等。</w:t>
            </w:r>
          </w:p>
          <w:p>
            <w:pPr>
              <w:pStyle w:val="null3"/>
            </w:pPr>
            <w:r>
              <w:rPr>
                <w:rFonts w:ascii="仿宋_GB2312" w:hAnsi="仿宋_GB2312" w:cs="仿宋_GB2312" w:eastAsia="仿宋_GB2312"/>
              </w:rPr>
              <w:t>(三)系统收集整理与文化和旅游相关的分布于各级名部门的各种资料和研究成果，并进行分析、识别、归类。制定本次普查工作中形成的文件材料归档范围和档案管理办法，做好普查文件材料的收集、归档和管理工作。</w:t>
            </w:r>
          </w:p>
          <w:p>
            <w:pPr>
              <w:pStyle w:val="null3"/>
            </w:pPr>
            <w:r>
              <w:rPr>
                <w:rFonts w:ascii="仿宋_GB2312" w:hAnsi="仿宋_GB2312" w:cs="仿宋_GB2312" w:eastAsia="仿宋_GB2312"/>
              </w:rPr>
              <w:t>(四)实地开展区文化和旅游资源普查工作，力争新发现一批优质资源。</w:t>
            </w:r>
          </w:p>
          <w:p>
            <w:pPr>
              <w:pStyle w:val="null3"/>
            </w:pPr>
            <w:r>
              <w:rPr>
                <w:rFonts w:ascii="仿宋_GB2312" w:hAnsi="仿宋_GB2312" w:cs="仿宋_GB2312" w:eastAsia="仿宋_GB2312"/>
              </w:rPr>
              <w:t>(五)按照有关标准对各类文化和旅游资源进行客观评价、归类分级。</w:t>
            </w:r>
          </w:p>
          <w:p>
            <w:pPr>
              <w:pStyle w:val="null3"/>
            </w:pPr>
            <w:r>
              <w:rPr>
                <w:rFonts w:ascii="仿宋_GB2312" w:hAnsi="仿宋_GB2312" w:cs="仿宋_GB2312" w:eastAsia="仿宋_GB2312"/>
              </w:rPr>
              <w:t>(六)依托陕西省文化和旅游资源信息管理平台，建立区文化和旅游资源数据库，形成系列文化和旅游资源调查图集、报告，并逐级汇总，形成文化和旅游资源普查成果。</w:t>
            </w:r>
          </w:p>
          <w:p>
            <w:pPr>
              <w:pStyle w:val="null3"/>
            </w:pPr>
            <w:r>
              <w:rPr>
                <w:rFonts w:ascii="仿宋_GB2312" w:hAnsi="仿宋_GB2312" w:cs="仿宋_GB2312" w:eastAsia="仿宋_GB2312"/>
              </w:rPr>
              <w:t>五、成果要求</w:t>
            </w:r>
          </w:p>
          <w:p>
            <w:pPr>
              <w:pStyle w:val="null3"/>
            </w:pPr>
            <w:r>
              <w:rPr>
                <w:rFonts w:ascii="仿宋_GB2312" w:hAnsi="仿宋_GB2312" w:cs="仿宋_GB2312" w:eastAsia="仿宋_GB2312"/>
              </w:rPr>
              <w:t>普查成果按照印台区层级编制、发布，各层级都包含文字成果、图件成果、陕西省文化和旅游资源信息管理平台成果三个部分。</w:t>
            </w:r>
          </w:p>
          <w:p>
            <w:pPr>
              <w:pStyle w:val="null3"/>
            </w:pPr>
            <w:r>
              <w:rPr>
                <w:rFonts w:ascii="仿宋_GB2312" w:hAnsi="仿宋_GB2312" w:cs="仿宋_GB2312" w:eastAsia="仿宋_GB2312"/>
              </w:rPr>
              <w:t>完成旅游资源各类普查表填报工作，编制《</w:t>
            </w:r>
            <w:r>
              <w:rPr>
                <w:rFonts w:ascii="仿宋_GB2312" w:hAnsi="仿宋_GB2312" w:cs="仿宋_GB2312" w:eastAsia="仿宋_GB2312"/>
              </w:rPr>
              <w:t>XX县(区)文化和旅游资源普查技术方案》、《XX县(区)文化和旅游资源普查报告(含附图和资源名录)》、《填报陕西省文化和旅游资源信息管理平台》、《XX县(区)文化和旅游资源普查工作总结》等。</w:t>
            </w:r>
          </w:p>
          <w:p>
            <w:pPr>
              <w:pStyle w:val="null3"/>
            </w:pPr>
            <w:r>
              <w:rPr>
                <w:rFonts w:ascii="仿宋_GB2312" w:hAnsi="仿宋_GB2312" w:cs="仿宋_GB2312" w:eastAsia="仿宋_GB2312"/>
              </w:rPr>
              <w:t>（</w:t>
            </w:r>
            <w:r>
              <w:rPr>
                <w:rFonts w:ascii="仿宋_GB2312" w:hAnsi="仿宋_GB2312" w:cs="仿宋_GB2312" w:eastAsia="仿宋_GB2312"/>
              </w:rPr>
              <w:t>1）电子版成果：提供完整电子版成果1套，存储于专用U盘（U盘需标注</w:t>
            </w:r>
            <w:r>
              <w:rPr>
                <w:rFonts w:ascii="仿宋_GB2312" w:hAnsi="仿宋_GB2312" w:cs="仿宋_GB2312" w:eastAsia="仿宋_GB2312"/>
              </w:rPr>
              <w:t>资料</w:t>
            </w:r>
            <w:r>
              <w:rPr>
                <w:rFonts w:ascii="仿宋_GB2312" w:hAnsi="仿宋_GB2312" w:cs="仿宋_GB2312" w:eastAsia="仿宋_GB2312"/>
              </w:rPr>
              <w:t>名称及编制单位）。电子版内容包括</w:t>
            </w:r>
            <w:r>
              <w:rPr>
                <w:rFonts w:ascii="仿宋_GB2312" w:hAnsi="仿宋_GB2312" w:cs="仿宋_GB2312" w:eastAsia="仿宋_GB2312"/>
              </w:rPr>
              <w:t>Word格式和PDF格式各1份、相关配套材料等。所有电子版文件需按规范分类命名，建立清晰的文件夹目录结构，便于查阅和使用。</w:t>
            </w:r>
          </w:p>
          <w:p>
            <w:pPr>
              <w:pStyle w:val="null3"/>
            </w:pPr>
            <w:r>
              <w:rPr>
                <w:rFonts w:ascii="仿宋_GB2312" w:hAnsi="仿宋_GB2312" w:cs="仿宋_GB2312" w:eastAsia="仿宋_GB2312"/>
              </w:rPr>
              <w:t>（</w:t>
            </w:r>
            <w:r>
              <w:rPr>
                <w:rFonts w:ascii="仿宋_GB2312" w:hAnsi="仿宋_GB2312" w:cs="仿宋_GB2312" w:eastAsia="仿宋_GB2312"/>
              </w:rPr>
              <w:t>2）纸质版成果：纸质版需采用A4规格纸张，内页采用优质打印纸双面印刷，排版规范、字迹清晰、装订牢固。同时，需随纸质版成果附上电子版成果U盘，一并提交至采购人指定接收部门。</w:t>
            </w:r>
          </w:p>
          <w:p>
            <w:pPr>
              <w:pStyle w:val="null3"/>
            </w:pPr>
            <w:r>
              <w:rPr>
                <w:rFonts w:ascii="仿宋_GB2312" w:hAnsi="仿宋_GB2312" w:cs="仿宋_GB2312" w:eastAsia="仿宋_GB2312"/>
              </w:rPr>
              <w:t>六、验收条件</w:t>
            </w:r>
          </w:p>
          <w:p>
            <w:pPr>
              <w:pStyle w:val="null3"/>
              <w:ind w:firstLine="402"/>
              <w:jc w:val="both"/>
            </w:pPr>
            <w:r>
              <w:rPr>
                <w:rFonts w:ascii="仿宋_GB2312" w:hAnsi="仿宋_GB2312" w:cs="仿宋_GB2312" w:eastAsia="仿宋_GB2312"/>
                <w:sz w:val="21"/>
              </w:rPr>
              <w:t>通过陕西省文化和旅游资源信息管理平台对应的县、市、省逐级审核。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人员配置达到完全满足本项目相关需求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设施设备达到完全满足本项目相关需求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铜川市印台区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供应商完成全部普查工作并提交最终成果，经采购人验收合格后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本项目《中小企业声明函》须逐项完整响应；若存在缺项响应，或声明函所列任一服务非由中小企业服务，则供应商在本项目中无权享受中小企业扶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 年、2024 年、2025 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 2025 年 8 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具备乙级以上（含乙级）测绘资质，提供有效期内证书；供应商需在项目电子化交易系统中按要求上传相应证明文件并进行电子签章。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 年、2024 年、2025 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 2025 年 8 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w:t>
            </w:r>
          </w:p>
        </w:tc>
        <w:tc>
          <w:tcPr>
            <w:tcW w:type="dxa" w:w="3322"/>
          </w:tcPr>
          <w:p>
            <w:pPr>
              <w:pStyle w:val="null3"/>
            </w:pPr>
            <w:r>
              <w:rPr>
                <w:rFonts w:ascii="仿宋_GB2312" w:hAnsi="仿宋_GB2312" w:cs="仿宋_GB2312" w:eastAsia="仿宋_GB2312"/>
              </w:rPr>
              <w:t>提供2025年8月1日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依法缴纳社会保障资金</w:t>
            </w:r>
          </w:p>
        </w:tc>
        <w:tc>
          <w:tcPr>
            <w:tcW w:type="dxa" w:w="3322"/>
          </w:tcPr>
          <w:p>
            <w:pPr>
              <w:pStyle w:val="null3"/>
            </w:pPr>
            <w:r>
              <w:rPr>
                <w:rFonts w:ascii="仿宋_GB2312" w:hAnsi="仿宋_GB2312" w:cs="仿宋_GB2312" w:eastAsia="仿宋_GB2312"/>
              </w:rPr>
              <w:t>提供2025年8月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提供具有履行合同所必需的设备和专业技术能力的书面声明；供应商需在项目电子化交易系统中按要求上传相应书面声明并进行电子签章。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提供参加本次政府采购活动前3年内在经营活动中没有重大违法记录或被起诉的书面声明；供应商需在项目电子化交易系统中按要求上传相应书面声明并进行电子签章。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磋商的，须出具法定代表人（负责人）身份证明及身份证复印件，并与营业执照上信息一致；法定代表人（负责人）授权代表参加磋商的，须出具法定代表人（负责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供应商应提交的相关资格证明材料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无关联</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提供单位负责人为同一人或者存在直接控股、管理关系的不同供应商，不得参加同一合同项下的政府采购活动的书面声明；供应商需在项目电子化交易系统中按要求上传相应书面声明并进行电子签章。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提供非联合体磋商的承诺书；供应商需在项目电子化交易系统中按要求上传相应承诺书并进行电子签章。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法定代表人授权书.docx 响应文件封面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供应商必须按照磋商文件的规定和要求在响应文件中指定的页面落款处加盖公章并由负责人或被授权人签名（或盖章），其余页面逐页盖公章，否则将作为无效协商响应处理。 响应文件封面 服务内容及服务邀请应答表 中小企业声明函 残疾人福利性单位声明函 商务应答表 服务方案 供应商应提交的相关资格证明材料 标的清单 报价表 响应函 监狱企业的证明文件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法定代表人授权书.docx 响应文件封面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响应文件报价未超过最高限价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必须满足磋商文件要求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自首次递交响应文件之日起90日历日</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B、供应商未经过正常渠道领取磋商文件，或供应商名称与领取磋商文件时登记的供应商名称不符的； C、无磋商有效期或有效期达不到磋商文件要求的； D、供应商针对同一项目递交两份或多份内容不同的响应文件，未书面声明哪一份是有效的或出现选择性报价的； E、提供虚假资料；提供虚假资质、虚假技术指标证明材料、虚假证明（包括第三方提供的虚假证明）；出现虚假应答、承诺、声明的；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J、谈判报价与市场价格偏离较大、低于成本、形成不正当竞争的； K、报价子目出现漏项或报价与要求不符的； L、供应商响应的采购范围及采购内容与磋商文件要求出现重大负偏差的； M、实质性内容不满足、未完全未响应磋商要求或擅自改动工程量清单的； N、供应商有串通参与磋商、行贿等违法行为的；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法定代表人授权书.docx 响应文件封面 供应商同类项目业绩一览表.docx 残疾人福利性单位声明函 服务方案 标的清单 法定代表人证明书.docx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一、评审内容（每项计4分，未提供不计分） 1、服务内容：明确服务覆盖范围、基本思路和规划编制框架、各环节交付成果及服务周期内的关键时间节点； 2、服务标准：制定各服务环节的质量指标、服务时限要求； 3、人员组织安排：制定项目团队完整配置、岗位职责分工及人员稳定性保障措施。 二、扣分规则（累计扣分不超过对应评审内容分值，四项内容总扣分无上限，扣完对应分项分值即止） 1、任意一项未明确核心要素（如服务内容未列具体范围），扣0.5分/缺失项； 2、任意一项内容与采购需求明显冲突（如遗漏磋商明确要求的服务环节、服务标准低于最低要求），扣0.5分/冲突处； 3、存在无法落地的表述（如实施周期短于必要工作时长），扣1分/处； 4、任意一项实施步骤缺失关键环节（如服务方法未含核心实施流程、验收方案未列初验环节），扣0.5分/缺失环节。</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实地普查实施</w:t>
            </w:r>
          </w:p>
        </w:tc>
        <w:tc>
          <w:tcPr>
            <w:tcW w:type="dxa" w:w="2492"/>
          </w:tcPr>
          <w:p>
            <w:pPr>
              <w:pStyle w:val="null3"/>
            </w:pPr>
            <w:r>
              <w:rPr>
                <w:rFonts w:ascii="仿宋_GB2312" w:hAnsi="仿宋_GB2312" w:cs="仿宋_GB2312" w:eastAsia="仿宋_GB2312"/>
              </w:rPr>
              <w:t>一、评审内容（总分5分） 根据本项目采购需求编制结合本区域文旅资源实际，编制实地普查专项实施开展方案。 二、扣分规则（累计扣分不超过对应评审内容分值，总扣分无上限，扣完对应分项分值即止） 1、未说明项目实施的意义与价值（如对实地普查对象、社会的价值），扣1分； 2、内容不贴合，泛泛而谈，扣1分； 3、对项目理解的描述停留在行业通用层面，未结合本项目所在地区、服务群体，扣1分； 4、内容结构混乱、表述模糊，评审人员无法准确获取供应商核心理解观点（如段落不分、关键信息掩埋在冗余文字中），扣1分。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一、评审内容（每项计3分，未提供不计分） 1、前期准备：对资料收集、需求对接、团队组建及工作方案制定等前期工作的规划方案； 2、报告编制：报告框架设计、内容撰写规范性、数据/论据支撑有效性、符合项目要求的专业性及编制效率保障措施； 3、报告审核、修改：审核流程设计、修改响应及时性； 4、定稿上报：定稿校验流程、上报资料完整性、上报时限把控、对接沟通机制及后续资料归档管理措施。 二、扣分规则（累计扣分不超过对应评审内容分值，四项内容总扣分无上限，扣完对应分项分值即止） 1、任意一项对各要求无详细描述及说明（仅简单提及工作内容，未明确核心要素，如前期准备未说明调研范围、报告编制未说明框架结构），扣0.5分/处； 2、关键实施细节缺失（如审核修改未说明、定稿上报未说明归档范围），扣0.5分/处； 3、未提供核心实施依据或保障措施（如编制无质量标准、修改无响应时限），扣2分； 4、核心内容与项目实际需求冲突（如报告编制框架不符合指定规范、审核标准低于行业最低要求），扣1分/处； 5、任意一项实施步骤不清晰、不合理（如报告编制未含初稿撰写环节、审核修改未含复核流程），扣1分/处。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一、评审内容（每项计3分，未提供不计分） 1、编制进度安排及保障措施：明确项目编制全流程的阶段划分、各阶段关键任务、时间节点规划； 2、突发情况的应急措施：梳理项目编制过程中可能出现的突发场景（如核心人员变动、资料获取受阻、政策调整等），针对不同场景制定具体应急处置流程、责任分工、响应时限及后续补救措施，确保项目编制工作顺利推进。 二、扣分规则（累计扣分不超过对应评审内容分值，两项内容总扣分无上限，扣完对应分项分值即止） 1、任意一项对核心要求无详细描述及说明（如进度安排未明确各阶段时间节点、应急措施未细化处置流程），扣0.5分/缺失要点； 2、若仅简单提及框架未展开任何具体内容，每出现1项扣1分； 3、存在明显脱离项目实际的表述（如保障措施适配其他类型项目而非本编制项目），扣1分/处； 4、任意一项实施步骤不清晰、不合理（如进度安排阶段划分混乱、应急措施处置流程逻辑矛盾），扣0.5分/问题处； 5、存在实施漏洞（如进度保障无跟踪机制、应急措施无责任分工）导致无法有效落地，扣1分/处。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一、评审内容（每项计3分，未提供不计分） 1、质量规划、目标：明确项目各阶段质量重点、节点；说明确保规划与目标具有针对性和可实现性； 2、保障措施：围绕设定的质量目标，列明全流程质量保障手段，包括但不限于过程管控流程、确保各环节质量可控； 3、未达到质量标准的改进措施：建立完善的质量反馈机制，制定具体的整改流程、整改时限。 二、扣分规则（累计扣分不超过对应评审内容分值，三项内容总扣分无上限，扣完对应分项分值即止） 1、任意一项对核心要求无详细描述及说明（如保障措施未明确具体管控流程、改进措施未细化整改步骤），扣0.5分/缺失要点； 2、若仅简单提及框架未展开任何具体内容，每出现1项扣1分；本项累计扣分最高不超过2分； 3、存在明显脱离项目实际的表述（如设定的质量目标远超行业常规水平且无合理依据），扣1分/处；本项累计扣分最高不超过2分； 4、存在实施漏洞（如保障措施无质量检查标准、改进措施无复核验证环节）导致无法有效落地，扣1分/处；本项累计扣分最高不超过2分。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一、评审内容（每项计3分，未提供不计分） 1、针对本项目获悉的采购人相关信息制定完整可行的保密措施：明确本项目中可能接触到的采购人信息范围（如工作秘密、内部数据等），列明保密责任分工、制定覆盖信息获取、存储、使用、传输全流程的专项保密措施； 2、具备完善的内部保密制度：提供健全的内部保密管理制度文本（或核心条款说明），内容涵盖保密管理组织架构、人员保密培训机制、保密风险排查流程及应急处置预案等；需证明制度可有效支撑本项目保密工作开展，具备实际执行性。 二、扣分规则（累计扣分不超过对应评审内容分值，两项内容总扣分无上限，扣完对应分项分值即止） 1、任意一项对核心要求无详细描述及说明（如专项保密措施未明确信息全流程管控细节、内部保密制度未列明核心管理条款），扣0.5分/缺失要点； 2、若仅简单提及框架未展开任何具体内容（如仅说明“有保密措施”但未描述具体内容），每出现1项扣1分；本项累计扣分最高不超过2分； 3、存在明显脱离项目实际的表述（如针对涉密信息仅制定常规信息管理措施），扣1分/处；本项累计扣分最高不超过2分。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成果交付资料</w:t>
            </w:r>
          </w:p>
        </w:tc>
        <w:tc>
          <w:tcPr>
            <w:tcW w:type="dxa" w:w="2492"/>
          </w:tcPr>
          <w:p>
            <w:pPr>
              <w:pStyle w:val="null3"/>
            </w:pPr>
            <w:r>
              <w:rPr>
                <w:rFonts w:ascii="仿宋_GB2312" w:hAnsi="仿宋_GB2312" w:cs="仿宋_GB2312" w:eastAsia="仿宋_GB2312"/>
              </w:rPr>
              <w:t>一、评审内容（每项计3分，未提供不计分） 1、成果交付资料真实、有效、切实可实施：明确本项目核心成果交付资料的完整清单，确保资料有效性的合规依据（如符合行业标准、采购人要求）； 2、若未达到采购人标准，提供具体的挽救措施：预先明确成果质量的判定基准（与采购人标准保持一致）；针对可能出现的未达标准的不同场景（如资料完整性缺失、内容不符合要求、可实施性不足等），制定分层分类的挽救措施，明确各措施的实施主体、操作步骤、整改时限确保挽救后成果可满足采购人要求。 二、扣分规则（累计扣分不超过对应评审内容分值，两项内容总扣分无上限，扣完对应分项分值即止） 1、任意一项对核心要求无详细描述及说明（如未列明成果交付资料完整清单、未说明资料真实性验证方式、挽救措施未区分具体未达标场景），扣0.5分/缺失要点； 2、任意一项内容与项目实际情况不符（如成果交付资料清单遗漏核心文件、挽救措施不适配本项目成果类型），扣0.5分/不符处； 3、任意一项实施步骤不清晰、不合理（如资料真实性验证流程逻辑混乱、挽救措施操作步骤模糊、未明确整改时限与责任主体），扣0.5分/问题处。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一、评审内容（总分15分） 1、团队基础配置（4分）：项目团队成员不少于6人，提供符合要求的人员基础信息（含身份证复印件，加盖公章），经评审确认满足人数要求的计4分；人数不足或未提供基础信息的不计分。 2、团队专业资质（6分）：基础资质达标计4分，在此基础上额外加分，最高累计得4分。 具体要求如下：① 基础资质：需满足2人具有相关专业中级及以上职称，提供对应人员的职称证书、身份证复印件（均加盖公章），全部达标计4分；任意一项基础要求未满足的本项基础分不计分；② 额外加分：在基础资质达标的前提下，每增加1名具有相关专业中级及以上职称的团队成员，计1分，本项额外加分最高计2分。（本项同一成员不重复计分） 3、团队实操经验（3分）：项目团队成员具备丰富的相关项目实操经验，提供团队成员的工作履历（含项目经历、岗位职责等关键信息）等证明材料（加盖公章）。证明资料完整有效的，计3分；未提供证明材料、资料不齐全的，本项均不得分。 4、人员稳定保障（2分）：提供书面承诺，明确若成交，服务团队人员不得随意更换；若因不可抗力因素确需更换，须至少提前7个工作日以书面形式通知采购人，并同步上报拟更换人员的完整个人资料，经采购人审核同意后方可更换。提供符合上述要求的承诺函（加盖公章），计2分；未提供的不计分。 二、扣分规则(累计扣分不超过对应分项分值，总扣分无上限，扣完对应分项分值即止） 1、针对需补充说明的评审内容（如团队经验证明材料中未详细列明项目经历、拟更换人员资料上报范围未明确），未按要求提供详细描述及说明的，扣0.5分/处； 2、提交的团队相关内容与项目实际情况不符（如人员职称专业与本项目核心需求不匹配、工作履历中项目经验与本项目类型差异较大），经评审确认存在不符情形的，扣0.5分/处； 3、针对人员更换等需明确操作流程的内容，未清晰列明实施步骤或步骤设计不合理（如未明确书面通知的具体形式、未说明采购人审核的核心流程），扣0.5分/处。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评审内容：（每提供一份计2分，最高得8分，未提供不计分） 供应商从2022年1月1日以来已完成同类项目业绩（以合同签订日期为准）。 注：响应文件需要同时提供合同首页、服务内容页、盖章页复印件并加盖供应商公章，时间以合同签订时间为准，否则不得分。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评审内容：（每项计2分，本项最高计4分，未提供不计分） 1、承诺配合相关验收工作，达到有关主管部门审批要求，负责配合采购人将成果上报有关主管部门并获得批准通过。 2、承诺服务成果的相关资料知识产权归采购人所有。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评审内容：（提供一项计2分，未提供不计分） 提供针对本项目实施合理化建议，提供科学、有实际实用价值的建议。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磋商报价得分=（评标基准价/磋商报价）×价格权值×100计算分数时四舍五入取小数点后两位。注：供应商报价明显低于其他实质性响应的供应商报价，有可能影响不能诚信履约的，提交相关证明材料。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