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版本号：QH2026-CS-05220260902002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尚村镇钟徐村粮食生产路硬化项目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QH2026-CS-052</w:t>
      </w:r>
      <w:r>
        <w:br/>
      </w:r>
      <w:r>
        <w:br/>
      </w:r>
      <w:r>
        <w:br/>
      </w:r>
    </w:p>
    <w:p>
      <w:pPr>
        <w:pStyle w:val="null3"/>
        <w:jc w:val="center"/>
        <w:outlineLvl w:val="2"/>
      </w:pPr>
      <w:r>
        <w:rPr>
          <w:rFonts w:ascii="仿宋_GB2312" w:hAnsi="仿宋_GB2312" w:cs="仿宋_GB2312" w:eastAsia="仿宋_GB2312"/>
          <w:sz w:val="28"/>
          <w:b/>
        </w:rPr>
        <w:t>周至县尚村镇人民政府（本级）</w:t>
      </w:r>
    </w:p>
    <w:p>
      <w:pPr>
        <w:pStyle w:val="null3"/>
        <w:jc w:val="center"/>
        <w:outlineLvl w:val="2"/>
      </w:pPr>
      <w:r>
        <w:rPr>
          <w:rFonts w:ascii="仿宋_GB2312" w:hAnsi="仿宋_GB2312" w:cs="仿宋_GB2312" w:eastAsia="仿宋_GB2312"/>
          <w:sz w:val="28"/>
          <w:b/>
        </w:rPr>
        <w:t>陕西启航项目管理咨询有限公司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陕西启航项目管理咨询有限公司</w:t>
      </w:r>
      <w:r>
        <w:rPr>
          <w:rFonts w:ascii="仿宋_GB2312" w:hAnsi="仿宋_GB2312" w:cs="仿宋_GB2312" w:eastAsia="仿宋_GB2312"/>
        </w:rPr>
        <w:t>（以下简称“代理机构”）受</w:t>
      </w:r>
      <w:r>
        <w:rPr>
          <w:rFonts w:ascii="仿宋_GB2312" w:hAnsi="仿宋_GB2312" w:cs="仿宋_GB2312" w:eastAsia="仿宋_GB2312"/>
        </w:rPr>
        <w:t>周至县尚村镇人民政府（本级）</w:t>
      </w:r>
      <w:r>
        <w:rPr>
          <w:rFonts w:ascii="仿宋_GB2312" w:hAnsi="仿宋_GB2312" w:cs="仿宋_GB2312" w:eastAsia="仿宋_GB2312"/>
        </w:rPr>
        <w:t>委托，拟对</w:t>
      </w:r>
      <w:r>
        <w:rPr>
          <w:rFonts w:ascii="仿宋_GB2312" w:hAnsi="仿宋_GB2312" w:cs="仿宋_GB2312" w:eastAsia="仿宋_GB2312"/>
        </w:rPr>
        <w:t>尚村镇钟徐村粮食生产路硬化项目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QH2026-CS-052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尚村镇钟徐村粮食生产路硬化项目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尚村镇钟徐村粮食生产路硬化项目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采购包1（尚村镇钟徐村粮食生产路硬化项目）：属于专门面向中小企业采购。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状况：提供递交投标⽂件截⽌之⽇前两年内任意⼀个年度经审计的财务报告（包括“四表⼀注”，即资产负债表、利润表、现⾦流量表、所有者权益变动表及其附注，符合《中⼩企业划型标准规定》的⼩型企业按照《⼩企业会计准则》执⾏。成⽴时间⾄提交投标⽂件截⽌时间不⾜⼀年的可提供成⽴后任意时段的资产负债表），审计报告须具有注册会计师⾏业统⼀监管平台（http://acc.mof.gov.cn）赋予的验证码；或提供其开标前三个⽉内基本开⼾银⾏出具的资信证明；</w:t>
      </w:r>
    </w:p>
    <w:p>
      <w:pPr>
        <w:pStyle w:val="null3"/>
      </w:pPr>
      <w:r>
        <w:rPr>
          <w:rFonts w:ascii="仿宋_GB2312" w:hAnsi="仿宋_GB2312" w:cs="仿宋_GB2312" w:eastAsia="仿宋_GB2312"/>
        </w:rPr>
        <w:t>4、税收缴纳证明：提供投标截⽌⽇前近⼀年内⾄少⼀个⽉的纳税证明或完税证明，依法免税的单位应提供相关证明材料；</w:t>
      </w:r>
    </w:p>
    <w:p>
      <w:pPr>
        <w:pStyle w:val="null3"/>
      </w:pPr>
      <w:r>
        <w:rPr>
          <w:rFonts w:ascii="仿宋_GB2312" w:hAnsi="仿宋_GB2312" w:cs="仿宋_GB2312" w:eastAsia="仿宋_GB2312"/>
        </w:rPr>
        <w:t>5、社会保障资金缴纳证明：提供投标截⽌⽇前近⼀年内⾄少⼀个⽉的社会保障资⾦缴存单据或社保机构开具的社会保险参保缴费情况证明，依法不需要缴纳社会保障资⾦的单位应提供相关证明材料；</w:t>
      </w:r>
    </w:p>
    <w:p>
      <w:pPr>
        <w:pStyle w:val="null3"/>
      </w:pPr>
      <w:r>
        <w:rPr>
          <w:rFonts w:ascii="仿宋_GB2312" w:hAnsi="仿宋_GB2312" w:cs="仿宋_GB2312" w:eastAsia="仿宋_GB2312"/>
        </w:rPr>
        <w:t>6、专业技术能力承诺书：提供具有履行本合同所必需的设备和专业技术能力的说明及承诺书；</w:t>
      </w:r>
    </w:p>
    <w:p>
      <w:pPr>
        <w:pStyle w:val="null3"/>
      </w:pPr>
      <w:r>
        <w:rPr>
          <w:rFonts w:ascii="仿宋_GB2312" w:hAnsi="仿宋_GB2312" w:cs="仿宋_GB2312" w:eastAsia="仿宋_GB2312"/>
        </w:rPr>
        <w:t>7、信用查询：提供《供应商信⽤记录书⾯声明函》供应商未被列⼊“信⽤中国”⽹站记录的“失信被执⼈”或“重⼤税收违法案件当事⼈”名单；不处于“中国政府采购⽹”记录的“政府采购严重违法失信⾏为信息记录名单”中的禁⽌参加政府采购活动期间；</w:t>
      </w:r>
    </w:p>
    <w:p>
      <w:pPr>
        <w:pStyle w:val="null3"/>
      </w:pPr>
      <w:r>
        <w:rPr>
          <w:rFonts w:ascii="仿宋_GB2312" w:hAnsi="仿宋_GB2312" w:cs="仿宋_GB2312" w:eastAsia="仿宋_GB2312"/>
        </w:rPr>
        <w:t>8、重大违法记录的书面声明：参加政府采购活动前3年内，在经营活动中没有重大违法记录的书面声明；</w:t>
      </w:r>
    </w:p>
    <w:p>
      <w:pPr>
        <w:pStyle w:val="null3"/>
      </w:pPr>
      <w:r>
        <w:rPr>
          <w:rFonts w:ascii="仿宋_GB2312" w:hAnsi="仿宋_GB2312" w:cs="仿宋_GB2312" w:eastAsia="仿宋_GB2312"/>
        </w:rPr>
        <w:t>9、供应商资质：具备建设行政部门颁发的市政公用工程施工总承包三级及以上资质，且具有有效的安全生产许可证；</w:t>
      </w:r>
    </w:p>
    <w:p>
      <w:pPr>
        <w:pStyle w:val="null3"/>
      </w:pPr>
      <w:r>
        <w:rPr>
          <w:rFonts w:ascii="仿宋_GB2312" w:hAnsi="仿宋_GB2312" w:cs="仿宋_GB2312" w:eastAsia="仿宋_GB2312"/>
        </w:rPr>
        <w:t>10、项目经理资质：拟派项目经理须具有市政公用工程专业二级及以上注册建造师资质并具有安全生产考核合格证，在本单位注册且无在建工程（提供无在建承诺书）；</w:t>
      </w:r>
    </w:p>
    <w:p>
      <w:pPr>
        <w:pStyle w:val="null3"/>
      </w:pPr>
      <w:r>
        <w:rPr>
          <w:rFonts w:ascii="仿宋_GB2312" w:hAnsi="仿宋_GB2312" w:cs="仿宋_GB2312" w:eastAsia="仿宋_GB2312"/>
        </w:rPr>
        <w:t>11、中小企业声明函：需提供中小企业声明函；</w:t>
      </w:r>
    </w:p>
    <w:p>
      <w:pPr>
        <w:pStyle w:val="null3"/>
      </w:pPr>
      <w:r>
        <w:rPr>
          <w:rFonts w:ascii="仿宋_GB2312" w:hAnsi="仿宋_GB2312" w:cs="仿宋_GB2312" w:eastAsia="仿宋_GB2312"/>
        </w:rPr>
        <w:t>12、控股和管理关系承诺：提供直接控股和管理关系清单。若与其他供应商存在单位负责⼈为同⼀⼈或者存在直接控股、管理关系的，则投标⽆效；</w:t>
      </w:r>
    </w:p>
    <w:p>
      <w:pPr>
        <w:pStyle w:val="null3"/>
      </w:pPr>
      <w:r>
        <w:rPr>
          <w:rFonts w:ascii="仿宋_GB2312" w:hAnsi="仿宋_GB2312" w:cs="仿宋_GB2312" w:eastAsia="仿宋_GB2312"/>
        </w:rPr>
        <w:t>13、不接受联合体投标：本项⽬不接受联合体投标（提供承诺书）。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周至县尚村镇人民政府（本级）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西安市周至县尚村镇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高群亚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15209209616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陕西启航项目管理咨询有限公司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陕西省西安市碑林区环城南路140号含光大厦4层01室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高俊峰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19993561664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采购包1：1,683,414.00元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 [2002]1980号）和国家发展和改革委员会办公厅颁发的《关于招标代理服务收费有关问题的通知》（发改办价格[2003]857号）的有关规定执行。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周至县尚村镇人民政府（本级）</w:t>
      </w:r>
      <w:r>
        <w:rPr>
          <w:rFonts w:ascii="仿宋_GB2312" w:hAnsi="仿宋_GB2312" w:cs="仿宋_GB2312" w:eastAsia="仿宋_GB2312"/>
        </w:rPr>
        <w:t>和</w:t>
      </w:r>
      <w:r>
        <w:rPr>
          <w:rFonts w:ascii="仿宋_GB2312" w:hAnsi="仿宋_GB2312" w:cs="仿宋_GB2312" w:eastAsia="仿宋_GB2312"/>
        </w:rPr>
        <w:t>陕西启航项目管理咨询有限公司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周至县尚村镇人民政府（本级）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陕西启航项目管理咨询有限公司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周至县尚村镇人民政府（本级）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陕西启航项目管理咨询有限公司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联系人：高俊峰</w:t>
      </w:r>
    </w:p>
    <w:p>
      <w:pPr>
        <w:pStyle w:val="null3"/>
      </w:pPr>
      <w:r>
        <w:rPr>
          <w:rFonts w:ascii="仿宋_GB2312" w:hAnsi="仿宋_GB2312" w:cs="仿宋_GB2312" w:eastAsia="仿宋_GB2312"/>
        </w:rPr>
        <w:t>联系电话：19993561664</w:t>
      </w:r>
    </w:p>
    <w:p>
      <w:pPr>
        <w:pStyle w:val="null3"/>
      </w:pPr>
      <w:r>
        <w:rPr>
          <w:rFonts w:ascii="仿宋_GB2312" w:hAnsi="仿宋_GB2312" w:cs="仿宋_GB2312" w:eastAsia="仿宋_GB2312"/>
        </w:rPr>
        <w:t>地址：陕西省西安市碑林区环城南路140号含光大厦4层01室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1,683,414.00</w:t>
      </w:r>
    </w:p>
    <w:p>
      <w:pPr>
        <w:pStyle w:val="null3"/>
      </w:pPr>
      <w:r>
        <w:rPr>
          <w:rFonts w:ascii="仿宋_GB2312" w:hAnsi="仿宋_GB2312" w:cs="仿宋_GB2312" w:eastAsia="仿宋_GB2312"/>
        </w:rPr>
        <w:t>采购包最高限价（元）: 1,683,414.00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尚村镇钟徐村粮食生产路硬化项目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1,683,414.00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标的名称：尚村镇钟徐村粮食生产路硬化项目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1、施工范围:工程量清单及施工图纸全部内容</w:t>
            </w:r>
            <w:r>
              <w:br/>
            </w:r>
            <w:r>
              <w:rPr>
                <w:rFonts w:ascii="仿宋_GB2312" w:hAnsi="仿宋_GB2312" w:cs="仿宋_GB2312" w:eastAsia="仿宋_GB2312"/>
              </w:rPr>
              <w:t xml:space="preserve"> </w:t>
            </w:r>
            <w:r>
              <w:rPr>
                <w:rFonts w:ascii="仿宋_GB2312" w:hAnsi="仿宋_GB2312" w:cs="仿宋_GB2312" w:eastAsia="仿宋_GB2312"/>
              </w:rPr>
              <w:t>2、工期:自合同签订之日起90日历天</w:t>
            </w:r>
            <w:r>
              <w:br/>
            </w:r>
            <w:r>
              <w:rPr>
                <w:rFonts w:ascii="仿宋_GB2312" w:hAnsi="仿宋_GB2312" w:cs="仿宋_GB2312" w:eastAsia="仿宋_GB2312"/>
              </w:rPr>
              <w:t xml:space="preserve"> </w:t>
            </w:r>
            <w:r>
              <w:rPr>
                <w:rFonts w:ascii="仿宋_GB2312" w:hAnsi="仿宋_GB2312" w:cs="仿宋_GB2312" w:eastAsia="仿宋_GB2312"/>
              </w:rPr>
              <w:t>3、质量标准:符合国家现行有关施工质量验收规范“合格”要求标准</w:t>
            </w:r>
            <w:r>
              <w:br/>
            </w:r>
            <w:r>
              <w:rPr>
                <w:rFonts w:ascii="仿宋_GB2312" w:hAnsi="仿宋_GB2312" w:cs="仿宋_GB2312" w:eastAsia="仿宋_GB2312"/>
              </w:rPr>
              <w:t xml:space="preserve"> </w:t>
            </w:r>
            <w:r>
              <w:rPr>
                <w:rFonts w:ascii="仿宋_GB2312" w:hAnsi="仿宋_GB2312" w:cs="仿宋_GB2312" w:eastAsia="仿宋_GB2312"/>
              </w:rPr>
              <w:t>4、其他需说明的事项:</w:t>
            </w:r>
          </w:p>
          <w:p>
            <w:pPr>
              <w:pStyle w:val="null3"/>
            </w:pPr>
            <w:r>
              <w:rPr>
                <w:rFonts w:ascii="仿宋_GB2312" w:hAnsi="仿宋_GB2312" w:cs="仿宋_GB2312" w:eastAsia="仿宋_GB2312"/>
              </w:rPr>
              <w:t>1）本工程计价软件采用天宇e算西安市水利水电工程造价软件，软件版本号：V1.2.2(202510-2)</w:t>
            </w:r>
          </w:p>
          <w:p>
            <w:pPr>
              <w:pStyle w:val="null3"/>
            </w:pPr>
            <w:r>
              <w:rPr>
                <w:rFonts w:ascii="仿宋_GB2312" w:hAnsi="仿宋_GB2312" w:cs="仿宋_GB2312" w:eastAsia="仿宋_GB2312"/>
              </w:rPr>
              <w:t>2）若工程量清单与图纸存在不一致，以工程量清单为准。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达到现行国家有关验收规范“合格”标准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供应商根据项目实施要求对施工部署、施工进度计划、施工方案、质量保证措施、安全文明施工措施、项目管理机构、新材料新工艺、业绩及施工承诺等内容进行响应。具体内容详见项目评审办法。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投标⽂件截⽌之⽇前两年内任意⼀个年度经审计的财务报告（包括“四表⼀注”，即资产负债表、利润表、现⾦流量表、所有者权益变动表及其附注，符合《中⼩企业划型标准规定》的⼩型企业按照《⼩企业会计准则》执⾏。成⽴时间⾄提交投标⽂件截⽌时间不⾜⼀年的可提供成⽴后任意时段的资产负债表），审计报告须具有注册会计师⾏业统⼀监管平台（http://acc.mof.gov.cn）赋予的验证码；或提供其开标前三个⽉内基本开⼾银⾏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递交投标⽂件截⽌之⽇前两年内任意⼀个年度经审计的财务报告（包括“四表⼀注”，即资产负债表、利润表、现⾦流量表、所有者权益变动表及其附注，符合《中⼩企业划型标准规定》的⼩型企业按照《⼩企业会计准则》执⾏。成⽴时间⾄提交投标⽂件截⽌时间不⾜⼀年的可提供成⽴后任意时段的资产负债表），审计报告须具有注册会计师⾏业统⼀监管平台（http://acc.mof.gov.cn）赋予的验证码；或提供其开标前三个⽉内基本开⼾银⾏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提供投标截⽌⽇前近⼀年内⾄少⼀个⽉的纳税证明或完税证明，依法免税的单位应提供相关证明材料；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提供投标截⽌⽇前近⼀年内⾄少⼀个⽉的社会保障资⾦缴存单据或社保机构开具的社会保险参保缴费情况证明，依法不需要缴纳社会保障资⾦的单位应提供相关证明材料；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提供《供应商信⽤记录书⾯声明函》供应商未被列⼊“信⽤中国”⽹站记录的“失信被执⼈”或“重⼤税收违法案件当事⼈”名单；不处于“中国政府采购⽹”记录的“政府采购严重违法失信⾏为信息记录名单”中的禁⽌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具备建设行政部门颁发的市政公用工程施工总承包三级及以上资质，且具有有效的安全生产许可证；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拟派项目经理须具有市政公用工程专业二级及以上注册建造师资质并具有安全生产考核合格证，在本单位注册且无在建工程（提供无在建承诺书）；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需提供中小企业声明函；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控股和管理关系承诺</w:t>
            </w:r>
          </w:p>
        </w:tc>
        <w:tc>
          <w:tcPr>
            <w:tcW w:type="dxa" w:w="3322"/>
          </w:tcPr>
          <w:p>
            <w:pPr>
              <w:pStyle w:val="null3"/>
            </w:pPr>
            <w:r>
              <w:rPr>
                <w:rFonts w:ascii="仿宋_GB2312" w:hAnsi="仿宋_GB2312" w:cs="仿宋_GB2312" w:eastAsia="仿宋_GB2312"/>
              </w:rPr>
              <w:t>提供直接控股和管理关系清单。若与其他供应商存在单位负责⼈为同⼀⼈或者存在直接控股、管理关系的，则投标⽆效；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本项⽬不接受联合体投标（提供承诺书）。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磋商方案说明书.docx 强制优先采购产品承诺函 响应文件封面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 的规定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磋商方案说明书.docx 强制优先采购产品承诺函 响应文件封面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收入口管理、交通组织安排、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三、赋分标准（满分9分） ①施工进度计划图：每完全满足一个评审标准得1分，满分3分；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三、赋分标准（15分） ①工程重难点及解决措施：每完全满足一个评审标准得2分，满分6分； ②工程施工方法：每完全满足一个评审标准得2分，满分6分；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3、针对性：方案能够紧扣项目实际情况，内容科学合理。 三、赋分标准（满分6分）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供应商针对本项目编制完整的安全文明施工措施，内容包含：①安全生产管理制度②安全文明施工措施③安全应急预案④安全生产教育。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①安全生产管理制度：每完全满足一个评审标准得0.5分，满分1.5分； ②安全文明施工措施：每完全满足一个评审标准得0.5分，满分1.5分；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1、完整性：方案必须全面，对评审内容中的各项要求有详细描述； 2、可实施性：切合本项目实际情况，提出步骤清晰、合理的方案； 3、针对性：方案能够紧扣项目实际情况，内容科学合理。 三、赋分标准（满分12分） ①管理机构的配备计划：每完全满足一个评审标准得2分，满分6分； ②组织机构的岗位职责：每完全满足一个评审标准得2分，满分6分。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三、赋分标准（满分3分） 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供应商提供2023年1月起至今的类似业绩证明材料，时间以合同签订日期为准，（文件中附合同复印件），每提供一项上述业绩的得2分，最高得6分。不提供或缺项不得分。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 计算分数时四舍五入取小数点后两位。 注：磋商小组三分之二以上人员认为某最后磋商报价有低于成本价嫌疑的，该报价为无效报价。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