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DBACE">
      <w:pPr>
        <w:adjustRightInd w:val="0"/>
        <w:snapToGrid w:val="0"/>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（本合同仅供参考，以实际签订合同为准）</w:t>
      </w:r>
    </w:p>
    <w:p w14:paraId="655AC92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u w:val="single"/>
        </w:rPr>
        <w:t xml:space="preserve">（以下简称甲方） </w:t>
      </w:r>
      <w:r>
        <w:rPr>
          <w:rFonts w:hint="eastAsia" w:ascii="仿宋" w:hAnsi="仿宋" w:eastAsia="仿宋" w:cs="仿宋"/>
          <w:color w:val="auto"/>
          <w:sz w:val="24"/>
          <w:szCs w:val="24"/>
        </w:rPr>
        <w:t>采购，在</w:t>
      </w:r>
      <w:r>
        <w:rPr>
          <w:rFonts w:hint="eastAsia" w:ascii="仿宋" w:hAnsi="仿宋" w:eastAsia="仿宋" w:cs="仿宋"/>
          <w:color w:val="auto"/>
          <w:sz w:val="24"/>
          <w:szCs w:val="24"/>
          <w:lang w:eastAsia="zh-CN"/>
        </w:rPr>
        <w:t>陕西省市场监督管理局</w:t>
      </w:r>
      <w:r>
        <w:rPr>
          <w:rFonts w:hint="eastAsia" w:ascii="仿宋" w:hAnsi="仿宋" w:eastAsia="仿宋" w:cs="仿宋"/>
          <w:color w:val="auto"/>
          <w:sz w:val="24"/>
          <w:szCs w:val="24"/>
        </w:rPr>
        <w:t>政府采购管理处的监督管理下，</w:t>
      </w:r>
      <w:r>
        <w:rPr>
          <w:rFonts w:hint="eastAsia" w:ascii="仿宋" w:hAnsi="仿宋" w:eastAsia="仿宋" w:cs="仿宋"/>
          <w:color w:val="auto"/>
          <w:sz w:val="24"/>
          <w:szCs w:val="24"/>
          <w:u w:val="single"/>
        </w:rPr>
        <w:t xml:space="preserve">         (以下简称乙方）</w:t>
      </w:r>
      <w:r>
        <w:rPr>
          <w:rFonts w:hint="eastAsia" w:ascii="仿宋" w:hAnsi="仿宋" w:eastAsia="仿宋" w:cs="仿宋"/>
          <w:color w:val="auto"/>
          <w:sz w:val="24"/>
          <w:szCs w:val="24"/>
        </w:rPr>
        <w:t>为该项目</w:t>
      </w:r>
      <w:r>
        <w:rPr>
          <w:rFonts w:hint="eastAsia" w:ascii="仿宋" w:hAnsi="仿宋" w:eastAsia="仿宋" w:cs="仿宋"/>
          <w:color w:val="auto"/>
          <w:sz w:val="24"/>
          <w:szCs w:val="24"/>
          <w:lang w:eastAsia="zh-CN"/>
        </w:rPr>
        <w:t>成交单位</w:t>
      </w:r>
      <w:r>
        <w:rPr>
          <w:rFonts w:hint="eastAsia" w:ascii="仿宋" w:hAnsi="仿宋" w:eastAsia="仿宋" w:cs="仿宋"/>
          <w:color w:val="auto"/>
          <w:sz w:val="24"/>
          <w:szCs w:val="24"/>
        </w:rPr>
        <w:t>。依据《中华人民共和国民法典》和《中华人民共和国政府采购法》，经甲、乙双方共同协商，按下述条款和条件签署本合同。</w:t>
      </w:r>
    </w:p>
    <w:p w14:paraId="4A254CBE">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一、合同内容</w:t>
      </w:r>
    </w:p>
    <w:p w14:paraId="6D57682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u w:val="single"/>
          <w:lang w:eastAsia="zh-CN"/>
        </w:rPr>
        <w:t>陕西省质量基础设施“一体化”服务建设及示范培育项目</w:t>
      </w:r>
      <w:r>
        <w:rPr>
          <w:rFonts w:hint="eastAsia" w:ascii="仿宋" w:hAnsi="仿宋" w:eastAsia="仿宋" w:cs="仿宋"/>
          <w:color w:val="auto"/>
          <w:sz w:val="24"/>
          <w:szCs w:val="24"/>
        </w:rPr>
        <w:t>，乙方负责按照合同确定的项目内容及组织安排完成项目，确保各项服务指标达到要求。</w:t>
      </w:r>
    </w:p>
    <w:p w14:paraId="489173B0">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二、合同价格</w:t>
      </w:r>
    </w:p>
    <w:p w14:paraId="4DBB92B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合同总价：人民币</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元整（¥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元） </w:t>
      </w:r>
    </w:p>
    <w:p w14:paraId="47B5E98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说明：合同总价一次包死，不受市场价格变化的影响，并作为结算的唯一依据。</w:t>
      </w:r>
    </w:p>
    <w:p w14:paraId="791CE3EC">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三、合同款项支付</w:t>
      </w:r>
    </w:p>
    <w:p w14:paraId="2CF4430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（一）结算单位：采购人结算，在付款前，必须开具发票给采购人。</w:t>
      </w:r>
    </w:p>
    <w:p w14:paraId="0B8C98DF">
      <w:pPr>
        <w:pStyle w:val="18"/>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（二）付款方式：</w:t>
      </w:r>
    </w:p>
    <w:p w14:paraId="65EC25FC">
      <w:pPr>
        <w:pStyle w:val="18"/>
        <w:spacing w:line="360" w:lineRule="auto"/>
        <w:ind w:firstLine="720" w:firstLineChars="3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合同签订后，达到付款条件起 15</w:t>
      </w:r>
      <w:r>
        <w:rPr>
          <w:rFonts w:hint="eastAsia" w:ascii="仿宋" w:hAnsi="仿宋" w:eastAsia="仿宋" w:cs="仿宋"/>
          <w:color w:val="auto"/>
          <w:sz w:val="24"/>
          <w:szCs w:val="24"/>
          <w:lang w:val="en-US" w:eastAsia="zh-CN"/>
        </w:rPr>
        <w:t>个工作日</w:t>
      </w:r>
      <w:r>
        <w:rPr>
          <w:rFonts w:hint="eastAsia" w:ascii="仿宋" w:hAnsi="仿宋" w:eastAsia="仿宋" w:cs="仿宋"/>
          <w:color w:val="auto"/>
          <w:sz w:val="24"/>
          <w:szCs w:val="24"/>
        </w:rPr>
        <w:t>内，支付合同总金额的</w:t>
      </w:r>
      <w:r>
        <w:rPr>
          <w:rFonts w:hint="eastAsia" w:ascii="仿宋" w:hAnsi="仿宋" w:eastAsia="仿宋" w:cs="仿宋"/>
          <w:color w:val="auto"/>
          <w:sz w:val="24"/>
          <w:szCs w:val="24"/>
          <w:lang w:val="en-US" w:eastAsia="zh-CN"/>
        </w:rPr>
        <w:t>90</w:t>
      </w:r>
      <w:r>
        <w:rPr>
          <w:rFonts w:hint="eastAsia" w:ascii="仿宋" w:hAnsi="仿宋" w:eastAsia="仿宋" w:cs="仿宋"/>
          <w:color w:val="auto"/>
          <w:sz w:val="24"/>
          <w:szCs w:val="24"/>
        </w:rPr>
        <w:t>.00%。</w:t>
      </w:r>
    </w:p>
    <w:p w14:paraId="1D5D4083">
      <w:pPr>
        <w:pStyle w:val="18"/>
        <w:spacing w:line="360" w:lineRule="auto"/>
        <w:ind w:firstLine="720" w:firstLineChars="3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项目整体内容完成组织验收，通过验收后，达到付款条件起15</w:t>
      </w:r>
      <w:r>
        <w:rPr>
          <w:rFonts w:hint="eastAsia" w:ascii="仿宋" w:hAnsi="仿宋" w:eastAsia="仿宋" w:cs="仿宋"/>
          <w:color w:val="auto"/>
          <w:sz w:val="24"/>
          <w:szCs w:val="24"/>
          <w:lang w:val="en-US" w:eastAsia="zh-CN"/>
        </w:rPr>
        <w:t>个工作日</w:t>
      </w:r>
      <w:r>
        <w:rPr>
          <w:rFonts w:hint="eastAsia" w:ascii="仿宋" w:hAnsi="仿宋" w:eastAsia="仿宋" w:cs="仿宋"/>
          <w:color w:val="auto"/>
          <w:sz w:val="24"/>
          <w:szCs w:val="24"/>
        </w:rPr>
        <w:t>内，支付合同总金额的</w:t>
      </w:r>
      <w:r>
        <w:rPr>
          <w:rFonts w:hint="eastAsia" w:ascii="仿宋" w:hAnsi="仿宋" w:eastAsia="仿宋" w:cs="仿宋"/>
          <w:color w:val="auto"/>
          <w:sz w:val="24"/>
          <w:szCs w:val="24"/>
          <w:lang w:val="en-US" w:eastAsia="zh-CN"/>
        </w:rPr>
        <w:t>10</w:t>
      </w:r>
      <w:r>
        <w:rPr>
          <w:rFonts w:hint="eastAsia" w:ascii="仿宋" w:hAnsi="仿宋" w:eastAsia="仿宋" w:cs="仿宋"/>
          <w:color w:val="auto"/>
          <w:sz w:val="24"/>
          <w:szCs w:val="24"/>
        </w:rPr>
        <w:t>.00%。</w:t>
      </w:r>
    </w:p>
    <w:p w14:paraId="7269EF06">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四、服务条件</w:t>
      </w:r>
    </w:p>
    <w:p w14:paraId="56CCA57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（一）项目实施地点：</w:t>
      </w:r>
      <w:r>
        <w:rPr>
          <w:rFonts w:hint="eastAsia" w:ascii="仿宋" w:hAnsi="仿宋" w:eastAsia="仿宋" w:cs="仿宋"/>
          <w:color w:val="auto"/>
          <w:sz w:val="24"/>
          <w:szCs w:val="24"/>
          <w:lang w:eastAsia="zh-CN"/>
        </w:rPr>
        <w:t>陕西省市场监督管理局指定地点。</w:t>
      </w:r>
    </w:p>
    <w:p w14:paraId="7F24170C">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（二）服务期</w:t>
      </w:r>
      <w:r>
        <w:rPr>
          <w:rFonts w:hint="eastAsia" w:ascii="仿宋" w:hAnsi="仿宋" w:eastAsia="仿宋" w:cs="仿宋"/>
          <w:color w:val="auto"/>
          <w:sz w:val="24"/>
          <w:szCs w:val="24"/>
          <w:lang w:eastAsia="zh-CN"/>
        </w:rPr>
        <w:t>限</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自合同签订之日起至202</w:t>
      </w: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lang w:eastAsia="zh-CN"/>
        </w:rPr>
        <w:t>年12月31日</w:t>
      </w:r>
    </w:p>
    <w:p w14:paraId="136711F5">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五、服务范围</w:t>
      </w:r>
    </w:p>
    <w:p w14:paraId="0DCEAA4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乙方应提供以下服务： </w:t>
      </w:r>
    </w:p>
    <w:p w14:paraId="565484A0">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1.调研与图谱绘制。 系统调研省内外质量基础设施“一体化”服务现状，编制《陕西省质量基础设施“一体化”服务建设情况报告》，绘制陕西省质量基础设施服务图谱，编制问题清单、重点攻关项目清单及政策工具清单。</w:t>
      </w:r>
    </w:p>
    <w:p w14:paraId="573A61A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2.产业链培育试点。 选取重点产业链开展培育试点，组织企业走访、技术帮扶、供需对接等实务服务，总结试点经验，形成《重点产业链培育试点典型经验材料》。</w:t>
      </w:r>
    </w:p>
    <w:p w14:paraId="2ACFCD7C">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六、质量保证</w:t>
      </w:r>
    </w:p>
    <w:p w14:paraId="352773C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乙方提供的服务达到甲方要求的质量标准。</w:t>
      </w:r>
    </w:p>
    <w:p w14:paraId="5CF8F01A">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七、甲方乙方的权利和义务</w:t>
      </w:r>
    </w:p>
    <w:p w14:paraId="29E6676B">
      <w:pPr>
        <w:spacing w:line="360" w:lineRule="auto"/>
        <w:ind w:firstLine="480" w:firstLineChars="200"/>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rPr>
        <w:t>1.甲方的权利和义务</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p w14:paraId="22D4D123">
      <w:pPr>
        <w:spacing w:line="360" w:lineRule="auto"/>
        <w:ind w:firstLine="480" w:firstLineChars="200"/>
        <w:rPr>
          <w:rFonts w:hint="eastAsia" w:ascii="仿宋" w:hAnsi="仿宋" w:eastAsia="仿宋" w:cs="仿宋"/>
          <w:color w:val="auto"/>
          <w:sz w:val="24"/>
          <w:szCs w:val="24"/>
          <w:u w:val="none"/>
          <w:lang w:val="en-US" w:eastAsia="zh-CN"/>
        </w:rPr>
      </w:pPr>
      <w:r>
        <w:rPr>
          <w:rFonts w:hint="eastAsia" w:ascii="仿宋" w:hAnsi="仿宋" w:eastAsia="仿宋" w:cs="仿宋"/>
          <w:color w:val="auto"/>
          <w:sz w:val="24"/>
          <w:szCs w:val="24"/>
        </w:rPr>
        <w:t>2.乙方的权利和义务</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w:t>
      </w:r>
    </w:p>
    <w:p w14:paraId="718486BC">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八、违约责任</w:t>
      </w:r>
    </w:p>
    <w:p w14:paraId="704099F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（一）按《中华人民共和国民法典》中的相关条款执行。</w:t>
      </w:r>
    </w:p>
    <w:p w14:paraId="34EAF4C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（二）未按合同要求的提供质量不能满足技术要求，采购人有权终止合同，甚至对供方违约行为进行追究。</w:t>
      </w:r>
    </w:p>
    <w:p w14:paraId="17D6E07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（三）如有纠纷，双方友好协商解决，协商不成时可诉讼到甲方所在地人民法院解决。</w:t>
      </w:r>
    </w:p>
    <w:p w14:paraId="1D7287B2">
      <w:pPr>
        <w:spacing w:line="360" w:lineRule="auto"/>
        <w:ind w:firstLine="482" w:firstLineChars="200"/>
        <w:rPr>
          <w:rFonts w:hint="eastAsia" w:ascii="仿宋" w:hAnsi="仿宋" w:eastAsia="仿宋" w:cs="仿宋"/>
          <w:b/>
          <w:bCs/>
          <w:color w:val="auto"/>
          <w:sz w:val="24"/>
          <w:szCs w:val="24"/>
        </w:rPr>
      </w:pPr>
      <w:r>
        <w:rPr>
          <w:rFonts w:hint="eastAsia" w:ascii="仿宋" w:hAnsi="仿宋" w:eastAsia="仿宋" w:cs="仿宋"/>
          <w:b/>
          <w:bCs/>
          <w:color w:val="auto"/>
          <w:sz w:val="24"/>
          <w:szCs w:val="24"/>
        </w:rPr>
        <w:t>九、其他事项</w:t>
      </w:r>
    </w:p>
    <w:p w14:paraId="003CB2A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w:t>
      </w:r>
      <w:r>
        <w:rPr>
          <w:rFonts w:hint="eastAsia" w:ascii="仿宋" w:hAnsi="仿宋" w:eastAsia="仿宋" w:cs="仿宋"/>
          <w:color w:val="auto"/>
          <w:sz w:val="24"/>
          <w:szCs w:val="24"/>
          <w:lang w:eastAsia="zh-CN"/>
        </w:rPr>
        <w:t>陕西省市场监督管理局</w:t>
      </w:r>
      <w:r>
        <w:rPr>
          <w:rFonts w:hint="eastAsia" w:ascii="仿宋" w:hAnsi="仿宋" w:eastAsia="仿宋" w:cs="仿宋"/>
          <w:color w:val="auto"/>
          <w:sz w:val="24"/>
          <w:szCs w:val="24"/>
        </w:rPr>
        <w:t>政府采购管理处在合同的履行期间以及履行期后，可以随时检查项目的执行情况，对采购标准、采购内容进行调查核实，并对发现的问题进行处理。</w:t>
      </w:r>
    </w:p>
    <w:p w14:paraId="4EB9B0E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（二）本合同一式六份，甲方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eastAsia="zh-CN"/>
        </w:rPr>
        <w:t>肆</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份，乙方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lang w:eastAsia="zh-CN"/>
        </w:rPr>
        <w:t>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份，采购代理机构</w:t>
      </w:r>
      <w:r>
        <w:rPr>
          <w:rFonts w:hint="eastAsia" w:ascii="仿宋" w:hAnsi="仿宋" w:eastAsia="仿宋" w:cs="仿宋"/>
          <w:color w:val="auto"/>
          <w:sz w:val="24"/>
          <w:szCs w:val="24"/>
          <w:lang w:eastAsia="zh-CN"/>
        </w:rPr>
        <w:t>壹</w:t>
      </w:r>
      <w:r>
        <w:rPr>
          <w:rFonts w:hint="eastAsia" w:ascii="仿宋" w:hAnsi="仿宋" w:eastAsia="仿宋" w:cs="仿宋"/>
          <w:color w:val="auto"/>
          <w:sz w:val="24"/>
          <w:szCs w:val="24"/>
        </w:rPr>
        <w:t>份，甲乙双方签字盖章后生效。</w:t>
      </w:r>
    </w:p>
    <w:p w14:paraId="1A7B528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（三）招标文件、</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文件也是合同的组成部分，合同中未约定的以招标文件、</w:t>
      </w:r>
      <w:r>
        <w:rPr>
          <w:rFonts w:hint="eastAsia" w:ascii="仿宋" w:hAnsi="仿宋" w:eastAsia="仿宋" w:cs="仿宋"/>
          <w:color w:val="auto"/>
          <w:sz w:val="24"/>
          <w:szCs w:val="24"/>
          <w:lang w:eastAsia="zh-CN"/>
        </w:rPr>
        <w:t>响应</w:t>
      </w:r>
      <w:r>
        <w:rPr>
          <w:rFonts w:hint="eastAsia" w:ascii="仿宋" w:hAnsi="仿宋" w:eastAsia="仿宋" w:cs="仿宋"/>
          <w:color w:val="auto"/>
          <w:sz w:val="24"/>
          <w:szCs w:val="24"/>
        </w:rPr>
        <w:t>文件为准。</w:t>
      </w:r>
    </w:p>
    <w:p w14:paraId="3F04629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合同签订地点：   </w:t>
      </w:r>
    </w:p>
    <w:p w14:paraId="42E9C9D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合同签订时间：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0164EE25">
      <w:pPr>
        <w:numPr>
          <w:ilvl w:val="0"/>
          <w:numId w:val="1"/>
        </w:numPr>
        <w:spacing w:line="360" w:lineRule="auto"/>
        <w:ind w:firstLine="482" w:firstLineChars="200"/>
        <w:rPr>
          <w:rFonts w:hint="eastAsia" w:ascii="仿宋" w:hAnsi="仿宋" w:eastAsia="仿宋" w:cs="仿宋"/>
          <w:color w:val="auto"/>
          <w:sz w:val="24"/>
          <w:szCs w:val="24"/>
        </w:rPr>
      </w:pPr>
      <w:r>
        <w:rPr>
          <w:rFonts w:hint="eastAsia" w:ascii="仿宋" w:hAnsi="仿宋" w:eastAsia="仿宋" w:cs="仿宋"/>
          <w:b/>
          <w:bCs/>
          <w:color w:val="auto"/>
          <w:sz w:val="24"/>
          <w:szCs w:val="24"/>
        </w:rPr>
        <w:t>其它（在合同中具体明确）</w:t>
      </w:r>
    </w:p>
    <w:p w14:paraId="790EC502">
      <w:pPr>
        <w:widowControl w:val="0"/>
        <w:numPr>
          <w:ilvl w:val="0"/>
          <w:numId w:val="0"/>
        </w:numPr>
        <w:spacing w:line="360" w:lineRule="auto"/>
        <w:jc w:val="both"/>
        <w:rPr>
          <w:rFonts w:hint="eastAsia" w:ascii="宋体" w:hAnsi="宋体" w:eastAsia="宋体" w:cs="宋体"/>
          <w:color w:val="auto"/>
          <w:kern w:val="2"/>
          <w:sz w:val="24"/>
          <w:szCs w:val="24"/>
          <w:lang w:val="en-US" w:eastAsia="zh-CN" w:bidi="ar-SA"/>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9"/>
        <w:gridCol w:w="4580"/>
      </w:tblGrid>
      <w:tr w14:paraId="2840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4579" w:type="dxa"/>
            <w:tcBorders>
              <w:top w:val="single" w:color="auto" w:sz="4" w:space="0"/>
              <w:left w:val="single" w:color="auto" w:sz="4" w:space="0"/>
              <w:bottom w:val="single" w:color="auto" w:sz="4" w:space="0"/>
              <w:right w:val="single" w:color="auto" w:sz="4" w:space="0"/>
            </w:tcBorders>
            <w:noWrap w:val="0"/>
            <w:vAlign w:val="center"/>
          </w:tcPr>
          <w:p w14:paraId="606BFB9A">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甲  方</w:t>
            </w:r>
          </w:p>
        </w:tc>
        <w:tc>
          <w:tcPr>
            <w:tcW w:w="4580" w:type="dxa"/>
            <w:tcBorders>
              <w:top w:val="single" w:color="auto" w:sz="4" w:space="0"/>
              <w:left w:val="single" w:color="auto" w:sz="4" w:space="0"/>
              <w:bottom w:val="single" w:color="auto" w:sz="4" w:space="0"/>
              <w:right w:val="single" w:color="auto" w:sz="4" w:space="0"/>
            </w:tcBorders>
            <w:noWrap w:val="0"/>
            <w:vAlign w:val="center"/>
          </w:tcPr>
          <w:p w14:paraId="7D633464">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乙  方</w:t>
            </w:r>
          </w:p>
        </w:tc>
      </w:tr>
      <w:tr w14:paraId="7CB1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jc w:val="center"/>
        </w:trPr>
        <w:tc>
          <w:tcPr>
            <w:tcW w:w="4579" w:type="dxa"/>
            <w:tcBorders>
              <w:top w:val="single" w:color="auto" w:sz="4" w:space="0"/>
              <w:left w:val="single" w:color="auto" w:sz="4" w:space="0"/>
              <w:bottom w:val="single" w:color="auto" w:sz="4" w:space="0"/>
              <w:right w:val="single" w:color="auto" w:sz="4" w:space="0"/>
            </w:tcBorders>
            <w:noWrap w:val="0"/>
            <w:vAlign w:val="center"/>
          </w:tcPr>
          <w:p w14:paraId="1E58D8E6">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（盖章）</w:t>
            </w:r>
          </w:p>
        </w:tc>
        <w:tc>
          <w:tcPr>
            <w:tcW w:w="4580" w:type="dxa"/>
            <w:tcBorders>
              <w:top w:val="single" w:color="auto" w:sz="4" w:space="0"/>
              <w:left w:val="single" w:color="auto" w:sz="4" w:space="0"/>
              <w:bottom w:val="single" w:color="auto" w:sz="4" w:space="0"/>
              <w:right w:val="single" w:color="auto" w:sz="4" w:space="0"/>
            </w:tcBorders>
            <w:noWrap w:val="0"/>
            <w:vAlign w:val="center"/>
          </w:tcPr>
          <w:p w14:paraId="1DA5C732">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成交供应商全称</w:t>
            </w:r>
          </w:p>
          <w:p w14:paraId="4CFE4A71">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（盖章）</w:t>
            </w:r>
          </w:p>
        </w:tc>
      </w:tr>
      <w:tr w14:paraId="5FFC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4579" w:type="dxa"/>
            <w:tcBorders>
              <w:top w:val="single" w:color="auto" w:sz="4" w:space="0"/>
              <w:left w:val="single" w:color="auto" w:sz="4" w:space="0"/>
              <w:bottom w:val="single" w:color="auto" w:sz="4" w:space="0"/>
              <w:right w:val="single" w:color="auto" w:sz="4" w:space="0"/>
            </w:tcBorders>
            <w:noWrap w:val="0"/>
            <w:vAlign w:val="center"/>
          </w:tcPr>
          <w:p w14:paraId="369DDB8B">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地址：</w:t>
            </w:r>
          </w:p>
        </w:tc>
        <w:tc>
          <w:tcPr>
            <w:tcW w:w="4580" w:type="dxa"/>
            <w:tcBorders>
              <w:top w:val="single" w:color="auto" w:sz="4" w:space="0"/>
              <w:left w:val="single" w:color="auto" w:sz="4" w:space="0"/>
              <w:bottom w:val="single" w:color="auto" w:sz="4" w:space="0"/>
              <w:right w:val="single" w:color="auto" w:sz="4" w:space="0"/>
            </w:tcBorders>
            <w:noWrap w:val="0"/>
            <w:vAlign w:val="center"/>
          </w:tcPr>
          <w:p w14:paraId="4DA3C68D">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地址：</w:t>
            </w:r>
          </w:p>
        </w:tc>
      </w:tr>
      <w:tr w14:paraId="32464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4579" w:type="dxa"/>
            <w:tcBorders>
              <w:top w:val="single" w:color="auto" w:sz="4" w:space="0"/>
              <w:left w:val="single" w:color="auto" w:sz="4" w:space="0"/>
              <w:bottom w:val="single" w:color="auto" w:sz="4" w:space="0"/>
              <w:right w:val="single" w:color="auto" w:sz="4" w:space="0"/>
            </w:tcBorders>
            <w:noWrap w:val="0"/>
            <w:vAlign w:val="center"/>
          </w:tcPr>
          <w:p w14:paraId="636278A1">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邮编：</w:t>
            </w:r>
          </w:p>
        </w:tc>
        <w:tc>
          <w:tcPr>
            <w:tcW w:w="4580" w:type="dxa"/>
            <w:tcBorders>
              <w:top w:val="single" w:color="auto" w:sz="4" w:space="0"/>
              <w:left w:val="single" w:color="auto" w:sz="4" w:space="0"/>
              <w:bottom w:val="single" w:color="auto" w:sz="4" w:space="0"/>
              <w:right w:val="single" w:color="auto" w:sz="4" w:space="0"/>
            </w:tcBorders>
            <w:noWrap w:val="0"/>
            <w:vAlign w:val="center"/>
          </w:tcPr>
          <w:p w14:paraId="6DF938F1">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邮编：</w:t>
            </w:r>
          </w:p>
        </w:tc>
      </w:tr>
      <w:tr w14:paraId="594C3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4579" w:type="dxa"/>
            <w:vMerge w:val="restart"/>
            <w:tcBorders>
              <w:top w:val="single" w:color="auto" w:sz="4" w:space="0"/>
              <w:left w:val="single" w:color="auto" w:sz="4" w:space="0"/>
              <w:right w:val="single" w:color="auto" w:sz="4" w:space="0"/>
            </w:tcBorders>
            <w:noWrap w:val="0"/>
            <w:vAlign w:val="center"/>
          </w:tcPr>
          <w:p w14:paraId="2798CB13">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全权代表：（签字）</w:t>
            </w:r>
          </w:p>
        </w:tc>
        <w:tc>
          <w:tcPr>
            <w:tcW w:w="4580" w:type="dxa"/>
            <w:tcBorders>
              <w:top w:val="single" w:color="auto" w:sz="4" w:space="0"/>
              <w:left w:val="single" w:color="auto" w:sz="4" w:space="0"/>
              <w:bottom w:val="single" w:color="auto" w:sz="4" w:space="0"/>
              <w:right w:val="single" w:color="auto" w:sz="4" w:space="0"/>
            </w:tcBorders>
            <w:noWrap w:val="0"/>
            <w:vAlign w:val="center"/>
          </w:tcPr>
          <w:p w14:paraId="3CC4EF2C">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r>
      <w:tr w14:paraId="215DC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4579" w:type="dxa"/>
            <w:vMerge w:val="continue"/>
            <w:tcBorders>
              <w:left w:val="single" w:color="auto" w:sz="4" w:space="0"/>
              <w:bottom w:val="single" w:color="auto" w:sz="4" w:space="0"/>
              <w:right w:val="single" w:color="auto" w:sz="4" w:space="0"/>
            </w:tcBorders>
            <w:noWrap w:val="0"/>
            <w:vAlign w:val="center"/>
          </w:tcPr>
          <w:p w14:paraId="79CBFD1B">
            <w:pPr>
              <w:spacing w:line="360" w:lineRule="auto"/>
              <w:jc w:val="left"/>
              <w:rPr>
                <w:rFonts w:hint="eastAsia" w:ascii="仿宋" w:hAnsi="仿宋" w:eastAsia="仿宋" w:cs="仿宋"/>
                <w:color w:val="auto"/>
                <w:sz w:val="24"/>
                <w:szCs w:val="24"/>
              </w:rPr>
            </w:pPr>
          </w:p>
        </w:tc>
        <w:tc>
          <w:tcPr>
            <w:tcW w:w="4580" w:type="dxa"/>
            <w:tcBorders>
              <w:top w:val="single" w:color="auto" w:sz="4" w:space="0"/>
              <w:left w:val="single" w:color="auto" w:sz="4" w:space="0"/>
              <w:bottom w:val="single" w:color="auto" w:sz="4" w:space="0"/>
              <w:right w:val="single" w:color="auto" w:sz="4" w:space="0"/>
            </w:tcBorders>
            <w:noWrap w:val="0"/>
            <w:vAlign w:val="center"/>
          </w:tcPr>
          <w:p w14:paraId="4D763878">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被授权代表：（签字）</w:t>
            </w:r>
          </w:p>
        </w:tc>
      </w:tr>
      <w:tr w14:paraId="37B40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4579" w:type="dxa"/>
            <w:tcBorders>
              <w:top w:val="single" w:color="auto" w:sz="4" w:space="0"/>
              <w:left w:val="single" w:color="auto" w:sz="4" w:space="0"/>
              <w:bottom w:val="single" w:color="auto" w:sz="4" w:space="0"/>
              <w:right w:val="single" w:color="auto" w:sz="4" w:space="0"/>
            </w:tcBorders>
            <w:noWrap w:val="0"/>
            <w:vAlign w:val="center"/>
          </w:tcPr>
          <w:p w14:paraId="53A4B29B">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电话：</w:t>
            </w:r>
          </w:p>
        </w:tc>
        <w:tc>
          <w:tcPr>
            <w:tcW w:w="4580" w:type="dxa"/>
            <w:tcBorders>
              <w:top w:val="single" w:color="auto" w:sz="4" w:space="0"/>
              <w:left w:val="single" w:color="auto" w:sz="4" w:space="0"/>
              <w:bottom w:val="single" w:color="auto" w:sz="4" w:space="0"/>
              <w:right w:val="single" w:color="auto" w:sz="4" w:space="0"/>
            </w:tcBorders>
            <w:noWrap w:val="0"/>
            <w:vAlign w:val="center"/>
          </w:tcPr>
          <w:p w14:paraId="6BFB0C13">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电话：</w:t>
            </w:r>
          </w:p>
        </w:tc>
      </w:tr>
      <w:tr w14:paraId="0485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4579" w:type="dxa"/>
            <w:tcBorders>
              <w:top w:val="single" w:color="auto" w:sz="4" w:space="0"/>
              <w:left w:val="single" w:color="auto" w:sz="4" w:space="0"/>
              <w:bottom w:val="single" w:color="auto" w:sz="4" w:space="0"/>
              <w:right w:val="single" w:color="auto" w:sz="4" w:space="0"/>
            </w:tcBorders>
            <w:noWrap w:val="0"/>
            <w:vAlign w:val="center"/>
          </w:tcPr>
          <w:p w14:paraId="5A43AED2">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传真：</w:t>
            </w:r>
          </w:p>
        </w:tc>
        <w:tc>
          <w:tcPr>
            <w:tcW w:w="4580" w:type="dxa"/>
            <w:tcBorders>
              <w:top w:val="single" w:color="auto" w:sz="4" w:space="0"/>
              <w:left w:val="single" w:color="auto" w:sz="4" w:space="0"/>
              <w:bottom w:val="single" w:color="auto" w:sz="4" w:space="0"/>
              <w:right w:val="single" w:color="auto" w:sz="4" w:space="0"/>
            </w:tcBorders>
            <w:noWrap w:val="0"/>
            <w:vAlign w:val="center"/>
          </w:tcPr>
          <w:p w14:paraId="36FEE186">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传真：</w:t>
            </w:r>
          </w:p>
        </w:tc>
      </w:tr>
      <w:tr w14:paraId="543B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4579" w:type="dxa"/>
            <w:tcBorders>
              <w:top w:val="single" w:color="auto" w:sz="4" w:space="0"/>
              <w:left w:val="single" w:color="auto" w:sz="4" w:space="0"/>
              <w:bottom w:val="single" w:color="auto" w:sz="4" w:space="0"/>
              <w:right w:val="single" w:color="auto" w:sz="4" w:space="0"/>
            </w:tcBorders>
            <w:noWrap w:val="0"/>
            <w:vAlign w:val="center"/>
          </w:tcPr>
          <w:p w14:paraId="552CC900">
            <w:pPr>
              <w:spacing w:line="360" w:lineRule="auto"/>
              <w:jc w:val="left"/>
              <w:rPr>
                <w:rFonts w:hint="eastAsia" w:ascii="仿宋" w:hAnsi="仿宋" w:eastAsia="仿宋" w:cs="仿宋"/>
                <w:color w:val="auto"/>
                <w:sz w:val="24"/>
                <w:szCs w:val="24"/>
              </w:rPr>
            </w:pPr>
          </w:p>
        </w:tc>
        <w:tc>
          <w:tcPr>
            <w:tcW w:w="4580" w:type="dxa"/>
            <w:tcBorders>
              <w:top w:val="single" w:color="auto" w:sz="4" w:space="0"/>
              <w:left w:val="single" w:color="auto" w:sz="4" w:space="0"/>
              <w:bottom w:val="single" w:color="auto" w:sz="4" w:space="0"/>
              <w:right w:val="single" w:color="auto" w:sz="4" w:space="0"/>
            </w:tcBorders>
            <w:noWrap w:val="0"/>
            <w:vAlign w:val="center"/>
          </w:tcPr>
          <w:p w14:paraId="421D2BC5">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开户银行：</w:t>
            </w:r>
          </w:p>
        </w:tc>
      </w:tr>
      <w:tr w14:paraId="308B9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4579" w:type="dxa"/>
            <w:tcBorders>
              <w:top w:val="single" w:color="auto" w:sz="4" w:space="0"/>
              <w:left w:val="single" w:color="auto" w:sz="4" w:space="0"/>
              <w:bottom w:val="single" w:color="auto" w:sz="4" w:space="0"/>
              <w:right w:val="single" w:color="auto" w:sz="4" w:space="0"/>
            </w:tcBorders>
            <w:noWrap w:val="0"/>
            <w:vAlign w:val="center"/>
          </w:tcPr>
          <w:p w14:paraId="38163C46">
            <w:pPr>
              <w:spacing w:line="360" w:lineRule="auto"/>
              <w:jc w:val="left"/>
              <w:rPr>
                <w:rFonts w:hint="eastAsia" w:ascii="仿宋" w:hAnsi="仿宋" w:eastAsia="仿宋" w:cs="仿宋"/>
                <w:color w:val="auto"/>
                <w:sz w:val="24"/>
                <w:szCs w:val="24"/>
              </w:rPr>
            </w:pPr>
          </w:p>
        </w:tc>
        <w:tc>
          <w:tcPr>
            <w:tcW w:w="4580" w:type="dxa"/>
            <w:tcBorders>
              <w:top w:val="single" w:color="auto" w:sz="4" w:space="0"/>
              <w:left w:val="single" w:color="auto" w:sz="4" w:space="0"/>
              <w:bottom w:val="single" w:color="auto" w:sz="4" w:space="0"/>
              <w:right w:val="single" w:color="auto" w:sz="4" w:space="0"/>
            </w:tcBorders>
            <w:noWrap w:val="0"/>
            <w:vAlign w:val="center"/>
          </w:tcPr>
          <w:p w14:paraId="1A3AB0AF">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账号:</w:t>
            </w:r>
          </w:p>
        </w:tc>
      </w:tr>
      <w:tr w14:paraId="46D0C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4579" w:type="dxa"/>
            <w:tcBorders>
              <w:top w:val="single" w:color="auto" w:sz="4" w:space="0"/>
              <w:left w:val="single" w:color="auto" w:sz="4" w:space="0"/>
              <w:bottom w:val="single" w:color="auto" w:sz="4" w:space="0"/>
              <w:right w:val="single" w:color="auto" w:sz="4" w:space="0"/>
            </w:tcBorders>
            <w:noWrap w:val="0"/>
            <w:vAlign w:val="center"/>
          </w:tcPr>
          <w:p w14:paraId="2A1BD3FC">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  年   月   日</w:t>
            </w:r>
          </w:p>
        </w:tc>
        <w:tc>
          <w:tcPr>
            <w:tcW w:w="4580" w:type="dxa"/>
            <w:tcBorders>
              <w:top w:val="single" w:color="auto" w:sz="4" w:space="0"/>
              <w:left w:val="single" w:color="auto" w:sz="4" w:space="0"/>
              <w:bottom w:val="single" w:color="auto" w:sz="4" w:space="0"/>
              <w:right w:val="single" w:color="auto" w:sz="4" w:space="0"/>
            </w:tcBorders>
            <w:noWrap w:val="0"/>
            <w:vAlign w:val="center"/>
          </w:tcPr>
          <w:p w14:paraId="536768E2">
            <w:pPr>
              <w:spacing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  年   月   日</w:t>
            </w:r>
          </w:p>
        </w:tc>
      </w:tr>
    </w:tbl>
    <w:p w14:paraId="2E7E16B4">
      <w:pPr>
        <w:pStyle w:val="18"/>
        <w:rPr>
          <w:rFonts w:hint="eastAsia" w:ascii="宋体" w:hAnsi="宋体" w:eastAsia="宋体" w:cs="宋体"/>
          <w:color w:val="auto"/>
        </w:rPr>
      </w:pPr>
    </w:p>
    <w:p w14:paraId="4C39A775">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1.定义</w:t>
      </w:r>
    </w:p>
    <w:p w14:paraId="1C1A7B89">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本合同下列术语应解释为：</w:t>
      </w:r>
    </w:p>
    <w:p w14:paraId="5075FBC7">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　“甲方”是指采购人。</w:t>
      </w:r>
    </w:p>
    <w:p w14:paraId="59FB0B8F">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　“乙方”是指成交供应商。</w:t>
      </w:r>
    </w:p>
    <w:p w14:paraId="0B0A2DA3">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  “见证方”是指采购代理机构。</w:t>
      </w:r>
    </w:p>
    <w:p w14:paraId="415D03D8">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　“合同”系指甲乙双方签署的、合同中载明的甲乙双方所达成的协议，包括所有的附件、附录和上述文件所提到的构成合同的所有文件。</w:t>
      </w:r>
    </w:p>
    <w:p w14:paraId="61EDBA28">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1.5　“服务”是指乙方按照招标(采购)、投标(响应)文件要求，向采购人提供的技术支持服务。</w:t>
      </w:r>
    </w:p>
    <w:p w14:paraId="5FDC6CE4">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1.6　“项目现场”是指甲方指定的最终服务地点。</w:t>
      </w:r>
    </w:p>
    <w:p w14:paraId="4DFDABB4">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　“天”除非特别指出，“天”均为自然天。</w:t>
      </w:r>
    </w:p>
    <w:p w14:paraId="0FCDF18D">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2.服务标准</w:t>
      </w:r>
    </w:p>
    <w:p w14:paraId="2F730210">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2.1　乙方为甲方交付的服务应符合招标(采购)文件所述的内容，如果没有提及适用标准，则应符合相应的国家标准。这些标准必须是有关机构发布的最新版本的标准。</w:t>
      </w:r>
    </w:p>
    <w:p w14:paraId="75B4AF16">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2.2　除非技术要求中另有规定，计量单位均采用中华人民共和国法定计量单位。</w:t>
      </w:r>
    </w:p>
    <w:p w14:paraId="417A48B8">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3.服务</w:t>
      </w:r>
    </w:p>
    <w:p w14:paraId="017980DA">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3.1　乙方应按照合同的规定，提供下列服务甲方提供符合要求的服务。</w:t>
      </w:r>
    </w:p>
    <w:p w14:paraId="5AE87B50">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4.知识产权</w:t>
      </w:r>
    </w:p>
    <w:p w14:paraId="5BC4489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4.1　乙方应保证所提供的服务免受第三方提出侵犯其知识产权(专利权、商标权、版权等)的起诉。因侵害他人知识产权而产生的法律责任，全部由供应商承担。</w:t>
      </w:r>
    </w:p>
    <w:p w14:paraId="1F1E95D5">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4.2　甲方委托乙方开发的产品，甲方享有知识产权，未经甲方许可不得转让任何第三人。</w:t>
      </w:r>
    </w:p>
    <w:p w14:paraId="1161A021">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5.保密条款</w:t>
      </w:r>
    </w:p>
    <w:p w14:paraId="195FC168">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5.1　甲乙双方应对在本合同签订或履行过程中所接触的对方信息，包括但不限于知识产权、技术资料、技术诀窍、内部管理及其他相关信息，负有保密义务。</w:t>
      </w:r>
    </w:p>
    <w:p w14:paraId="44C044E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00C2F0AF">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(1)应以审慎态度避免泄露、公开或传播甲方的信息；</w:t>
      </w:r>
    </w:p>
    <w:p w14:paraId="1FC4628A">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(2)未经甲方书面许可，不得对有关信息进行修改、补充、复制；</w:t>
      </w:r>
    </w:p>
    <w:p w14:paraId="3DA244C9">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(3)未经甲方书面许可，不得将信息以任何方式(如E－mail)携带出甲方场所；</w:t>
      </w:r>
    </w:p>
    <w:p w14:paraId="4EDB2380">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(4)未经甲方书面许可，不得将信息透露给任何其他人；</w:t>
      </w:r>
    </w:p>
    <w:p w14:paraId="5691B090">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(5)甲方以书面形式提出的其他保密措施。</w:t>
      </w:r>
    </w:p>
    <w:p w14:paraId="3BB62219">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5.3　保密期限不受合同有效期的限制，在合同有效期结束后，信息接受方仍应承担保密义务，直至该等信息成为公开信息。</w:t>
      </w:r>
    </w:p>
    <w:p w14:paraId="5A1636CA">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5.4　甲乙双方如出现泄密行为，泄密方应承担相关的法律责任，包括但是不限于对由此给对方造成的经济损失进行赔偿。</w:t>
      </w:r>
    </w:p>
    <w:p w14:paraId="257FF764">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6.服务质量保证</w:t>
      </w:r>
    </w:p>
    <w:p w14:paraId="430FAE63">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6.1　乙方应保证所提供的服务，符合合同规定的技术要求。如不符时，乙方应负全责并尽快处理解决，由此造成的损失和相关费用由乙方负责，甲方保留终止合同及索赔的权利。</w:t>
      </w:r>
    </w:p>
    <w:p w14:paraId="2FD3F428">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6.2　乙方应保证通过执行合同中全部方案后，可以取得本合同规定的结果，达到本合同规定的预期目标。对任何情况下出现问题的，应尽快提出解决方案。</w:t>
      </w:r>
    </w:p>
    <w:p w14:paraId="05AC8788">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6.3　如果乙方提供的服务和解决方案不符合甲方要求，或在规定的时间内没有弥补缺陷，甲方有权采取一切必要的补救措施，由此产生的费用全部由乙方负责。</w:t>
      </w:r>
    </w:p>
    <w:p w14:paraId="708F9745">
      <w:pPr>
        <w:pStyle w:val="9"/>
        <w:spacing w:line="540" w:lineRule="exact"/>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7.履约保证金</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不涉及</w:t>
      </w:r>
    </w:p>
    <w:p w14:paraId="5AA9C6EE">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8.服务时间、地点与验收</w:t>
      </w:r>
    </w:p>
    <w:p w14:paraId="6E5D60CD">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8.1　服务地点：合同条款前附表指定地点。</w:t>
      </w:r>
    </w:p>
    <w:p w14:paraId="64230438">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8.2　服务时间：合同条款前附表指定时间。</w:t>
      </w:r>
    </w:p>
    <w:p w14:paraId="6849028D">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8.3　甲方应在乙方完成相关服务工作后及时对服务质量、技术指标、服务成果进行验收。</w:t>
      </w:r>
    </w:p>
    <w:p w14:paraId="01A6EC0A">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9.违约责任</w:t>
      </w:r>
    </w:p>
    <w:p w14:paraId="37594415">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9.1　服务缺陷的补救措施和索赔</w:t>
      </w:r>
    </w:p>
    <w:p w14:paraId="02B6E78D">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(1)如果乙方提供的服务不符合本合同约定以及磋商文件、响应文件关于服务的要求和承诺，乙方应按照甲方同意的下列一种或几种方式结合起来解决索赔事宜：</w:t>
      </w:r>
    </w:p>
    <w:p w14:paraId="3E8A5398">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①乙方同意将服务款项目退还给甲方，由此发生的一切费用和损失由乙方承担。如甲方以适当的条件和方法购买与未履约标的相类似的服务，乙方应负担新购买类似服务所超出的费用。</w:t>
      </w:r>
    </w:p>
    <w:p w14:paraId="38AC436A">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②根据服务的质量状况以及甲方所遭受的损失，经过甲乙双方商定降低服务的价格。</w:t>
      </w:r>
    </w:p>
    <w:p w14:paraId="4F18DE75">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或者没收履约保证金，如不足以弥补甲方损失的，甲方有权进一步要求乙方赔偿。</w:t>
      </w:r>
    </w:p>
    <w:p w14:paraId="6A4CFB1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9.2　迟延履约的违约责任</w:t>
      </w:r>
    </w:p>
    <w:p w14:paraId="66D385B6">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(1)乙方应按照本合同规定的时间、地点提供服务。</w:t>
      </w:r>
    </w:p>
    <w:p w14:paraId="38836D5F">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177DE5AC">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除甲乙双方另有约定外，如果乙方没有按照合同规定的时间提供服务，且没有在甲方同意的延长的期限内进行补救时，甲方有权从服务款、履约保证金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3CF305F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2D0E7073">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9.3　未履行合同义务的违约责任</w:t>
      </w:r>
    </w:p>
    <w:p w14:paraId="7152593F">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(1)守约方有权终止全部或部分合同。</w:t>
      </w:r>
    </w:p>
    <w:p w14:paraId="455EC973">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(2)乙方违约，甲方没收全额履约保证金。</w:t>
      </w:r>
    </w:p>
    <w:p w14:paraId="140F3532">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(3)由违约一方支付违约金，违约金标准见合同条款前附表(各单位可根据实际情况自行约定)。</w:t>
      </w:r>
    </w:p>
    <w:p w14:paraId="4E14E692">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(4)违约金不足以弥补守约方实际损失、可预见或者应当预见的损失，由违约方全额予以赔偿。</w:t>
      </w:r>
    </w:p>
    <w:p w14:paraId="3CECBDA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10.不可抗力</w:t>
      </w:r>
    </w:p>
    <w:p w14:paraId="2C58E2AD">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10.1　如果合同双方因不可抗力而导致合同实施延误或合同无法实施，不应该承担误期赔偿或不能履行合同义务的责任。</w:t>
      </w:r>
    </w:p>
    <w:p w14:paraId="29F83023">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10.2　本条所述的“不可抗力”系指那些双方不可预见、不可避免、不可克服的客观情况，但不包括双方的违约或疏忽。这些事件包括但不限于：战争、严重火灾、洪水、台风、地震等。</w:t>
      </w:r>
    </w:p>
    <w:p w14:paraId="06C03080">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6D573240">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11.合同纠纷的解决方式</w:t>
      </w:r>
    </w:p>
    <w:p w14:paraId="770818DA">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11.1　合同各方应通过友好协商，解决在执行合同过程中所发生的或与合同有关的一切争端。如协商30日内(根据实际情况设定)不能解决，可以按合同规定的方式提起仲裁或诉讼。</w:t>
      </w:r>
    </w:p>
    <w:p w14:paraId="01CAACC6">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11.2　仲裁裁决应为最终裁决，对双方均具有约束力。</w:t>
      </w:r>
    </w:p>
    <w:p w14:paraId="0690BB83">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11.3　仲裁费除仲裁机关另有裁决外应由败诉方负担。</w:t>
      </w:r>
    </w:p>
    <w:p w14:paraId="663D517F">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11.4　诉讼应由甲方住所地人民法院管辖。财产保全担保保险费、财产保全申请费、律师代理费、差旅费、评估费、鉴定费诉讼费等与仲裁或诉讼活动相关费用应由败诉方负担。</w:t>
      </w:r>
    </w:p>
    <w:p w14:paraId="68729194">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11.5　如仲裁或诉讼事项不影响合同其他部分的履行，则在仲裁或诉讼期间，除正在进行仲裁或诉讼的部分外，合同的其他部分应继续执行。</w:t>
      </w:r>
    </w:p>
    <w:p w14:paraId="4D6D2FDC">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12.合同修改或变更</w:t>
      </w:r>
    </w:p>
    <w:p w14:paraId="267834CE">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12.1　如无重大变故，甲方双方不得擅自变更合同。</w:t>
      </w:r>
    </w:p>
    <w:p w14:paraId="47AA97EF">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12.2　如确需变更合同，甲乙双方应签署书面变更协议。变更协议为本合同不可分割的一部分。</w:t>
      </w:r>
    </w:p>
    <w:p w14:paraId="2B14AD8C">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12.3　在不改变合同其他条款的前提下，甲方有权在合同价款10%的范围内追加与合同标的相同的货物或服务，并就此与乙方签订补充合同，乙方不得拒绝。</w:t>
      </w:r>
    </w:p>
    <w:p w14:paraId="69DF679F">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13.合同中止</w:t>
      </w:r>
    </w:p>
    <w:p w14:paraId="3B6CA522">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13.1合同在履行过程中，因采购计划调整，甲方可以要求中止履行，待计划确定后继续履行；合同履行过程中因供应商就采购过程或结果提起投诉的，甲方认为有必要或财政部责令中止的，应当中止合同的履行。</w:t>
      </w:r>
    </w:p>
    <w:p w14:paraId="1EFF5FDF">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14.违约终止合同</w:t>
      </w:r>
    </w:p>
    <w:p w14:paraId="71B887DE">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14.1　若出现如下情况，在甲方对乙方违约行为而采取的任何补救措施不受影响的情况下，甲方可向乙方发出书面通知书，提出终止部分或全部合同。</w:t>
      </w:r>
    </w:p>
    <w:p w14:paraId="3E102E19">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14.1.1　如果乙方未能在合同规定的期限或甲方同意延长的期限内提供服务；</w:t>
      </w:r>
    </w:p>
    <w:p w14:paraId="596DB28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14.1.2　因乙方技术人员自身技术能力、经验不足等原因造成甲方硬件设备、应用系统发生重大紧急故障或应用系统数据丢失，带来重大影响和损失的；</w:t>
      </w:r>
    </w:p>
    <w:p w14:paraId="7495D8A9">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14.1.3　乙方对甲方硬件设备、应用系统重大紧急故障没有及时响应，或不能在规定时间内解决处理故障，恢复系统正常运行的；</w:t>
      </w:r>
    </w:p>
    <w:p w14:paraId="61AC9B32">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14.1.4　不能满足本项目技术需求的管理要求和规范，且经多次整改无明显改进的；</w:t>
      </w:r>
    </w:p>
    <w:p w14:paraId="0EBF076C">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14.1.5　在合同规定的每个服务年度(12个自然月)内，在运行维护支持服务过程中，出现2次经甲乙双方确认的违规操作的。</w:t>
      </w:r>
    </w:p>
    <w:p w14:paraId="4B02B34E">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095F6967">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15.破产终止合同</w:t>
      </w:r>
    </w:p>
    <w:p w14:paraId="10AE3139">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15.1　如果乙方破产或无清偿能力，甲方可在任何时候以书面形式通知乙方终止合同而不给乙方补偿。</w:t>
      </w:r>
    </w:p>
    <w:p w14:paraId="5A011F57">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15.2　该终止行为将不损害或影响甲方已经采取或将要采取的任何行动或补救措施的权利。</w:t>
      </w:r>
    </w:p>
    <w:p w14:paraId="1E4FCEF0">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16.其他情况的终止合同</w:t>
      </w:r>
    </w:p>
    <w:p w14:paraId="5E43B359">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16.1　若合同继续履行将给甲方造成重大损失的，甲方可以终止合同而不给予乙方任何补偿。</w:t>
      </w:r>
    </w:p>
    <w:p w14:paraId="00EF143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16.2　乙方在执行合同的过程中发生重大事故，对履行合同有直接影响的，甲方可以终止合同而不给予乙方任何补偿。</w:t>
      </w:r>
    </w:p>
    <w:p w14:paraId="47FF804F">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16.3　甲方因重大变故取消或部分取消原来的采购任务，导致合同全部或部分内容无须继续履行的，可以终止合同而不给予乙方任何补偿。</w:t>
      </w:r>
    </w:p>
    <w:p w14:paraId="4BAB97AA">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17.合同转让和分包</w:t>
      </w:r>
    </w:p>
    <w:p w14:paraId="1BD45277">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17.1　乙方不得以任何形式将合同转包，或部分或全部转让其应履行的合同义务。</w:t>
      </w:r>
    </w:p>
    <w:p w14:paraId="653AC59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17.2　除经甲方事先书面同意外，乙方不得以任何形式将合同分包。</w:t>
      </w:r>
    </w:p>
    <w:p w14:paraId="647DC72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18.适用法律</w:t>
      </w:r>
    </w:p>
    <w:p w14:paraId="42C7B094">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18.1　本合同适用中华人民共和国现行法律、行政法规和规章，如合同条款与法律、行政法规和规章不一致的，按照法律、行政法规和规章修改本合同。</w:t>
      </w:r>
    </w:p>
    <w:p w14:paraId="24217DAC">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19.合同语言</w:t>
      </w:r>
    </w:p>
    <w:p w14:paraId="526E598E">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19.1　本合同语言为中文。</w:t>
      </w:r>
    </w:p>
    <w:p w14:paraId="4DAA2BD0">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19.2　双方交换的与合同有关的信件和其他文件应用合同语言书写。</w:t>
      </w:r>
    </w:p>
    <w:p w14:paraId="3A4B9D86">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20.合同生效</w:t>
      </w:r>
    </w:p>
    <w:p w14:paraId="02E1807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20.1　本合同应在双方签字盖章和甲方收到乙方提供的履约保证金后生效。</w:t>
      </w:r>
    </w:p>
    <w:p w14:paraId="7491FA4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21.合同效力</w:t>
      </w:r>
    </w:p>
    <w:p w14:paraId="3A6D9A7B">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21.1　除本合同和甲乙双方书面签署的补充协议外，其他任何形式的双方约定和往来函件均不具有法律效力，对本项目无约束力。</w:t>
      </w:r>
    </w:p>
    <w:p w14:paraId="5653F247">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22.检查和审计</w:t>
      </w:r>
    </w:p>
    <w:p w14:paraId="7AC3BD41">
      <w:pPr>
        <w:pStyle w:val="9"/>
        <w:spacing w:line="540" w:lineRule="exact"/>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22.1在本合同的履行过程中，甲方有权对乙方的合同履约情况进行阶段性检查，并对乙方磋商时提供的相关资料进行复核。</w:t>
      </w:r>
    </w:p>
    <w:p w14:paraId="6A328ABA">
      <w:pPr>
        <w:spacing w:line="540" w:lineRule="exact"/>
        <w:ind w:firstLine="360" w:firstLineChars="150"/>
        <w:jc w:val="left"/>
        <w:rPr>
          <w:rFonts w:hint="eastAsia" w:ascii="仿宋" w:hAnsi="仿宋" w:eastAsia="仿宋" w:cs="仿宋"/>
          <w:color w:val="auto"/>
          <w:sz w:val="24"/>
          <w:szCs w:val="24"/>
        </w:rPr>
      </w:pPr>
      <w:r>
        <w:rPr>
          <w:rFonts w:hint="eastAsia" w:ascii="仿宋" w:hAnsi="仿宋" w:eastAsia="仿宋" w:cs="仿宋"/>
          <w:color w:val="auto"/>
          <w:sz w:val="24"/>
          <w:szCs w:val="24"/>
        </w:rPr>
        <w:t>22.2　在本合同的履行过程中，如果甲乙双方发生争议或者乙方没有按照合同约定履行义务，乙方应允许甲方检查乙方与实施本合同有关的账户和记录，并由甲方指定的审计人员对其进行审计。</w:t>
      </w:r>
    </w:p>
    <w:p w14:paraId="53267103">
      <w:pPr>
        <w:pStyle w:val="18"/>
        <w:rPr>
          <w:rFonts w:hint="eastAsia" w:ascii="宋体" w:hAnsi="宋体" w:eastAsia="宋体" w:cs="宋体"/>
          <w:lang w:val="en-US" w:eastAsia="zh-Hans"/>
        </w:rPr>
      </w:pPr>
    </w:p>
    <w:p w14:paraId="244A9767">
      <w:pPr>
        <w:rPr>
          <w:rFonts w:hint="eastAsia"/>
        </w:rPr>
      </w:pPr>
      <w:bookmarkStart w:id="0" w:name="_GoBack"/>
      <w:bookmarkEnd w:id="0"/>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200247B" w:usb2="00000009" w:usb3="00000000" w:csb0="200001FF" w:csb1="00000000"/>
  </w:font>
  <w:font w:name="楷体_GB2312">
    <w:panose1 w:val="02010609030101010101"/>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宋?">
    <w:altName w:val="宋体"/>
    <w:panose1 w:val="00000000000000000000"/>
    <w:charset w:val="81"/>
    <w:family w:val="roman"/>
    <w:pitch w:val="default"/>
    <w:sig w:usb0="00000000" w:usb1="0000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E9D54">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9D9C2CA">
                    <w:pPr>
                      <w:pStyle w:val="10"/>
                    </w:pPr>
                    <w:r>
                      <w:t>第</w:t>
                    </w:r>
                    <w:r>
                      <w:rPr>
                        <w:rFonts w:hint="eastAsia" w:ascii="宋体" w:hAnsi="宋体" w:eastAsia="宋体" w:cs="宋体"/>
                      </w:rPr>
                      <w:t xml:space="preserve">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t xml:space="preserve"> </w:t>
                    </w:r>
                    <w:r>
                      <w:t>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3C857B"/>
    <w:multiLevelType w:val="singleLevel"/>
    <w:tmpl w:val="253C857B"/>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393486A"/>
    <w:rsid w:val="06BC0E33"/>
    <w:rsid w:val="0C3538E2"/>
    <w:rsid w:val="0CD0389E"/>
    <w:rsid w:val="10B4371C"/>
    <w:rsid w:val="1F391F0F"/>
    <w:rsid w:val="24F60C4C"/>
    <w:rsid w:val="29791B0B"/>
    <w:rsid w:val="316C15ED"/>
    <w:rsid w:val="31A74A7A"/>
    <w:rsid w:val="40D32F99"/>
    <w:rsid w:val="426F60F8"/>
    <w:rsid w:val="4FCD17DD"/>
    <w:rsid w:val="6093304D"/>
    <w:rsid w:val="67716EF7"/>
    <w:rsid w:val="72CA1A45"/>
    <w:rsid w:val="76B10D5D"/>
    <w:rsid w:val="7B9B1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80" w:lineRule="atLeast"/>
    </w:pPr>
    <w:rPr>
      <w:rFonts w:ascii="仿宋" w:hAnsi="仿宋" w:eastAsia="仿宋" w:cs="仿宋"/>
      <w:kern w:val="2"/>
      <w:sz w:val="28"/>
      <w:szCs w:val="24"/>
      <w:lang w:val="en-US" w:eastAsia="zh-CN" w:bidi="ar-SA"/>
    </w:rPr>
  </w:style>
  <w:style w:type="paragraph" w:styleId="2">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3">
    <w:name w:val="heading 4"/>
    <w:basedOn w:val="1"/>
    <w:next w:val="1"/>
    <w:unhideWhenUsed/>
    <w:qFormat/>
    <w:uiPriority w:val="0"/>
    <w:pPr>
      <w:spacing w:beforeAutospacing="1" w:afterAutospacing="1"/>
      <w:outlineLvl w:val="3"/>
    </w:pPr>
    <w:rPr>
      <w:rFonts w:hint="eastAsia" w:ascii="宋体" w:hAnsi="宋体" w:eastAsia="宋体" w:cs="Times New Roman"/>
      <w:b/>
      <w:bCs/>
      <w:kern w:val="0"/>
      <w:sz w:val="24"/>
    </w:rPr>
  </w:style>
  <w:style w:type="paragraph" w:styleId="4">
    <w:name w:val="heading 6"/>
    <w:basedOn w:val="1"/>
    <w:next w:val="1"/>
    <w:qFormat/>
    <w:uiPriority w:val="99"/>
    <w:pPr>
      <w:keepNext/>
      <w:keepLines/>
      <w:spacing w:before="240" w:after="64" w:line="320" w:lineRule="auto"/>
      <w:outlineLvl w:val="5"/>
    </w:pPr>
    <w:rPr>
      <w:rFonts w:ascii="Calibri Light" w:hAnsi="Calibri Light" w:eastAsia="宋体"/>
      <w:b/>
      <w:bCs/>
      <w:sz w:val="24"/>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Body Text"/>
    <w:basedOn w:val="1"/>
    <w:next w:val="1"/>
    <w:qFormat/>
    <w:uiPriority w:val="99"/>
    <w:pPr>
      <w:widowControl w:val="0"/>
      <w:spacing w:line="360" w:lineRule="auto"/>
      <w:ind w:firstLine="1648"/>
      <w:jc w:val="both"/>
    </w:pPr>
    <w:rPr>
      <w:rFonts w:hint="eastAsia" w:ascii="Arial Unicode MS" w:hAnsi="Arial Unicode MS" w:eastAsia="Arial Unicode MS" w:cs="Arial Unicode MS"/>
      <w:color w:val="000000"/>
      <w:kern w:val="2"/>
      <w:sz w:val="32"/>
      <w:szCs w:val="32"/>
      <w:u w:color="000000"/>
      <w:lang w:eastAsia="zh-CN"/>
    </w:rPr>
  </w:style>
  <w:style w:type="paragraph" w:styleId="7">
    <w:name w:val="Body Text Indent"/>
    <w:basedOn w:val="1"/>
    <w:qFormat/>
    <w:uiPriority w:val="0"/>
    <w:pPr>
      <w:ind w:firstLine="480"/>
    </w:pPr>
    <w:rPr>
      <w:rFonts w:ascii="宋体" w:hAnsi="宋体"/>
    </w:rPr>
  </w:style>
  <w:style w:type="paragraph" w:styleId="8">
    <w:name w:val="Block Text"/>
    <w:basedOn w:val="1"/>
    <w:autoRedefine/>
    <w:qFormat/>
    <w:uiPriority w:val="0"/>
    <w:pPr>
      <w:adjustRightInd w:val="0"/>
      <w:snapToGrid w:val="0"/>
      <w:spacing w:line="360" w:lineRule="auto"/>
      <w:ind w:left="227" w:right="227" w:firstLine="420"/>
      <w:textAlignment w:val="baseline"/>
    </w:pPr>
    <w:rPr>
      <w:rFonts w:ascii="Times New Roman" w:hAnsi="Times New Roman"/>
      <w:kern w:val="0"/>
      <w:sz w:val="24"/>
    </w:rPr>
  </w:style>
  <w:style w:type="paragraph" w:styleId="9">
    <w:name w:val="Plain Text"/>
    <w:basedOn w:val="1"/>
    <w:autoRedefine/>
    <w:qFormat/>
    <w:uiPriority w:val="99"/>
    <w:rPr>
      <w:rFonts w:ascii="宋体" w:hAnsi="Courier New"/>
      <w:szCs w:val="21"/>
    </w:rPr>
  </w:style>
  <w:style w:type="paragraph" w:styleId="10">
    <w:name w:val="footer"/>
    <w:basedOn w:val="1"/>
    <w:qFormat/>
    <w:uiPriority w:val="99"/>
    <w:pPr>
      <w:tabs>
        <w:tab w:val="center" w:pos="4153"/>
        <w:tab w:val="right" w:pos="8306"/>
      </w:tabs>
      <w:snapToGrid w:val="0"/>
      <w:jc w:val="left"/>
    </w:pPr>
    <w:rPr>
      <w:sz w:val="18"/>
    </w:rPr>
  </w:style>
  <w:style w:type="paragraph" w:styleId="11">
    <w:name w:val="toc 1"/>
    <w:basedOn w:val="1"/>
    <w:next w:val="1"/>
    <w:qFormat/>
    <w:uiPriority w:val="0"/>
  </w:style>
  <w:style w:type="paragraph" w:styleId="12">
    <w:name w:val="Body Text First Indent"/>
    <w:basedOn w:val="6"/>
    <w:qFormat/>
    <w:uiPriority w:val="0"/>
    <w:pPr>
      <w:spacing w:line="240" w:lineRule="auto"/>
      <w:ind w:firstLine="420" w:firstLineChars="100"/>
    </w:pPr>
    <w:rPr>
      <w:color w:val="auto"/>
      <w:sz w:val="18"/>
      <w:szCs w:val="18"/>
    </w:rPr>
  </w:style>
  <w:style w:type="paragraph" w:styleId="13">
    <w:name w:val="Body Text First Indent 2"/>
    <w:basedOn w:val="7"/>
    <w:next w:val="1"/>
    <w:unhideWhenUsed/>
    <w:qFormat/>
    <w:uiPriority w:val="99"/>
    <w:pPr>
      <w:spacing w:after="120"/>
      <w:ind w:left="420" w:leftChars="200" w:firstLine="420" w:firstLineChars="200"/>
    </w:pPr>
    <w:rPr>
      <w:rFonts w:ascii="Times New Roman" w:eastAsia="宋?"/>
      <w:szCs w:val="24"/>
    </w:rPr>
  </w:style>
  <w:style w:type="character" w:styleId="16">
    <w:name w:val="page number"/>
    <w:qFormat/>
    <w:uiPriority w:val="0"/>
  </w:style>
  <w:style w:type="character" w:customStyle="1" w:styleId="17">
    <w:name w:val="标题 1 字符1"/>
    <w:qFormat/>
    <w:uiPriority w:val="0"/>
    <w:rPr>
      <w:rFonts w:ascii="Times New Roman" w:hAnsi="Times New Roman" w:eastAsia="宋体" w:cs="Times New Roman"/>
      <w:b/>
      <w:kern w:val="0"/>
      <w:szCs w:val="20"/>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3401</Words>
  <Characters>3448</Characters>
  <Lines>0</Lines>
  <Paragraphs>0</Paragraphs>
  <TotalTime>0</TotalTime>
  <ScaleCrop>false</ScaleCrop>
  <LinksUpToDate>false</LinksUpToDate>
  <CharactersWithSpaces>3538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2024-04-22T02:29:00Z</dcterms:created>
  <dc:creator>admin</dc:creator>
  <cp:lastModifiedBy>李雨</cp:lastModifiedBy>
  <dcterms:modified xsi:type="dcterms:W3CDTF">2026-07-16T02:06:40Z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962D8A9D2D25421D9BAE80A2B796601B_12</vt:lpwstr>
  </property>
  <property fmtid="{D5CDD505-2E9C-101B-9397-08002B2CF9AE}" pid="4" name="KSOTemplateDocerSaveRecord">
    <vt:lpwstr>eyJoZGlkIjoiNDI0YzZjNGVmMzA5N2Y4ZmZlZDQxNGEyYzcyYzQ3YzUiLCJ1c2VySWQiOiIyNTg5NTgwNjkifQ==</vt:lpwstr>
  </property>
</Properties>
</file>