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版本号：ZX2026-06-11320260716001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陕西省质量基础设施“一体化”服务建设及示范培育项目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ZX2026-06-113</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陕西省质量基础设施“一体化”服务建设及示范培育项目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ZX2026-06-113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陕西省质量基础设施“一体化”服务建设及示范培育项目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陕西省质量基础设施“一体化”服务建设及示范培育项目，1项，具体内容详见磋商文件第三章。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李雨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采购包1保证金金额：5,061.13元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号)收费标准。服务费低于捌仟元按捌仟元收取。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按磋商文件、成交供应商响应文件及合同约定执行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梁文龙</w:t>
      </w:r>
    </w:p>
    <w:p>
      <w:pPr>
        <w:pStyle w:val="null3"/>
      </w:pPr>
      <w:r>
        <w:rPr>
          <w:rFonts w:ascii="仿宋_GB2312" w:hAnsi="仿宋_GB2312" w:cs="仿宋_GB2312" w:eastAsia="仿宋_GB2312"/>
        </w:rPr>
        <w:t>联系电话：1731831774@qq.com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陕西省质量基础设施“一体化”服务建设及示范培育项目。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陕西省质量基础设施“一体化”服务建设及示范培育项目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标的名称：陕西省质量基础设施“一体化”服务建设及示范培育项目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一、项目内容</w:t>
            </w:r>
          </w:p>
          <w:p>
            <w:pPr>
              <w:pStyle w:val="null3"/>
              <w:ind w:firstLine="400"/>
            </w:pPr>
            <w:r>
              <w:rPr>
                <w:rFonts w:ascii="仿宋_GB2312" w:hAnsi="仿宋_GB2312" w:cs="仿宋_GB2312" w:eastAsia="仿宋_GB2312"/>
                <w:sz w:val="20"/>
                <w:color w:val="000000"/>
              </w:rPr>
              <w:t>本项目聚焦陕西省质量基础设施</w:t>
            </w:r>
            <w:r>
              <w:rPr>
                <w:rFonts w:ascii="仿宋_GB2312" w:hAnsi="仿宋_GB2312" w:cs="仿宋_GB2312" w:eastAsia="仿宋_GB2312"/>
                <w:sz w:val="20"/>
                <w:color w:val="000000"/>
              </w:rPr>
              <w:t>“一体化”服务建设，以“一图谱三清单”为核心抓手，系统调研省内外一体化服务现状，绘制质量基础设施服务图谱，形成问题清单、重点攻关项目清单及政策工具清单。选取重点产业链开展培育试点，通过企业走访、技术帮扶、供需对接等实务服务，验证并优化服务模式。最终形成可复制推广的典型经验，为“十五五”期间质量基础设施从“一站式”向“一体化”升级提供行动框架和帮扶依据，增强质量对产业发展的支撑能力。</w:t>
            </w:r>
          </w:p>
          <w:p>
            <w:pPr>
              <w:pStyle w:val="null3"/>
            </w:pPr>
            <w:r>
              <w:rPr>
                <w:rFonts w:ascii="仿宋_GB2312" w:hAnsi="仿宋_GB2312" w:cs="仿宋_GB2312" w:eastAsia="仿宋_GB2312"/>
                <w:b/>
                <w:color w:val="000000"/>
              </w:rPr>
              <w:t>二、具体服务要求</w:t>
            </w:r>
          </w:p>
          <w:p>
            <w:pPr>
              <w:pStyle w:val="null3"/>
              <w:ind w:firstLine="400"/>
            </w:pPr>
            <w:r>
              <w:rPr>
                <w:rFonts w:ascii="仿宋_GB2312" w:hAnsi="仿宋_GB2312" w:cs="仿宋_GB2312" w:eastAsia="仿宋_GB2312"/>
                <w:sz w:val="20"/>
                <w:color w:val="000000"/>
              </w:rPr>
              <w:t>1.调研与图谱绘制。</w:t>
            </w:r>
            <w:r>
              <w:rPr>
                <w:rFonts w:ascii="仿宋_GB2312" w:hAnsi="仿宋_GB2312" w:cs="仿宋_GB2312" w:eastAsia="仿宋_GB2312"/>
                <w:sz w:val="20"/>
                <w:color w:val="000000"/>
              </w:rPr>
              <w:t xml:space="preserve"> 系统调研省内外质量基础设施“一体化”服务现状，编制《陕西省质量基础设施“一体化”服务建设情况报告》，绘制陕西省质量基础设施服务图谱，</w:t>
            </w:r>
            <w:r>
              <w:rPr>
                <w:rFonts w:ascii="仿宋_GB2312" w:hAnsi="仿宋_GB2312" w:cs="仿宋_GB2312" w:eastAsia="仿宋_GB2312"/>
                <w:sz w:val="20"/>
                <w:color w:val="000000"/>
              </w:rPr>
              <w:t>编制</w:t>
            </w:r>
            <w:r>
              <w:rPr>
                <w:rFonts w:ascii="仿宋_GB2312" w:hAnsi="仿宋_GB2312" w:cs="仿宋_GB2312" w:eastAsia="仿宋_GB2312"/>
                <w:sz w:val="20"/>
                <w:color w:val="000000"/>
              </w:rPr>
              <w:t>问题清单、重点攻关项目清单及政策工具清单。</w:t>
            </w:r>
          </w:p>
          <w:p>
            <w:pPr>
              <w:pStyle w:val="null3"/>
              <w:ind w:firstLine="400"/>
            </w:pPr>
            <w:r>
              <w:rPr>
                <w:rFonts w:ascii="仿宋_GB2312" w:hAnsi="仿宋_GB2312" w:cs="仿宋_GB2312" w:eastAsia="仿宋_GB2312"/>
                <w:sz w:val="20"/>
                <w:color w:val="000000"/>
              </w:rPr>
              <w:t>2.</w:t>
            </w:r>
            <w:r>
              <w:rPr>
                <w:rFonts w:ascii="仿宋_GB2312" w:hAnsi="仿宋_GB2312" w:cs="仿宋_GB2312" w:eastAsia="仿宋_GB2312"/>
                <w:sz w:val="20"/>
                <w:color w:val="000000"/>
              </w:rPr>
              <w:t>产业链培育试点。</w:t>
            </w:r>
            <w:r>
              <w:rPr>
                <w:rFonts w:ascii="仿宋_GB2312" w:hAnsi="仿宋_GB2312" w:cs="仿宋_GB2312" w:eastAsia="仿宋_GB2312"/>
                <w:sz w:val="20"/>
                <w:color w:val="000000"/>
              </w:rPr>
              <w:t xml:space="preserve"> 选取重点产业链开展培育试点，组织企业走访、技术帮扶、供需对接等实务服务，总结试点经验，形成</w:t>
            </w:r>
            <w:r>
              <w:rPr>
                <w:rFonts w:ascii="仿宋_GB2312" w:hAnsi="仿宋_GB2312" w:cs="仿宋_GB2312" w:eastAsia="仿宋_GB2312"/>
                <w:sz w:val="20"/>
                <w:color w:val="000000"/>
              </w:rPr>
              <w:t>《</w:t>
            </w:r>
            <w:r>
              <w:rPr>
                <w:rFonts w:ascii="仿宋_GB2312" w:hAnsi="仿宋_GB2312" w:cs="仿宋_GB2312" w:eastAsia="仿宋_GB2312"/>
                <w:sz w:val="20"/>
                <w:color w:val="000000"/>
              </w:rPr>
              <w:t>重点产业链培育试点典型经验材料</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pPr>
            <w:r>
              <w:rPr>
                <w:rFonts w:ascii="仿宋_GB2312" w:hAnsi="仿宋_GB2312" w:cs="仿宋_GB2312" w:eastAsia="仿宋_GB2312"/>
                <w:b/>
                <w:color w:val="000000"/>
              </w:rPr>
              <w:t>三、政策依据</w:t>
            </w:r>
          </w:p>
          <w:p>
            <w:pPr>
              <w:pStyle w:val="null3"/>
              <w:ind w:firstLine="400"/>
            </w:pPr>
            <w:r>
              <w:rPr>
                <w:rFonts w:ascii="仿宋_GB2312" w:hAnsi="仿宋_GB2312" w:cs="仿宋_GB2312" w:eastAsia="仿宋_GB2312"/>
                <w:color w:val="000000"/>
              </w:rPr>
              <w:t>《质量强国建设纲要》提出</w:t>
            </w:r>
            <w:r>
              <w:rPr>
                <w:rFonts w:ascii="仿宋_GB2312" w:hAnsi="仿宋_GB2312" w:cs="仿宋_GB2312" w:eastAsia="仿宋_GB2312"/>
                <w:color w:val="000000"/>
              </w:rPr>
              <w:t>“推动质量基础设施集成服务与产业链价值链深度融合”。《陕西省质量强企强链强市工作实施方案》明确要求开展质量基础设施“一体化”服务建设，为铸链强企深度赋能。本项目通过省内外摸底、对标分析找差距、点对点帮扶、一体化强引领、调研报告指路径，推动质量基础设施从“一站式”向“一体化”服务升级，为“十五五”期间提供行动框架和精准帮扶依据。</w:t>
            </w:r>
          </w:p>
          <w:p>
            <w:pPr>
              <w:pStyle w:val="null3"/>
            </w:pPr>
            <w:r>
              <w:rPr>
                <w:rFonts w:ascii="仿宋_GB2312" w:hAnsi="仿宋_GB2312" w:cs="仿宋_GB2312" w:eastAsia="仿宋_GB2312"/>
                <w:b/>
                <w:color w:val="000000"/>
              </w:rPr>
              <w:t>四、人员要求</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供应商针对本项目配备一名项目负责人，须具有相关专业中级及以上技术职称，或具有</w:t>
            </w:r>
            <w:r>
              <w:rPr>
                <w:rFonts w:ascii="仿宋_GB2312" w:hAnsi="仿宋_GB2312" w:cs="仿宋_GB2312" w:eastAsia="仿宋_GB2312"/>
                <w:sz w:val="20"/>
                <w:color w:val="000000"/>
              </w:rPr>
              <w:t>5年及以上相关工作经验。项目团队其他成员应不少于3人，均须具有1年及以上相关工作经验，具备完成本项目调研、分析报告撰写、培训组织等工作的能力，有明确的岗位职责分工。</w:t>
            </w:r>
            <w:r>
              <w:br/>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进度款，项目整体内容完成组织验收，通过验收后，达到付款条件起15个工作日内，支付合同总金额的10.0%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磋商报价未超过磋商文件中规定的预算金额</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满足本磋商文件3.3商务要求中“服务期限、服务地点以及支付约定”的实质性条款要求的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供应商针对陕西省质量基础设施“一体化”服务建设及示范培育项目背景、项目目标等提供需求分析，至少包含：①项目理解②需求分析③内容阐述。 满足项目实施要求，无瑕疵：6分； 内容每存在1处瑕疵扣0.5分； 内容存在12处及以上瑕疵或未提供计0分。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供应商针对陕西省质量基础设施“一体化”服务建设及示范培育项目要求，制定详细全面的服务方案，至少包含：①实施方案②调研工作采取的具体措施，能够保证项目质量③分析报告符合相关规范要求。 满足项目实施要求，无瑕疵计12分； 每存在一处瑕疵，扣0.5分； 上述内容均未提供或内容存在24处及以上瑕疵不计分。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5服务响应偏离表.docx</w:t>
            </w:r>
          </w:p>
          <w:p>
            <w:pPr>
              <w:pStyle w:val="null3"/>
            </w:pPr>
            <w:r>
              <w:rPr>
                <w:rFonts w:ascii="仿宋_GB2312" w:hAnsi="仿宋_GB2312" w:cs="仿宋_GB2312" w:eastAsia="仿宋_GB2312"/>
              </w:rPr>
              <w:t>7服务方案.docx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供应商针对陕西省质量基础设施‘一体化’服务建设及示范培育项目，提供详细的组织进度计划,至少包含：①各关键节点进度安排②进度计划保障措施。 满足项目实施要求，无瑕疵计6分； 每存在一处瑕疵，扣0.5分； 上述内容均未提供或内容存在12处及以上瑕疵不计分。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8进度计划.docx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供应商针对本项目制定质量保障方案，至少包含：①质量保障方案②成果保障措施。 满足项目实施要求，无瑕疵：6分； 内容每存在1处瑕疵扣0.5分； 内容存在12处及以上瑕疵或未提供计0分。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9质量保障方案.docx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供应商针对本项目提出实施过程中的重点、难点，至少包含：①具体重难点分析②解决方案及应对措施。 满足项目实施要求，无瑕疵计5分； 每存在一处瑕疵，扣0.5分； 上述内容均未提供或内容存在10处及以上瑕疵不计分。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10重点难点分析.docx</w:t>
            </w:r>
          </w:p>
        </w:tc>
      </w:tr>
      <w:tr>
        <w:tc>
          <w:tcPr>
            <w:tcW w:type="dxa" w:w="831"/>
            <w:vMerge/>
          </w:tcPr>
          <w:p/>
        </w:tc>
        <w:tc>
          <w:tcPr>
            <w:tcW w:type="dxa" w:w="1661"/>
          </w:tcPr>
          <w:p>
            <w:pPr>
              <w:pStyle w:val="null3"/>
            </w:pPr>
            <w:r>
              <w:rPr>
                <w:rFonts w:ascii="仿宋_GB2312" w:hAnsi="仿宋_GB2312" w:cs="仿宋_GB2312" w:eastAsia="仿宋_GB2312"/>
              </w:rPr>
              <w:t>团队介绍</w:t>
            </w:r>
          </w:p>
        </w:tc>
        <w:tc>
          <w:tcPr>
            <w:tcW w:type="dxa" w:w="2492"/>
          </w:tcPr>
          <w:p>
            <w:pPr>
              <w:pStyle w:val="null3"/>
            </w:pPr>
            <w:r>
              <w:rPr>
                <w:rFonts w:ascii="仿宋_GB2312" w:hAnsi="仿宋_GB2312" w:cs="仿宋_GB2312" w:eastAsia="仿宋_GB2312"/>
              </w:rPr>
              <w:t>供应商针对本项目拟派团队至少提供：①人员清单②岗位职责分工。 满足项目实施要求，无瑕疵计5分； 每存在一处瑕疵，扣0.5分； 上述内容均未提供或内容存在10处及以上瑕疵不计分。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11团队介绍.docx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配备的项目负责人，具备项目相关专业中级及以上职称或具备5年及以上工作经验计5分。注：提供职称证书复印件并加盖供应商公章，工作经验提供相关证明材料（劳动合同或社保缴纳证明），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12项目负责人.docx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针对本项目配备的团队人员（项目负责人除外），①具备中级及以上职称，每有1人计2分，满分6分；②所有人员均具有1年及以上相关工作经验计5分。 注：提供上述人员职称证书复印件并加盖供应商公章，工作经验提供相关证明材料（劳动合同或社保缴纳证明），否则不计分。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13团队人员.docx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同类项目是指质量基础设施、产业链质量服务、质量强省、质量强市、质量强县服务课题等），扫描件必须清晰体现签约主体和日期、项目名称及内容、合同金额等核心要素。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供应商承诺采购人在使用最终成果（至少包含图谱、清单、报告、案例、技术帮扶方案等）时，不承担任何涉及知识产权的追责，因使用未被授权使用的内容引起的纠纷由供应商自行承担，采购人不承担因此产生的任何责任，计3分，未提供承诺不计分。 承诺2：对采购人提出的意见和建议，要认真及时加以整改，承诺若出现不符合工作要求的服务或人员，须根据采购人要求及时进行更换、补充。承诺内容完整计2分，缺项或未提供均不计分。 承诺3：供应商承诺接受采购人对服务的监督、考核及管理，对不足之处及时改进的计2分，未承诺不计分。 承诺4：供应商承诺未经采购人同意，服务期内团队人员不得随意更换的计2分，未承诺不计分。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15服务承诺.docx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供应商提供针对有利于本项目实施的合理化建议或增值服务承诺，每提供1个经磋商小组一致认定的增值服务承诺计1分，最多得5分。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16合理化建议或增值服务.docx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详见附件：6需求分析.docx</w:t>
      </w:r>
    </w:p>
    <w:p>
      <w:pPr>
        <w:pStyle w:val="null3"/>
        <w:ind w:firstLine="960"/>
      </w:pPr>
      <w:r>
        <w:rPr>
          <w:rFonts w:ascii="仿宋_GB2312" w:hAnsi="仿宋_GB2312" w:cs="仿宋_GB2312" w:eastAsia="仿宋_GB2312"/>
        </w:rPr>
        <w:t>详见附件：7服务方案.docx</w:t>
      </w:r>
    </w:p>
    <w:p>
      <w:pPr>
        <w:pStyle w:val="null3"/>
        <w:ind w:firstLine="960"/>
      </w:pPr>
      <w:r>
        <w:rPr>
          <w:rFonts w:ascii="仿宋_GB2312" w:hAnsi="仿宋_GB2312" w:cs="仿宋_GB2312" w:eastAsia="仿宋_GB2312"/>
        </w:rPr>
        <w:t>详见附件：8进度计划.docx</w:t>
      </w:r>
    </w:p>
    <w:p>
      <w:pPr>
        <w:pStyle w:val="null3"/>
        <w:ind w:firstLine="960"/>
      </w:pPr>
      <w:r>
        <w:rPr>
          <w:rFonts w:ascii="仿宋_GB2312" w:hAnsi="仿宋_GB2312" w:cs="仿宋_GB2312" w:eastAsia="仿宋_GB2312"/>
        </w:rPr>
        <w:t>详见附件：9质量保障方案.docx</w:t>
      </w:r>
    </w:p>
    <w:p>
      <w:pPr>
        <w:pStyle w:val="null3"/>
        <w:ind w:firstLine="960"/>
      </w:pPr>
      <w:r>
        <w:rPr>
          <w:rFonts w:ascii="仿宋_GB2312" w:hAnsi="仿宋_GB2312" w:cs="仿宋_GB2312" w:eastAsia="仿宋_GB2312"/>
        </w:rPr>
        <w:t>详见附件：10重点难点分析.docx</w:t>
      </w:r>
    </w:p>
    <w:p>
      <w:pPr>
        <w:pStyle w:val="null3"/>
        <w:ind w:firstLine="960"/>
      </w:pPr>
      <w:r>
        <w:rPr>
          <w:rFonts w:ascii="仿宋_GB2312" w:hAnsi="仿宋_GB2312" w:cs="仿宋_GB2312" w:eastAsia="仿宋_GB2312"/>
        </w:rPr>
        <w:t>详见附件：11团队介绍.docx</w:t>
      </w:r>
    </w:p>
    <w:p>
      <w:pPr>
        <w:pStyle w:val="null3"/>
        <w:ind w:firstLine="960"/>
      </w:pPr>
      <w:r>
        <w:rPr>
          <w:rFonts w:ascii="仿宋_GB2312" w:hAnsi="仿宋_GB2312" w:cs="仿宋_GB2312" w:eastAsia="仿宋_GB2312"/>
        </w:rPr>
        <w:t>详见附件：12项目负责人.docx</w:t>
      </w:r>
    </w:p>
    <w:p>
      <w:pPr>
        <w:pStyle w:val="null3"/>
        <w:ind w:firstLine="960"/>
      </w:pPr>
      <w:r>
        <w:rPr>
          <w:rFonts w:ascii="仿宋_GB2312" w:hAnsi="仿宋_GB2312" w:cs="仿宋_GB2312" w:eastAsia="仿宋_GB2312"/>
        </w:rPr>
        <w:t>详见附件：13团队人员.docx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详见附件：16合理化建议或增值服务.docx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