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版本号：CAZH-HZCG-202601020260513001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佛坪县2026年中央财政林业草原改革发展资金(林业有害生物防治)项目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CAZH-HZCG-2026010</w:t>
      </w:r>
      <w:r>
        <w:br/>
      </w:r>
      <w:r>
        <w:br/>
      </w:r>
      <w:r>
        <w:br/>
      </w:r>
    </w:p>
    <w:p>
      <w:pPr>
        <w:pStyle w:val="null3"/>
        <w:jc w:val="center"/>
        <w:outlineLvl w:val="2"/>
      </w:pPr>
      <w:r>
        <w:rPr>
          <w:rFonts w:ascii="仿宋_GB2312" w:hAnsi="仿宋_GB2312" w:cs="仿宋_GB2312" w:eastAsia="仿宋_GB2312"/>
          <w:sz w:val="28"/>
          <w:b/>
        </w:rPr>
        <w:t>佛坪县秦岭生态保护中心</w:t>
      </w:r>
    </w:p>
    <w:p>
      <w:pPr>
        <w:pStyle w:val="null3"/>
        <w:jc w:val="center"/>
        <w:outlineLvl w:val="2"/>
      </w:pPr>
      <w:r>
        <w:rPr>
          <w:rFonts w:ascii="仿宋_GB2312" w:hAnsi="仿宋_GB2312" w:cs="仿宋_GB2312" w:eastAsia="仿宋_GB2312"/>
          <w:sz w:val="28"/>
          <w:b/>
        </w:rPr>
        <w:t>陕西辰安臻和项目管理有限公司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陕西辰安臻和项目管理有限公司</w:t>
      </w:r>
      <w:r>
        <w:rPr>
          <w:rFonts w:ascii="仿宋_GB2312" w:hAnsi="仿宋_GB2312" w:cs="仿宋_GB2312" w:eastAsia="仿宋_GB2312"/>
        </w:rPr>
        <w:t>（以下简称“代理机构”）受</w:t>
      </w:r>
      <w:r>
        <w:rPr>
          <w:rFonts w:ascii="仿宋_GB2312" w:hAnsi="仿宋_GB2312" w:cs="仿宋_GB2312" w:eastAsia="仿宋_GB2312"/>
        </w:rPr>
        <w:t>佛坪县秦岭生态保护中心</w:t>
      </w:r>
      <w:r>
        <w:rPr>
          <w:rFonts w:ascii="仿宋_GB2312" w:hAnsi="仿宋_GB2312" w:cs="仿宋_GB2312" w:eastAsia="仿宋_GB2312"/>
        </w:rPr>
        <w:t>委托，拟对</w:t>
      </w:r>
      <w:r>
        <w:rPr>
          <w:rFonts w:ascii="仿宋_GB2312" w:hAnsi="仿宋_GB2312" w:cs="仿宋_GB2312" w:eastAsia="仿宋_GB2312"/>
        </w:rPr>
        <w:t>佛坪县2026年中央财政林业草原改革发展资金(林业有害生物防治)项目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CAZH-HZCG-2026010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佛坪县2026年中央财政林业草原改革发展资金(林业有害生物防治)项目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根据2026年春季普查数据，全县累计发现枯死、濒死松树23834株，涉及6镇1办。大河坝镇全域10个行政村，枯死松树3843株；石墩河镇全域3个行政村，枯死松树4066株；陈家坝镇全域5个行政村，枯死松树4225株；长角坝镇全域6个行政村，枯死松树3515株；西岔河镇全域6个行政村，枯死松树3405株；岳坝镇全域8个行政村，枯死松树2878株；袁家庄街道办6个行政村，枯死松树5735株。</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采购包1（大河坝镇，石墩河镇，陈家坝镇林业有害生物防治）：属于专门面向小微企业采购。</w:t>
      </w:r>
    </w:p>
    <w:p>
      <w:pPr>
        <w:pStyle w:val="null3"/>
      </w:pPr>
      <w:r>
        <w:rPr>
          <w:rFonts w:ascii="仿宋_GB2312" w:hAnsi="仿宋_GB2312" w:cs="仿宋_GB2312" w:eastAsia="仿宋_GB2312"/>
        </w:rPr>
        <w:t>采购包2（长角坝镇，西岔河镇，岳坝镇林业有害生物防治）：属于专门面向小微企业采购。</w:t>
      </w:r>
    </w:p>
    <w:p>
      <w:pPr>
        <w:pStyle w:val="null3"/>
      </w:pPr>
      <w:r>
        <w:rPr>
          <w:rFonts w:ascii="仿宋_GB2312" w:hAnsi="仿宋_GB2312" w:cs="仿宋_GB2312" w:eastAsia="仿宋_GB2312"/>
        </w:rPr>
        <w:t>采购包3（袁家庄街道办林业有害生物防治）：属于专门面向小微企业采购。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需在项目电子化交易系统中按要求上传相应证明文件并进行电子签章。：供应商应具有独立承担民事责任的能力的企业法人、事业法人、其他组织或者自然人,企业法人应提供营业执照等证明文件；事业法人应提供事业单位法人证、组织机构代码证等证明文件（或统一社会信用代码的事业单位法人证）等证明文件；其他组织应提供合法证明文件；自然人提供身份证明文件</w:t>
      </w:r>
    </w:p>
    <w:p>
      <w:pPr>
        <w:pStyle w:val="null3"/>
      </w:pPr>
      <w:r>
        <w:rPr>
          <w:rFonts w:ascii="仿宋_GB2312" w:hAnsi="仿宋_GB2312" w:cs="仿宋_GB2312" w:eastAsia="仿宋_GB2312"/>
        </w:rPr>
        <w:t>2、供应商需在项目电子化交易系统中按要求上传相应证明文件并进行电子签章。：按照汉中市财政局《关于全面推行政府采购供应商基本资格条件承诺制的通知》（汉采办采管〔2024〕20号）文件要求，提供《汉中市政府采购供应商资格承诺函》</w:t>
      </w:r>
    </w:p>
    <w:p>
      <w:pPr>
        <w:pStyle w:val="null3"/>
      </w:pPr>
      <w:r>
        <w:rPr>
          <w:rFonts w:ascii="仿宋_GB2312" w:hAnsi="仿宋_GB2312" w:cs="仿宋_GB2312" w:eastAsia="仿宋_GB2312"/>
        </w:rPr>
        <w:t>3、供应商需在项目电子化交易系统中按要求上传相应证明文件并进行电子签章。：供应商应提供有效期内《陕西省林业有害生物防治资质证书》丙级及以上资质证书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需在项目电子化交易系统中按要求上传相应证明文件并进行电子签章。：供应商应具有独立承担民事责任的能力的企业法人、事业法人、其他组织或者自然人,企业法人应提供营业执照等证明文件；事业法人应提供事业单位法人证、组织机构代码证等证明文件（或统一社会信用代码的事业单位法人证）等证明文件；其他组织应提供合法证明文件；自然人提供身份证明文件</w:t>
      </w:r>
    </w:p>
    <w:p>
      <w:pPr>
        <w:pStyle w:val="null3"/>
      </w:pPr>
      <w:r>
        <w:rPr>
          <w:rFonts w:ascii="仿宋_GB2312" w:hAnsi="仿宋_GB2312" w:cs="仿宋_GB2312" w:eastAsia="仿宋_GB2312"/>
        </w:rPr>
        <w:t>2、供应商需在项目电子化交易系统中按要求上传相应证明文件并进行电子签章。：按照汉中市财政局《关于全面推行政府采购供应商基本资格条件承诺制的通知》（汉采办采管〔2024〕20号）文件要求，提供《汉中市政府采购供应商资格承诺函》</w:t>
      </w:r>
    </w:p>
    <w:p>
      <w:pPr>
        <w:pStyle w:val="null3"/>
      </w:pPr>
      <w:r>
        <w:rPr>
          <w:rFonts w:ascii="仿宋_GB2312" w:hAnsi="仿宋_GB2312" w:cs="仿宋_GB2312" w:eastAsia="仿宋_GB2312"/>
        </w:rPr>
        <w:t>3、供应商需在项目电子化交易系统中按要求上传相应证明文件并进行电子签章。：供应商应提供有效期内《陕西省林业有害生物防治资质证书》丙级及以上资质证书</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供应商需在项目电子化交易系统中按要求上传相应证明文件并进行电子签章。：供应商应具有独立承担民事责任的能力的企业法人、事业法人、其他组织或者自然人,企业法人应提供营业执照等证明文件；事业法人应提供事业单位法人证、组织机构代码证等证明文件（或统一社会信用代码的事业单位法人证）等证明文件；其他组织应提供合法证明文件；自然人提供身份证明文件</w:t>
      </w:r>
    </w:p>
    <w:p>
      <w:pPr>
        <w:pStyle w:val="null3"/>
      </w:pPr>
      <w:r>
        <w:rPr>
          <w:rFonts w:ascii="仿宋_GB2312" w:hAnsi="仿宋_GB2312" w:cs="仿宋_GB2312" w:eastAsia="仿宋_GB2312"/>
        </w:rPr>
        <w:t>2、供应商需在项目电子化交易系统中按要求上传相应证明文件并进行电子签章。：按照汉中市财政局《关于全面推行政府采购供应商基本资格条件承诺制的通知》（汉采办采管〔2024〕20号）文件要求，提供《汉中市政府采购供应商资格承诺函》</w:t>
      </w:r>
    </w:p>
    <w:p>
      <w:pPr>
        <w:pStyle w:val="null3"/>
      </w:pPr>
      <w:r>
        <w:rPr>
          <w:rFonts w:ascii="仿宋_GB2312" w:hAnsi="仿宋_GB2312" w:cs="仿宋_GB2312" w:eastAsia="仿宋_GB2312"/>
        </w:rPr>
        <w:t>3、供应商需在项目电子化交易系统中按要求上传相应证明文件并进行电子签章。：供应商应提供有效期内《陕西省林业有害生物防治资质证书》丙级及以上资质证书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佛坪县秦岭生态保护中心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佛坪县熊猫大道18号林业局2楼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佛坪县秦岭生态保护中心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15929515312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陕西辰安臻和项目管理有限公司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汉台区红叶大酒店后院汉中航空工业（集团）有限公司办公大楼二楼210室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石皓文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15319372697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佛坪县政府采购管理股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肖慧</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0916-8913691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采购包1：728,000.00元</w:t>
            </w:r>
          </w:p>
          <w:p>
            <w:pPr>
              <w:pStyle w:val="null3"/>
            </w:pPr>
            <w:r>
              <w:rPr>
                <w:rFonts w:ascii="仿宋_GB2312" w:hAnsi="仿宋_GB2312" w:cs="仿宋_GB2312" w:eastAsia="仿宋_GB2312"/>
              </w:rPr>
              <w:t>采购包2：587,900.00元</w:t>
            </w:r>
          </w:p>
          <w:p>
            <w:pPr>
              <w:pStyle w:val="null3"/>
            </w:pPr>
            <w:r>
              <w:rPr>
                <w:rFonts w:ascii="仿宋_GB2312" w:hAnsi="仿宋_GB2312" w:cs="仿宋_GB2312" w:eastAsia="仿宋_GB2312"/>
              </w:rPr>
              <w:t>采购包3：344,000.00元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服务类</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服务类</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服务类</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采购包1保证金金额：1,000.00元</w:t>
            </w:r>
          </w:p>
          <w:p>
            <w:pPr>
              <w:pStyle w:val="null3"/>
            </w:pPr>
            <w:r>
              <w:rPr>
                <w:rFonts w:ascii="仿宋_GB2312" w:hAnsi="仿宋_GB2312" w:cs="仿宋_GB2312" w:eastAsia="仿宋_GB2312"/>
              </w:rPr>
              <w:t>采购包2保证金金额：1,000.00元</w:t>
            </w:r>
          </w:p>
          <w:p>
            <w:pPr>
              <w:pStyle w:val="null3"/>
            </w:pPr>
            <w:r>
              <w:rPr>
                <w:rFonts w:ascii="仿宋_GB2312" w:hAnsi="仿宋_GB2312" w:cs="仿宋_GB2312" w:eastAsia="仿宋_GB2312"/>
              </w:rPr>
              <w:t>采购包3保证金金额：1,000.00元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开户名称：陕西辰安臻和项目管理有限公司汉中分公司</w:t>
            </w:r>
          </w:p>
          <w:p>
            <w:pPr>
              <w:pStyle w:val="null3"/>
            </w:pPr>
            <w:r>
              <w:rPr>
                <w:rFonts w:ascii="仿宋_GB2312" w:hAnsi="仿宋_GB2312" w:cs="仿宋_GB2312" w:eastAsia="仿宋_GB2312"/>
              </w:rPr>
              <w:t>开户银行：中国工商银行股份有限公司汉中劳动西路支行</w:t>
            </w:r>
          </w:p>
          <w:p>
            <w:pPr>
              <w:pStyle w:val="null3"/>
            </w:pPr>
            <w:r>
              <w:rPr>
                <w:rFonts w:ascii="仿宋_GB2312" w:hAnsi="仿宋_GB2312" w:cs="仿宋_GB2312" w:eastAsia="仿宋_GB2312"/>
              </w:rPr>
              <w:t>银行账号：2606 0555 0910 0125 737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本采购包履约保证金为合同金额的10%</w:t>
            </w:r>
          </w:p>
          <w:p>
            <w:pPr>
              <w:pStyle w:val="null3"/>
            </w:pPr>
            <w:r>
              <w:rPr>
                <w:rFonts w:ascii="仿宋_GB2312" w:hAnsi="仿宋_GB2312" w:cs="仿宋_GB2312" w:eastAsia="仿宋_GB2312"/>
              </w:rPr>
              <w:t>说明：成交供应商应在签订合同前向采购人足额缴纳履约保证金。</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本采购包履约保证金为合同金额的10%</w:t>
            </w:r>
          </w:p>
          <w:p>
            <w:pPr>
              <w:pStyle w:val="null3"/>
            </w:pPr>
            <w:r>
              <w:rPr>
                <w:rFonts w:ascii="仿宋_GB2312" w:hAnsi="仿宋_GB2312" w:cs="仿宋_GB2312" w:eastAsia="仿宋_GB2312"/>
              </w:rPr>
              <w:t>说明：成交供应商应在签订合同前向采购人足额缴纳履约保证金。</w:t>
            </w:r>
          </w:p>
          <w:p>
            <w:pPr>
              <w:pStyle w:val="null3"/>
            </w:pPr>
            <w:r>
              <w:rPr>
                <w:rFonts w:ascii="仿宋_GB2312" w:hAnsi="仿宋_GB2312" w:cs="仿宋_GB2312" w:eastAsia="仿宋_GB2312"/>
              </w:rPr>
              <w:t>采购包3：缴纳</w:t>
            </w:r>
          </w:p>
          <w:p>
            <w:pPr>
              <w:pStyle w:val="null3"/>
            </w:pPr>
            <w:r>
              <w:rPr>
                <w:rFonts w:ascii="仿宋_GB2312" w:hAnsi="仿宋_GB2312" w:cs="仿宋_GB2312" w:eastAsia="仿宋_GB2312"/>
              </w:rPr>
              <w:t>本采购包履约保证金为合同金额的10%</w:t>
            </w:r>
          </w:p>
          <w:p>
            <w:pPr>
              <w:pStyle w:val="null3"/>
            </w:pPr>
            <w:r>
              <w:rPr>
                <w:rFonts w:ascii="仿宋_GB2312" w:hAnsi="仿宋_GB2312" w:cs="仿宋_GB2312" w:eastAsia="仿宋_GB2312"/>
              </w:rPr>
              <w:t>说明：成交供应商应在签订合同前向采购人足额缴纳履约保证金。</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供应商应依据成交金额向采购代理机构交纳成交服务费，交费金额参照国家计委颁布的《招标代理服务收费管理暂行办法》（计价格[2002]1980号）及发改办价格[2003]857号文件的规定标准下浮20%收取；2、本项目代理服务费按服务类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佛坪县秦岭生态保护中心</w:t>
      </w:r>
      <w:r>
        <w:rPr>
          <w:rFonts w:ascii="仿宋_GB2312" w:hAnsi="仿宋_GB2312" w:cs="仿宋_GB2312" w:eastAsia="仿宋_GB2312"/>
        </w:rPr>
        <w:t>和</w:t>
      </w:r>
      <w:r>
        <w:rPr>
          <w:rFonts w:ascii="仿宋_GB2312" w:hAnsi="仿宋_GB2312" w:cs="仿宋_GB2312" w:eastAsia="仿宋_GB2312"/>
        </w:rPr>
        <w:t>陕西辰安臻和项目管理有限公司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佛坪县秦岭生态保护中心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陕西辰安臻和项目管理有限公司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佛坪县秦岭生态保护中心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陕西辰安臻和项目管理有限公司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无1</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无</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陕西辰安臻和项目管理有限公司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陕西辰安臻和项目管理有限公司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陕西辰安臻和项目管理有限公司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联系人：石皓文</w:t>
      </w:r>
    </w:p>
    <w:p>
      <w:pPr>
        <w:pStyle w:val="null3"/>
      </w:pPr>
      <w:r>
        <w:rPr>
          <w:rFonts w:ascii="仿宋_GB2312" w:hAnsi="仿宋_GB2312" w:cs="仿宋_GB2312" w:eastAsia="仿宋_GB2312"/>
        </w:rPr>
        <w:t>联系电话：15319372697</w:t>
      </w:r>
    </w:p>
    <w:p>
      <w:pPr>
        <w:pStyle w:val="null3"/>
      </w:pPr>
      <w:r>
        <w:rPr>
          <w:rFonts w:ascii="仿宋_GB2312" w:hAnsi="仿宋_GB2312" w:cs="仿宋_GB2312" w:eastAsia="仿宋_GB2312"/>
        </w:rPr>
        <w:t>地址：汉台区红叶大酒店后院汉中航空工业（集团）有限公司办公大楼二楼210室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根据2026年春季普查数据，全县累计发现枯死、濒死松树23834株，涉及6镇1办。大河坝镇全域10个行政村，枯死松树3843株；石墩河镇全域3个行政村，枯死松树4066株；陈家坝镇全域5个行政村，枯死松树4225株；长角坝镇全域6个行政村，枯死松树3515株；西岔河镇全域6个行政村，枯死松树3405株；岳坝镇全域8个行政村，枯死松树2878株；袁家庄街道办6个行政村范围，共除治枯死松树5735株。</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728,000.00</w:t>
      </w:r>
    </w:p>
    <w:p>
      <w:pPr>
        <w:pStyle w:val="null3"/>
      </w:pPr>
      <w:r>
        <w:rPr>
          <w:rFonts w:ascii="仿宋_GB2312" w:hAnsi="仿宋_GB2312" w:cs="仿宋_GB2312" w:eastAsia="仿宋_GB2312"/>
        </w:rPr>
        <w:t>采购包最高限价（元）: 728,000.00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林业有害生物防治</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728,000.00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587,900.00</w:t>
      </w:r>
    </w:p>
    <w:p>
      <w:pPr>
        <w:pStyle w:val="null3"/>
      </w:pPr>
      <w:r>
        <w:rPr>
          <w:rFonts w:ascii="仿宋_GB2312" w:hAnsi="仿宋_GB2312" w:cs="仿宋_GB2312" w:eastAsia="仿宋_GB2312"/>
        </w:rPr>
        <w:t>采购包最高限价（元）: 587,900.00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林业有害生物防治</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587,900.00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344,000.00</w:t>
      </w:r>
    </w:p>
    <w:p>
      <w:pPr>
        <w:pStyle w:val="null3"/>
      </w:pPr>
      <w:r>
        <w:rPr>
          <w:rFonts w:ascii="仿宋_GB2312" w:hAnsi="仿宋_GB2312" w:cs="仿宋_GB2312" w:eastAsia="仿宋_GB2312"/>
        </w:rPr>
        <w:t>采购包最高限价（元）: 344,000.00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林业有害生物防治</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344,000.00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标的名称：林业有害生物防治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一标段：大河坝镇全域10个行政村，枯死松树3843株；石墩河镇全域3个行政村，枯死松树4066株；陈家坝镇全域5个行政村，枯死松树4225株。共除治枯死松树12134株。</w:t>
            </w:r>
          </w:p>
          <w:p>
            <w:pPr>
              <w:pStyle w:val="null3"/>
            </w:pPr>
            <w:r>
              <w:rPr>
                <w:rFonts w:ascii="仿宋_GB2312" w:hAnsi="仿宋_GB2312" w:cs="仿宋_GB2312" w:eastAsia="仿宋_GB2312"/>
              </w:rPr>
              <w:t>一、主要防治措施</w:t>
            </w:r>
          </w:p>
          <w:p>
            <w:pPr>
              <w:pStyle w:val="null3"/>
            </w:pPr>
            <w:r>
              <w:rPr>
                <w:rFonts w:ascii="仿宋_GB2312" w:hAnsi="仿宋_GB2312" w:cs="仿宋_GB2312" w:eastAsia="仿宋_GB2312"/>
              </w:rPr>
              <w:t>1.疫木除治清理。对绩效承包区域内的死亡（病死、其他原因致死）松树进行全面除治清理，按技术要求彻底销毁，做到即死即清、应除尽除。建立各除治小班的除治前和除治过程的疫木烧毁处理影像资料，提交县林业局验收备查，严禁转移地点砍伐松树或烧毁不彻底的现象发生。</w:t>
            </w:r>
          </w:p>
          <w:p>
            <w:pPr>
              <w:pStyle w:val="null3"/>
            </w:pPr>
            <w:r>
              <w:rPr>
                <w:rFonts w:ascii="仿宋_GB2312" w:hAnsi="仿宋_GB2312" w:cs="仿宋_GB2312" w:eastAsia="仿宋_GB2312"/>
              </w:rPr>
              <w:t>2.档案管理。乙方要科学制定松材线虫病疫情防治作业方案，把防治地块、除治范围、施工责任落实到小班地块，完善绩效承包区域内的松材线虫病疫情普查、防治、疫木除治等工作台账，整理松材线虫病疫情防治、除治清理现场、伐桩处理的图片和影像资料，建立除治档案资料以备检查。</w:t>
            </w:r>
          </w:p>
          <w:p>
            <w:pPr>
              <w:pStyle w:val="null3"/>
            </w:pPr>
            <w:r>
              <w:rPr>
                <w:rFonts w:ascii="仿宋_GB2312" w:hAnsi="仿宋_GB2312" w:cs="仿宋_GB2312" w:eastAsia="仿宋_GB2312"/>
              </w:rPr>
              <w:t>二、技术要求</w:t>
            </w:r>
          </w:p>
          <w:p>
            <w:pPr>
              <w:pStyle w:val="null3"/>
            </w:pPr>
            <w:r>
              <w:rPr>
                <w:rFonts w:ascii="仿宋_GB2312" w:hAnsi="仿宋_GB2312" w:cs="仿宋_GB2312" w:eastAsia="仿宋_GB2312"/>
              </w:rPr>
              <w:t>1.严格按照国家、省、市林业部门技术规程要求；</w:t>
            </w:r>
          </w:p>
          <w:p>
            <w:pPr>
              <w:pStyle w:val="null3"/>
            </w:pPr>
            <w:r>
              <w:rPr>
                <w:rFonts w:ascii="仿宋_GB2312" w:hAnsi="仿宋_GB2312" w:cs="仿宋_GB2312" w:eastAsia="仿宋_GB2312"/>
              </w:rPr>
              <w:t>2.国家林草局《松材线虫病防治技术方案（2024年版）》；</w:t>
            </w:r>
          </w:p>
          <w:p>
            <w:pPr>
              <w:pStyle w:val="null3"/>
            </w:pPr>
            <w:r>
              <w:rPr>
                <w:rFonts w:ascii="仿宋_GB2312" w:hAnsi="仿宋_GB2312" w:cs="仿宋_GB2312" w:eastAsia="仿宋_GB2312"/>
              </w:rPr>
              <w:t>3.国家林草局《松材线虫病疫区和疫木管理办法》；</w:t>
            </w:r>
          </w:p>
          <w:p>
            <w:pPr>
              <w:pStyle w:val="null3"/>
            </w:pPr>
            <w:r>
              <w:rPr>
                <w:rFonts w:ascii="仿宋_GB2312" w:hAnsi="仿宋_GB2312" w:cs="仿宋_GB2312" w:eastAsia="仿宋_GB2312"/>
              </w:rPr>
              <w:t>4.国务院《森林病虫害防治条例》；</w:t>
            </w:r>
          </w:p>
          <w:p>
            <w:pPr>
              <w:pStyle w:val="null3"/>
            </w:pPr>
            <w:r>
              <w:rPr>
                <w:rFonts w:ascii="仿宋_GB2312" w:hAnsi="仿宋_GB2312" w:cs="仿宋_GB2312" w:eastAsia="仿宋_GB2312"/>
              </w:rPr>
              <w:t>5.国家标准《松材线虫病检疫技术规程(GB /T 23476- 2009)》。</w:t>
            </w:r>
          </w:p>
          <w:p>
            <w:pPr>
              <w:pStyle w:val="null3"/>
              <w:ind w:firstLine="624"/>
              <w:jc w:val="both"/>
            </w:pP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标的名称：林业有害生物防治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二标段：长角坝镇全域6个行政村，枯死松树3515株；西岔河镇全域6个行政村，枯死松树3405株；岳坝镇全域8个行政村，枯死松树2878株。共除治枯死松树9798株。</w:t>
            </w:r>
          </w:p>
          <w:p>
            <w:pPr>
              <w:pStyle w:val="null3"/>
            </w:pPr>
            <w:r>
              <w:rPr>
                <w:rFonts w:ascii="仿宋_GB2312" w:hAnsi="仿宋_GB2312" w:cs="仿宋_GB2312" w:eastAsia="仿宋_GB2312"/>
              </w:rPr>
              <w:t>一、主要防治措施</w:t>
            </w:r>
          </w:p>
          <w:p>
            <w:pPr>
              <w:pStyle w:val="null3"/>
            </w:pPr>
            <w:r>
              <w:rPr>
                <w:rFonts w:ascii="仿宋_GB2312" w:hAnsi="仿宋_GB2312" w:cs="仿宋_GB2312" w:eastAsia="仿宋_GB2312"/>
              </w:rPr>
              <w:t>1.疫木除治清理。对绩效承包区域内的死亡（病死、其他原因致死）松树进行全面除治清理，按技术要求彻底销毁，做到即死即清、应除尽除。建立各除治小班的除治前和除治过程的疫木烧毁处理影像资料，提交县林业局验收备查，严禁转移地点砍伐松树或烧毁不彻底的现象发生。</w:t>
            </w:r>
          </w:p>
          <w:p>
            <w:pPr>
              <w:pStyle w:val="null3"/>
            </w:pPr>
            <w:r>
              <w:rPr>
                <w:rFonts w:ascii="仿宋_GB2312" w:hAnsi="仿宋_GB2312" w:cs="仿宋_GB2312" w:eastAsia="仿宋_GB2312"/>
              </w:rPr>
              <w:t>2.档案管理。乙方要科学制定松材线虫病疫情防治作业方案，把防治地块、除治范围、施工责任落实到小班地块，完善绩效承包区域内的松材线虫病疫情普查、防治、疫木除治等工作台账，整理松材线虫病疫情防治、除治清理现场、伐桩处理的图片和影像资料，建立除治档案资料以备检查。</w:t>
            </w:r>
          </w:p>
          <w:p>
            <w:pPr>
              <w:pStyle w:val="null3"/>
            </w:pPr>
            <w:r>
              <w:rPr>
                <w:rFonts w:ascii="仿宋_GB2312" w:hAnsi="仿宋_GB2312" w:cs="仿宋_GB2312" w:eastAsia="仿宋_GB2312"/>
              </w:rPr>
              <w:t>二、技术要求</w:t>
            </w:r>
          </w:p>
          <w:p>
            <w:pPr>
              <w:pStyle w:val="null3"/>
            </w:pPr>
            <w:r>
              <w:rPr>
                <w:rFonts w:ascii="仿宋_GB2312" w:hAnsi="仿宋_GB2312" w:cs="仿宋_GB2312" w:eastAsia="仿宋_GB2312"/>
              </w:rPr>
              <w:t>1.严格按照国家、省、市林业部门技术规程要求；</w:t>
            </w:r>
          </w:p>
          <w:p>
            <w:pPr>
              <w:pStyle w:val="null3"/>
            </w:pPr>
            <w:r>
              <w:rPr>
                <w:rFonts w:ascii="仿宋_GB2312" w:hAnsi="仿宋_GB2312" w:cs="仿宋_GB2312" w:eastAsia="仿宋_GB2312"/>
              </w:rPr>
              <w:t>2.国家林草局《松材线虫病防治技术方案（2024年版）》；</w:t>
            </w:r>
          </w:p>
          <w:p>
            <w:pPr>
              <w:pStyle w:val="null3"/>
            </w:pPr>
            <w:r>
              <w:rPr>
                <w:rFonts w:ascii="仿宋_GB2312" w:hAnsi="仿宋_GB2312" w:cs="仿宋_GB2312" w:eastAsia="仿宋_GB2312"/>
              </w:rPr>
              <w:t>3.国家林草局《松材线虫病疫区和疫木管理办法》；</w:t>
            </w:r>
          </w:p>
          <w:p>
            <w:pPr>
              <w:pStyle w:val="null3"/>
            </w:pPr>
            <w:r>
              <w:rPr>
                <w:rFonts w:ascii="仿宋_GB2312" w:hAnsi="仿宋_GB2312" w:cs="仿宋_GB2312" w:eastAsia="仿宋_GB2312"/>
              </w:rPr>
              <w:t>4.国务院《森林病虫害防治条例》；</w:t>
            </w:r>
          </w:p>
          <w:p>
            <w:pPr>
              <w:pStyle w:val="null3"/>
            </w:pPr>
            <w:r>
              <w:rPr>
                <w:rFonts w:ascii="仿宋_GB2312" w:hAnsi="仿宋_GB2312" w:cs="仿宋_GB2312" w:eastAsia="仿宋_GB2312"/>
              </w:rPr>
              <w:t>5.国家标准《松材线虫病检疫技术规程(GB /T 23476- 2009)》。</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标的名称：林业有害生物防治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三标段：袁家庄街道办6个行政村范围，共除治枯死松树5735株。</w:t>
            </w:r>
          </w:p>
          <w:p>
            <w:pPr>
              <w:pStyle w:val="null3"/>
            </w:pPr>
            <w:r>
              <w:rPr>
                <w:rFonts w:ascii="仿宋_GB2312" w:hAnsi="仿宋_GB2312" w:cs="仿宋_GB2312" w:eastAsia="仿宋_GB2312"/>
              </w:rPr>
              <w:t>一、主要防治措施</w:t>
            </w:r>
          </w:p>
          <w:p>
            <w:pPr>
              <w:pStyle w:val="null3"/>
            </w:pPr>
            <w:r>
              <w:rPr>
                <w:rFonts w:ascii="仿宋_GB2312" w:hAnsi="仿宋_GB2312" w:cs="仿宋_GB2312" w:eastAsia="仿宋_GB2312"/>
              </w:rPr>
              <w:t>1.疫木除治清理。对绩效承包区域内的死亡（病死、其他原因致死）松树进行全面除治清理，按技术要求彻底销毁，做到即死即清、应除尽除。建立各除治小班的除治前和除治过程的疫木烧毁处理影像资料，提交县林业局验收备查，严禁转移地点砍伐松树或烧毁不彻底的现象发生。</w:t>
            </w:r>
          </w:p>
          <w:p>
            <w:pPr>
              <w:pStyle w:val="null3"/>
            </w:pPr>
            <w:r>
              <w:rPr>
                <w:rFonts w:ascii="仿宋_GB2312" w:hAnsi="仿宋_GB2312" w:cs="仿宋_GB2312" w:eastAsia="仿宋_GB2312"/>
              </w:rPr>
              <w:t>2.档案管理。乙方要科学制定松材线虫病疫情防治作业方案，把防治地块、除治范围、施工责任落实到小班地块，完善绩效承包区域内的松材线虫病疫情普查、防治、疫木除治等工作台账，整理松材线虫病疫情防治、除治清理现场、伐桩处理的图片和影像资料，建立除治档案资料以备检查。</w:t>
            </w:r>
          </w:p>
          <w:p>
            <w:pPr>
              <w:pStyle w:val="null3"/>
            </w:pPr>
            <w:r>
              <w:rPr>
                <w:rFonts w:ascii="仿宋_GB2312" w:hAnsi="仿宋_GB2312" w:cs="仿宋_GB2312" w:eastAsia="仿宋_GB2312"/>
              </w:rPr>
              <w:t>二、技术要求</w:t>
            </w:r>
          </w:p>
          <w:p>
            <w:pPr>
              <w:pStyle w:val="null3"/>
            </w:pPr>
            <w:r>
              <w:rPr>
                <w:rFonts w:ascii="仿宋_GB2312" w:hAnsi="仿宋_GB2312" w:cs="仿宋_GB2312" w:eastAsia="仿宋_GB2312"/>
              </w:rPr>
              <w:t>1.严格按照国家、省、市林业部门技术规程要求；</w:t>
            </w:r>
          </w:p>
          <w:p>
            <w:pPr>
              <w:pStyle w:val="null3"/>
            </w:pPr>
            <w:r>
              <w:rPr>
                <w:rFonts w:ascii="仿宋_GB2312" w:hAnsi="仿宋_GB2312" w:cs="仿宋_GB2312" w:eastAsia="仿宋_GB2312"/>
              </w:rPr>
              <w:t>2.国家林草局《松材线虫病防治技术方案（2024年版）》；</w:t>
            </w:r>
          </w:p>
          <w:p>
            <w:pPr>
              <w:pStyle w:val="null3"/>
            </w:pPr>
            <w:r>
              <w:rPr>
                <w:rFonts w:ascii="仿宋_GB2312" w:hAnsi="仿宋_GB2312" w:cs="仿宋_GB2312" w:eastAsia="仿宋_GB2312"/>
              </w:rPr>
              <w:t>3.国家林草局《松材线虫病疫区和疫木管理办法》；</w:t>
            </w:r>
          </w:p>
          <w:p>
            <w:pPr>
              <w:pStyle w:val="null3"/>
            </w:pPr>
            <w:r>
              <w:rPr>
                <w:rFonts w:ascii="仿宋_GB2312" w:hAnsi="仿宋_GB2312" w:cs="仿宋_GB2312" w:eastAsia="仿宋_GB2312"/>
              </w:rPr>
              <w:t>4.国务院《森林病虫害防治条例》；</w:t>
            </w:r>
          </w:p>
          <w:p>
            <w:pPr>
              <w:pStyle w:val="null3"/>
            </w:pPr>
            <w:r>
              <w:rPr>
                <w:rFonts w:ascii="仿宋_GB2312" w:hAnsi="仿宋_GB2312" w:cs="仿宋_GB2312" w:eastAsia="仿宋_GB2312"/>
              </w:rPr>
              <w:t>5.国家标准《松材线虫病检疫技术规程(GB /T 23476- 2009)》。</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合同签订后至2026年11月底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合同签订后至2026年11月底</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合同签订后至2026年11月底</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质量验收方案 由甲方牵头组建验收工作组，实行阶段性核查+年终整体验收相结合方式，采取现场实地踏查、小班全覆盖排查、随机抽查、台账资料审核方式进行。 1.验收节点  7月底阶段性验收：核查集中除治完成情况、疫木清理规范、现场遗留物清理、监测网点布设、巡查记录台账。 9月底阶段性验收：核查日常巡护、即死即清落实、无新增疫木积压、无疫木外流、台账记录完整规范。 11月底整体竣工验收：对所有承包小班逐地块、逐山头排查复核，全面核查枯死松树清零、疫情管控成效、资料归档情况。 2.验收合格标准 （1）疫情监测覆盖率、疫木安全处理率均达100%； （2） 疫点数量、疫情面积、枯死松树数量实现三下降； （3）承包小班全域无留存病死松树； （4）无疫木外流、无违规堆放、无私自处置； （5）台账资料齐全、真实可查、归档规范。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质量验收方案 由甲方牵头组建验收工作组，实行阶段性核查+年终整体验收相结合方式，采取现场实地踏查、小班全覆盖排查、随机抽查、台账资料审核方式进行。 1.验收节点  7月底阶段性验收：核查集中除治完成情况、疫木清理规范、现场遗留物清理、监测网点布设、巡查记录台账。 9月底阶段性验收：核查日常巡护、即死即清落实、无新增疫木积压、无疫木外流、台账记录完整规范。 11月底整体竣工验收：对所有承包小班逐地块、逐山头排查复核，全面核查枯死松树清零、疫情管控成效、资料归档情况。 2.验收合格标准 （1）疫情监测覆盖率、疫木安全处理率均达100%； （2） 疫点数量、疫情面积、枯死松树数量实现三下降； （3）承包小班全域无留存病死松树； （4）无疫木外流、无违规堆放、无私自处置； （5）台账资料齐全、真实可查、归档规范。</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质量验收方案 由甲方牵头组建验收工作组，实行阶段性核查+年终整体验收相结合方式，采取现场实地踏查、小班全覆盖排查、随机抽查、台账资料审核方式进行。 1.验收节点  7月底阶段性验收：核查集中除治完成情况、疫木清理规范、现场遗留物清理、监测网点布设、巡查记录台账。 9月底阶段性验收：核查日常巡护、即死即清落实、无新增疫木积压、无疫木外流、台账记录完整规范。 11月底整体竣工验收：对所有承包小班逐地块、逐山头排查复核，全面核查枯死松树清零、疫情管控成效、资料归档情况。 2.验收合格标准 （1）疫情监测覆盖率、疫木安全处理率均达100%； （2） 疫点数量、疫情面积、枯死松树数量实现三下降； （3）承包小班全域无留存病死松树； （4）无疫木外流、无违规堆放、无私自处置； （5）台账资料齐全、真实可查、归档规范。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2026年7月底前完成集中除治，经甲方阶段性核查合格后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2026年9月底前完成即死即清、常态化巡防除治，核查达标后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2026年11月底完成全域除治，整体验收合格后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2026年 12月底前对疫木除治一年绩效承包除治成效完成绩效评估，达到绩效目标后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2026年7月底前完成集中除治，经甲方阶段性核查合格后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2026年9月底前完成即死即清、常态化巡防除治，核查达标后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2026年11月底完成全域除治，整体验收合格后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2026年 12月底前对疫木除治一年绩效承包除治成效完成绩效评估，达到绩效目标后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2026年7月底前完成集中除治，经甲方阶段性核查合格后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2026年9月底前完成即死即清、常态化巡防除治，核查达标后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2026年11月底完成全域除治，整体验收合格后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2026年 12月底前对疫木除治一年绩效承包除治成效完成绩效评估，达到绩效目标后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以合同约定为准1</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以合同约定为准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3322"/>
          </w:tcPr>
          <w:p>
            <w:pPr>
              <w:pStyle w:val="null3"/>
            </w:pPr>
            <w:r>
              <w:rPr>
                <w:rFonts w:ascii="仿宋_GB2312" w:hAnsi="仿宋_GB2312" w:cs="仿宋_GB2312" w:eastAsia="仿宋_GB2312"/>
              </w:rPr>
              <w:t>供应商应具有独立承担民事责任的能力的企业法人、事业法人、其他组织或者自然人,企业法人应提供营业执照等证明文件；事业法人应提供事业单位法人证、组织机构代码证等证明文件（或统一社会信用代码的事业单位法人证）等证明文件；其他组织应提供合法证明文件；自然人提供身份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3322"/>
          </w:tcPr>
          <w:p>
            <w:pPr>
              <w:pStyle w:val="null3"/>
            </w:pPr>
            <w:r>
              <w:rPr>
                <w:rFonts w:ascii="仿宋_GB2312" w:hAnsi="仿宋_GB2312" w:cs="仿宋_GB2312" w:eastAsia="仿宋_GB2312"/>
              </w:rPr>
              <w:t>按照汉中市财政局《关于全面推行政府采购供应商基本资格条件承诺制的通知》（汉采办采管〔2024〕20号）文件要求，提供《汉中市政府采购供应商资格承诺函》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3322"/>
          </w:tcPr>
          <w:p>
            <w:pPr>
              <w:pStyle w:val="null3"/>
            </w:pPr>
            <w:r>
              <w:rPr>
                <w:rFonts w:ascii="仿宋_GB2312" w:hAnsi="仿宋_GB2312" w:cs="仿宋_GB2312" w:eastAsia="仿宋_GB2312"/>
              </w:rPr>
              <w:t>供应商应提供有效期内《陕西省林业有害生物防治资质证书》丙级及以上资质证书</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3322"/>
          </w:tcPr>
          <w:p>
            <w:pPr>
              <w:pStyle w:val="null3"/>
            </w:pPr>
            <w:r>
              <w:rPr>
                <w:rFonts w:ascii="仿宋_GB2312" w:hAnsi="仿宋_GB2312" w:cs="仿宋_GB2312" w:eastAsia="仿宋_GB2312"/>
              </w:rPr>
              <w:t>供应商应具有独立承担民事责任的能力的企业法人、事业法人、其他组织或者自然人,企业法人应提供营业执照等证明文件；事业法人应提供事业单位法人证、组织机构代码证等证明文件（或统一社会信用代码的事业单位法人证）等证明文件；其他组织应提供合法证明文件；自然人提供身份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3322"/>
          </w:tcPr>
          <w:p>
            <w:pPr>
              <w:pStyle w:val="null3"/>
            </w:pPr>
            <w:r>
              <w:rPr>
                <w:rFonts w:ascii="仿宋_GB2312" w:hAnsi="仿宋_GB2312" w:cs="仿宋_GB2312" w:eastAsia="仿宋_GB2312"/>
              </w:rPr>
              <w:t>按照汉中市财政局《关于全面推行政府采购供应商基本资格条件承诺制的通知》（汉采办采管〔2024〕20号）文件要求，提供《汉中市政府采购供应商资格承诺函》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3322"/>
          </w:tcPr>
          <w:p>
            <w:pPr>
              <w:pStyle w:val="null3"/>
            </w:pPr>
            <w:r>
              <w:rPr>
                <w:rFonts w:ascii="仿宋_GB2312" w:hAnsi="仿宋_GB2312" w:cs="仿宋_GB2312" w:eastAsia="仿宋_GB2312"/>
              </w:rPr>
              <w:t>供应商应提供有效期内《陕西省林业有害生物防治资质证书》丙级及以上资质证书</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3322"/>
          </w:tcPr>
          <w:p>
            <w:pPr>
              <w:pStyle w:val="null3"/>
            </w:pPr>
            <w:r>
              <w:rPr>
                <w:rFonts w:ascii="仿宋_GB2312" w:hAnsi="仿宋_GB2312" w:cs="仿宋_GB2312" w:eastAsia="仿宋_GB2312"/>
              </w:rPr>
              <w:t>供应商应具有独立承担民事责任的能力的企业法人、事业法人、其他组织或者自然人,企业法人应提供营业执照等证明文件；事业法人应提供事业单位法人证、组织机构代码证等证明文件（或统一社会信用代码的事业单位法人证）等证明文件；其他组织应提供合法证明文件；自然人提供身份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3322"/>
          </w:tcPr>
          <w:p>
            <w:pPr>
              <w:pStyle w:val="null3"/>
            </w:pPr>
            <w:r>
              <w:rPr>
                <w:rFonts w:ascii="仿宋_GB2312" w:hAnsi="仿宋_GB2312" w:cs="仿宋_GB2312" w:eastAsia="仿宋_GB2312"/>
              </w:rPr>
              <w:t>按照汉中市财政局《关于全面推行政府采购供应商基本资格条件承诺制的通知》（汉采办采管〔2024〕20号）文件要求，提供《汉中市政府采购供应商资格承诺函》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3322"/>
          </w:tcPr>
          <w:p>
            <w:pPr>
              <w:pStyle w:val="null3"/>
            </w:pPr>
            <w:r>
              <w:rPr>
                <w:rFonts w:ascii="仿宋_GB2312" w:hAnsi="仿宋_GB2312" w:cs="仿宋_GB2312" w:eastAsia="仿宋_GB2312"/>
              </w:rPr>
              <w:t>供应商应提供有效期内《陕西省林业有害生物防治资质证书》丙级及以上资质证书</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签字盖章是否完整</w:t>
            </w:r>
          </w:p>
        </w:tc>
        <w:tc>
          <w:tcPr>
            <w:tcW w:type="dxa" w:w="3322"/>
          </w:tcPr>
          <w:p>
            <w:pPr>
              <w:pStyle w:val="null3"/>
            </w:pPr>
            <w:r>
              <w:rPr>
                <w:rFonts w:ascii="仿宋_GB2312" w:hAnsi="仿宋_GB2312" w:cs="仿宋_GB2312" w:eastAsia="仿宋_GB2312"/>
              </w:rPr>
              <w:t>供应商应对响应文件进行电子签章，并在规定地点签字。</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拟投入人员汇总表.docx 服务方案 标的清单 报价表 响应函 业绩证明文件.docx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签字盖章是否完整</w:t>
            </w:r>
          </w:p>
        </w:tc>
        <w:tc>
          <w:tcPr>
            <w:tcW w:type="dxa" w:w="3322"/>
          </w:tcPr>
          <w:p>
            <w:pPr>
              <w:pStyle w:val="null3"/>
            </w:pPr>
            <w:r>
              <w:rPr>
                <w:rFonts w:ascii="仿宋_GB2312" w:hAnsi="仿宋_GB2312" w:cs="仿宋_GB2312" w:eastAsia="仿宋_GB2312"/>
              </w:rPr>
              <w:t>供应商应对响应文件进行电子签章，并在规定地点签字。</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拟投入人员汇总表.docx 服务方案 标的清单 报价表 响应函 业绩证明文件.docx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签字盖章是否完整</w:t>
            </w:r>
          </w:p>
        </w:tc>
        <w:tc>
          <w:tcPr>
            <w:tcW w:type="dxa" w:w="3322"/>
          </w:tcPr>
          <w:p>
            <w:pPr>
              <w:pStyle w:val="null3"/>
            </w:pPr>
            <w:r>
              <w:rPr>
                <w:rFonts w:ascii="仿宋_GB2312" w:hAnsi="仿宋_GB2312" w:cs="仿宋_GB2312" w:eastAsia="仿宋_GB2312"/>
              </w:rPr>
              <w:t>供应商应对响应文件进行电子签章，并在规定地点签字。</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拟投入人员汇总表.docx 服务方案 标的清单 报价表 响应函 业绩证明文件.docx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供应商有针对本项目有专项服务小组： a、组织结构分工合理，责任明确，人员配置实力强且管理制度完善,计4-7 分； b、组织结构基本合理，责任基本明确，人员配置较齐全，管理制度较完善计2-4 分； c、组织机构含糊，人员安排较差，管理制度一般计0 -2 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拟投入人员汇总表.docx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供应商提供近三年（自2023 年至今）已完成的类似业绩证明材料，每提供一份有效业绩证明材料计2.5 分，此项最高5 分。注：供应商响应文件中应附清晰的中标通知书和合同协议书复印件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业绩证明文件.docx</w:t>
            </w:r>
          </w:p>
        </w:tc>
      </w:tr>
      <w:tr>
        <w:tc>
          <w:tcPr>
            <w:tcW w:type="dxa" w:w="831"/>
            <w:vMerge/>
          </w:tcP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供应商提供针对本项目编制的实施方案，实施方案内容的编制应充分了解项目需求，就其方案是否合理科学及措施得当，是否针对本项目实施提出重点、难点分析并给出相应的解决方案以及对项目进度的安排等内容进行赋分： a、制定的实施方案全面详细，科学合理，项目计划可行性高，服务总体设想合理，完全符合本项目实际要求，计12-15 分； b、制定的实施方案详细程度较好，科学合理，项目计划可行性较好，服务总体设想合理，较能符合本项目实际要求，计8-12 分； c、制定的实施方案详细程度一般，服务流程基本科学合理，项目计划可行性一般，服务总体设想基本合理，基本符合本项目实际要求，计4-8 分； d、制定的实施方案不够详细，服务流程不够科学合理，项目计划不可行，服务总体设想不够合理，计0-4 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根据供应商的工作质量的控制、保证体系及保证措施的完善性、合理性进行赋分： a、质量保证方案合理，完善可行，有具体的管理控制措施，可操作性强，计7-10 分； b、质量保证方案简单明确，可操作性一般计4-7 分； c、质量保证方案内容较差，有欠缺计0-4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环境保护管理体系与措施</w:t>
            </w:r>
          </w:p>
        </w:tc>
        <w:tc>
          <w:tcPr>
            <w:tcW w:type="dxa" w:w="2492"/>
          </w:tcPr>
          <w:p>
            <w:pPr>
              <w:pStyle w:val="null3"/>
            </w:pPr>
            <w:r>
              <w:rPr>
                <w:rFonts w:ascii="仿宋_GB2312" w:hAnsi="仿宋_GB2312" w:cs="仿宋_GB2312" w:eastAsia="仿宋_GB2312"/>
              </w:rPr>
              <w:t>根据供应商针对本项目制定的环境保护措施的合理性，可行性，进行赋分： a、环境保护措施详细完善，科学合理，内容深入全面计7-10 分； b、环境保护措施基本完整，内容符合招标文件要求计4-7 分； c、环境保护措施内容空洞、有缺陷， 计0-4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安全措施</w:t>
            </w:r>
          </w:p>
        </w:tc>
        <w:tc>
          <w:tcPr>
            <w:tcW w:type="dxa" w:w="2492"/>
          </w:tcPr>
          <w:p>
            <w:pPr>
              <w:pStyle w:val="null3"/>
            </w:pPr>
            <w:r>
              <w:rPr>
                <w:rFonts w:ascii="仿宋_GB2312" w:hAnsi="仿宋_GB2312" w:cs="仿宋_GB2312" w:eastAsia="仿宋_GB2312"/>
              </w:rPr>
              <w:t>供应商结合本项目实际情况，具有安全生产管理体系及保证措施，并制定项目风险预测与防范方案及事故应急预案： a、方案科学合理、可行、全面计7-10 分； b、方案基本合理可行，虽有内容但不完善计4-7 分； c、方案欠缺、无实质性内容计0-4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服务周期保证方案</w:t>
            </w:r>
          </w:p>
        </w:tc>
        <w:tc>
          <w:tcPr>
            <w:tcW w:type="dxa" w:w="2492"/>
          </w:tcPr>
          <w:p>
            <w:pPr>
              <w:pStyle w:val="null3"/>
            </w:pPr>
            <w:r>
              <w:rPr>
                <w:rFonts w:ascii="仿宋_GB2312" w:hAnsi="仿宋_GB2312" w:cs="仿宋_GB2312" w:eastAsia="仿宋_GB2312"/>
              </w:rPr>
              <w:t>总体服务周期合理，计划安排、工序衔接科学，周期保证措施得当，根据响应情况赋分： a、方案科学合理、可行、全面计7-10 分 b、方案基本合理可行，虽有内容但不完善计4-7 分； c、方案欠缺、无实质性内容计0-4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防火措施及应急方案</w:t>
            </w:r>
          </w:p>
        </w:tc>
        <w:tc>
          <w:tcPr>
            <w:tcW w:type="dxa" w:w="2492"/>
          </w:tcPr>
          <w:p>
            <w:pPr>
              <w:pStyle w:val="null3"/>
            </w:pPr>
            <w:r>
              <w:rPr>
                <w:rFonts w:ascii="仿宋_GB2312" w:hAnsi="仿宋_GB2312" w:cs="仿宋_GB2312" w:eastAsia="仿宋_GB2312"/>
              </w:rPr>
              <w:t>森林防火安全及应急预案（包括天气、地理、人文等状况），计划措施科学合理、切实可行，根据服务地点的实际情况变化，制定具有针对性的措施： a、方案科学合理、可行、全面计4-7 分； b、方案基本合理可行，虽有内容但不完善计2-4 分； c、方案欠缺、无实质性内容计0-2 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档案管理</w:t>
            </w:r>
          </w:p>
        </w:tc>
        <w:tc>
          <w:tcPr>
            <w:tcW w:type="dxa" w:w="2492"/>
          </w:tcPr>
          <w:p>
            <w:pPr>
              <w:pStyle w:val="null3"/>
            </w:pPr>
            <w:r>
              <w:rPr>
                <w:rFonts w:ascii="仿宋_GB2312" w:hAnsi="仿宋_GB2312" w:cs="仿宋_GB2312" w:eastAsia="仿宋_GB2312"/>
              </w:rPr>
              <w:t>完善区域内的松材线虫病疫情防治、疫木除治等工作台账，整理松材线虫病疫情防治、除治清理现场、伐桩处理的图片和影像资料，建立除治档案资料： a、档案管理方案科学合理、可行、全面计4-6 分； b、档案管理方案基本合理，虽有内容但不完善计 2-4 分； c、档案管理方案欠缺、无实质性内容计0-2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1、上限为采购最高限价，即报价大于上限价视为无效标； 2、满足招标文件要求的有效报价中，投标价格最低的投标报价为评标基准价，其价格分为满分20分； 3、其他投标人的价格分统一按照下列公式计算：投标报价得分=（评标基准价/投标报价）x20。 评审小组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三分之二以上成员认为某投标报价有低于成本价嫌疑的，涉嫌不正当竞争的，为无效报价。</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供应商有针对本项目有专项服务小组： a、组织结构分工合理，责任明确，人员配置实力强且管理制度完善,计4-7 分； b、组织结构基本合理，责任基本明确，人员配置较齐全，管理制度较完善计2-4 分； c、组织机构含糊，人员安排较差，管理制度一般计0 -2 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拟投入人员汇总表.docx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供应商提供近三年（自2023 年至今）已完成的类似业绩证明材料，每提供一份有效业绩证明材料计2.5 分，此项最高5 分。注：供应商响应文件中应附清晰的中标通知书和合同协议书复印件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业绩证明文件.docx</w:t>
            </w:r>
          </w:p>
        </w:tc>
      </w:tr>
      <w:tr>
        <w:tc>
          <w:tcPr>
            <w:tcW w:type="dxa" w:w="831"/>
            <w:vMerge/>
          </w:tcP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供应商提供针对本项目编制的实施方案，实施方案内容的编制应充分了解项目需求，就其方案是否合理科学及措施得当，是否针对本项目实施提出重点、难点分析并给出相应的解决方案以及对项目进度的安排等内容进行赋分： a、制定的实施方案全面详细，科学合理，项目计划可行性高，服务总体设想合理，完全符合本项目实际要求，计12-15 分； b、制定的实施方案详细程度较好，科学合理，项目计划可行性较好，服务总体设想合理，较能符合本项目实际要求，计8-12 分； c、制定的实施方案详细程度一般，服务流程基本科学合理，项目计划可行性一般，服务总体设想基本合理，基本符合本项目实际要求，计4-8 分； d、制定的实施方案不够详细，服务流程不够科学合理，项目计划不可行，服务总体设想不够合理，计0-4 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根据供应商的工作质量的控制、保证体系及保证措施的完善性、合理性进行赋分： a、质量保证方案合理，完善可行，有具体的管理控制措施，可操作性强，计7-10 分； b、质量保证方案简单明确，可操作性一般计4-7 分； c、质量保证方案内容较差，有欠缺计0-4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环境保护管理体系与措施</w:t>
            </w:r>
          </w:p>
        </w:tc>
        <w:tc>
          <w:tcPr>
            <w:tcW w:type="dxa" w:w="2492"/>
          </w:tcPr>
          <w:p>
            <w:pPr>
              <w:pStyle w:val="null3"/>
            </w:pPr>
            <w:r>
              <w:rPr>
                <w:rFonts w:ascii="仿宋_GB2312" w:hAnsi="仿宋_GB2312" w:cs="仿宋_GB2312" w:eastAsia="仿宋_GB2312"/>
              </w:rPr>
              <w:t>根据供应商针对本项目制定的环境保护措施的合理性，可行性，进行赋分： a、环境保护措施详细完善，科学合理，内容深入全面计7-10 分； b、环境保护措施基本完整，内容符合招标文件要求计4-7 分； c、环境保护措施内容空洞、有缺陷， 计0-4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安全措施</w:t>
            </w:r>
          </w:p>
        </w:tc>
        <w:tc>
          <w:tcPr>
            <w:tcW w:type="dxa" w:w="2492"/>
          </w:tcPr>
          <w:p>
            <w:pPr>
              <w:pStyle w:val="null3"/>
            </w:pPr>
            <w:r>
              <w:rPr>
                <w:rFonts w:ascii="仿宋_GB2312" w:hAnsi="仿宋_GB2312" w:cs="仿宋_GB2312" w:eastAsia="仿宋_GB2312"/>
              </w:rPr>
              <w:t>供应商结合本项目实际情况，具有安全生产管理体系及保证措施，并制定项目风险预测与防范方案及事故应急预案： a、方案科学合理、可行、全面计7-10 分； b、方案基本合理可行，虽有内容但不完善计4-7 分； c、方案欠缺、无实质性内容计0-4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服务周期保证方案</w:t>
            </w:r>
          </w:p>
        </w:tc>
        <w:tc>
          <w:tcPr>
            <w:tcW w:type="dxa" w:w="2492"/>
          </w:tcPr>
          <w:p>
            <w:pPr>
              <w:pStyle w:val="null3"/>
            </w:pPr>
            <w:r>
              <w:rPr>
                <w:rFonts w:ascii="仿宋_GB2312" w:hAnsi="仿宋_GB2312" w:cs="仿宋_GB2312" w:eastAsia="仿宋_GB2312"/>
              </w:rPr>
              <w:t>总体服务周期合理，计划安排、工序衔接科学，周期保证措施得当，根据响应情况赋分： a、方案科学合理、可行、全面计7-10 分 b、方案基本合理可行，虽有内容但不完善计4-7 分； c、方案欠缺、无实质性内容计0-4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防火措施及应急方案</w:t>
            </w:r>
          </w:p>
        </w:tc>
        <w:tc>
          <w:tcPr>
            <w:tcW w:type="dxa" w:w="2492"/>
          </w:tcPr>
          <w:p>
            <w:pPr>
              <w:pStyle w:val="null3"/>
            </w:pPr>
            <w:r>
              <w:rPr>
                <w:rFonts w:ascii="仿宋_GB2312" w:hAnsi="仿宋_GB2312" w:cs="仿宋_GB2312" w:eastAsia="仿宋_GB2312"/>
              </w:rPr>
              <w:t>森林防火安全及应急预案（包括天气、地理、人文等状况），计划措施科学合理、切实可行，根据服务地点的实际情况变化，制定具有针对性的措施： a、方案科学合理、可行、全面计4-7 分； b、方案基本合理可行，虽有内容但不完善计2-4 分； c、方案欠缺、无实质性内容计0-2 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档案管理</w:t>
            </w:r>
          </w:p>
        </w:tc>
        <w:tc>
          <w:tcPr>
            <w:tcW w:type="dxa" w:w="2492"/>
          </w:tcPr>
          <w:p>
            <w:pPr>
              <w:pStyle w:val="null3"/>
            </w:pPr>
            <w:r>
              <w:rPr>
                <w:rFonts w:ascii="仿宋_GB2312" w:hAnsi="仿宋_GB2312" w:cs="仿宋_GB2312" w:eastAsia="仿宋_GB2312"/>
              </w:rPr>
              <w:t>完善区域内的松材线虫病疫情防治、疫木除治等工作台账，整理松材线虫病疫情防治、除治清理现场、伐桩处理的图片和影像资料，建立除治档案资料： a、档案管理方案科学合理、可行、全面计4-6 分； b、档案管理方案基本合理，虽有内容但不完善计 2-4 分； c、档案管理方案欠缺、无实质性内容计0-2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1、上限为采购最高限价，即报价大于上限价视为无效标； 2、满足招标文件要求的有效报价中，投标价格最低的投标报价为评标基准价，其价格分为满分20分； 3、其他投标人的价格分统一按照下列公式计算：投标报价得分=（评标基准价/投标报价）x20。 评审小组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三分之二以上成员认为某投标报价有低于成本价嫌疑的，涉嫌不正当竞争的，为无效报价。</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供应商有针对本项目有专项服务小组： a、组织结构分工合理，责任明确，人员配置实力强且管理制度完善,计4-7 分； b、组织结构基本合理，责任基本明确，人员配置较齐全，管理制度较完善计2-4 分； c、组织机构含糊，人员安排较差，管理制度一般计0 -2 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拟投入人员汇总表.docx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供应商提供近三年（自2023 年至今）已完成的类似业绩证明材料，每提供一份有效业绩证明材料计2.5 分，此项最高5 分。注：供应商响应文件中应附清晰的中标通知书和合同协议书复印件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业绩证明文件.docx</w:t>
            </w:r>
          </w:p>
        </w:tc>
      </w:tr>
      <w:tr>
        <w:tc>
          <w:tcPr>
            <w:tcW w:type="dxa" w:w="831"/>
            <w:vMerge/>
          </w:tcP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供应商提供针对本项目编制的实施方案，实施方案内容的编制应充分了解项目需求，就其方案是否合理科学及措施得当，是否针对本项目实施提出重点、难点分析并给出相应的解决方案以及对项目进度的安排等内容进行赋分： a、制定的实施方案全面详细，科学合理，项目计划可行性高，服务总体设想合理，完全符合本项目实际要求，计12-15 分； b、制定的实施方案详细程度较好，科学合理，项目计划可行性较好，服务总体设想合理，较能符合本项目实际要求，计8-12 分； c、制定的实施方案详细程度一般，服务流程基本科学合理，项目计划可行性一般，服务总体设想基本合理，基本符合本项目实际要求，计4-8 分； d、制定的实施方案不够详细，服务流程不够科学合理，项目计划不可行，服务总体设想不够合理，计0-4 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根据供应商的工作质量的控制、保证体系及保证措施的完善性、合理性进行赋分： a、质量保证方案合理，完善可行，有具体的管理控制措施，可操作性强，计7-10 分； b、质量保证方案简单明确，可操作性一般计4-7 分； c、质量保证方案内容较差，有欠缺计0-4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环境保护管理体系与措施</w:t>
            </w:r>
          </w:p>
        </w:tc>
        <w:tc>
          <w:tcPr>
            <w:tcW w:type="dxa" w:w="2492"/>
          </w:tcPr>
          <w:p>
            <w:pPr>
              <w:pStyle w:val="null3"/>
            </w:pPr>
            <w:r>
              <w:rPr>
                <w:rFonts w:ascii="仿宋_GB2312" w:hAnsi="仿宋_GB2312" w:cs="仿宋_GB2312" w:eastAsia="仿宋_GB2312"/>
              </w:rPr>
              <w:t>根据供应商针对本项目制定的环境保护措施的合理性，可行性，进行赋分： a、环境保护措施详细完善，科学合理，内容深入全面计7-10 分； b、环境保护措施基本完整，内容符合招标文件要求计4-7 分； c、环境保护措施内容空洞、有缺陷， 计0-4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安全措施</w:t>
            </w:r>
          </w:p>
        </w:tc>
        <w:tc>
          <w:tcPr>
            <w:tcW w:type="dxa" w:w="2492"/>
          </w:tcPr>
          <w:p>
            <w:pPr>
              <w:pStyle w:val="null3"/>
            </w:pPr>
            <w:r>
              <w:rPr>
                <w:rFonts w:ascii="仿宋_GB2312" w:hAnsi="仿宋_GB2312" w:cs="仿宋_GB2312" w:eastAsia="仿宋_GB2312"/>
              </w:rPr>
              <w:t>供应商结合本项目实际情况，具有安全生产管理体系及保证措施，并制定项目风险预测与防范方案及事故应急预案： a、方案科学合理、可行、全面计7-10 分； b、方案基本合理可行，虽有内容但不完善计4-7 分； c、方案欠缺、无实质性内容计0-4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服务周期保证方案</w:t>
            </w:r>
          </w:p>
        </w:tc>
        <w:tc>
          <w:tcPr>
            <w:tcW w:type="dxa" w:w="2492"/>
          </w:tcPr>
          <w:p>
            <w:pPr>
              <w:pStyle w:val="null3"/>
            </w:pPr>
            <w:r>
              <w:rPr>
                <w:rFonts w:ascii="仿宋_GB2312" w:hAnsi="仿宋_GB2312" w:cs="仿宋_GB2312" w:eastAsia="仿宋_GB2312"/>
              </w:rPr>
              <w:t>总体服务周期合理，计划安排、工序衔接科学，周期保证措施得当，根据响应情况赋分： a、方案科学合理、可行、全面计7-10 分 b、方案基本合理可行，虽有内容但不完善计4-7 分； c、方案欠缺、无实质性内容计0-4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防火措施及应急方案</w:t>
            </w:r>
          </w:p>
        </w:tc>
        <w:tc>
          <w:tcPr>
            <w:tcW w:type="dxa" w:w="2492"/>
          </w:tcPr>
          <w:p>
            <w:pPr>
              <w:pStyle w:val="null3"/>
            </w:pPr>
            <w:r>
              <w:rPr>
                <w:rFonts w:ascii="仿宋_GB2312" w:hAnsi="仿宋_GB2312" w:cs="仿宋_GB2312" w:eastAsia="仿宋_GB2312"/>
              </w:rPr>
              <w:t>森林防火安全及应急预案（包括天气、地理、人文等状况），计划措施科学合理、切实可行，根据服务地点的实际情况变化，制定具有针对性的措施： a、方案科学合理、可行、全面计4-7 分； b、方案基本合理可行，虽有内容但不完善计2-4 分； c、方案欠缺、无实质性内容计0-2 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档案管理</w:t>
            </w:r>
          </w:p>
        </w:tc>
        <w:tc>
          <w:tcPr>
            <w:tcW w:type="dxa" w:w="2492"/>
          </w:tcPr>
          <w:p>
            <w:pPr>
              <w:pStyle w:val="null3"/>
            </w:pPr>
            <w:r>
              <w:rPr>
                <w:rFonts w:ascii="仿宋_GB2312" w:hAnsi="仿宋_GB2312" w:cs="仿宋_GB2312" w:eastAsia="仿宋_GB2312"/>
              </w:rPr>
              <w:t>完善区域内的松材线虫病疫情防治、疫木除治等工作台账，整理松材线虫病疫情防治、除治清理现场、伐桩处理的图片和影像资料，建立除治档案资料： a、档案管理方案科学合理、可行、全面计4-6 分； b、档案管理方案基本合理，虽有内容但不完善计 2-4 分； c、档案管理方案欠缺、无实质性内容计0-2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1、上限为采购最高限价，即报价大于上限价视为无效标； 2、满足招标文件要求的有效报价中，投标价格最低的投标报价为评标基准价，其价格分为满分20分； 3、其他投标人的价格分统一按照下列公式计算：投标报价得分=（评标基准价/投标报价）x20。 评审小组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三分之二以上成员认为某投标报价有低于成本价嫌疑的，涉嫌不正当竞争的，为无效报价。</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详见附件：业绩证明文件.docx</w:t>
      </w:r>
    </w:p>
    <w:p>
      <w:pPr>
        <w:pStyle w:val="null3"/>
        <w:ind w:firstLine="960"/>
      </w:pPr>
      <w:r>
        <w:rPr>
          <w:rFonts w:ascii="仿宋_GB2312" w:hAnsi="仿宋_GB2312" w:cs="仿宋_GB2312" w:eastAsia="仿宋_GB2312"/>
        </w:rPr>
        <w:t>详见附件：拟投入人员汇总表.docx</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详见附件：业绩证明文件.docx</w:t>
      </w:r>
    </w:p>
    <w:p>
      <w:pPr>
        <w:pStyle w:val="null3"/>
        <w:ind w:firstLine="960"/>
      </w:pPr>
      <w:r>
        <w:rPr>
          <w:rFonts w:ascii="仿宋_GB2312" w:hAnsi="仿宋_GB2312" w:cs="仿宋_GB2312" w:eastAsia="仿宋_GB2312"/>
        </w:rPr>
        <w:t>详见附件：拟投入人员汇总表.docx</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详见附件：业绩证明文件.docx</w:t>
      </w:r>
    </w:p>
    <w:p>
      <w:pPr>
        <w:pStyle w:val="null3"/>
        <w:ind w:firstLine="960"/>
      </w:pPr>
      <w:r>
        <w:rPr>
          <w:rFonts w:ascii="仿宋_GB2312" w:hAnsi="仿宋_GB2312" w:cs="仿宋_GB2312" w:eastAsia="仿宋_GB2312"/>
        </w:rPr>
        <w:t>详见附件：拟投入人员汇总表.docx</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详见附件：林业有害生物防治合同.docx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