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版本号：2026-HXCT-15020260629001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2026年地面塌陷修复及教学楼线路改造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2026-HXCT-150</w:t>
      </w:r>
      <w:r>
        <w:br/>
      </w:r>
      <w:r>
        <w:br/>
      </w:r>
      <w:r>
        <w:br/>
      </w:r>
    </w:p>
    <w:p>
      <w:pPr>
        <w:pStyle w:val="null3"/>
        <w:jc w:val="center"/>
        <w:outlineLvl w:val="2"/>
      </w:pPr>
      <w:r>
        <w:rPr>
          <w:rFonts w:ascii="仿宋_GB2312" w:hAnsi="仿宋_GB2312" w:cs="仿宋_GB2312" w:eastAsia="仿宋_GB2312"/>
          <w:sz w:val="28"/>
          <w:b/>
        </w:rPr>
        <w:t>西安市雁塔区航天小学</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西安市雁塔区航天小学</w:t>
      </w:r>
      <w:r>
        <w:rPr>
          <w:rFonts w:ascii="仿宋_GB2312" w:hAnsi="仿宋_GB2312" w:cs="仿宋_GB2312" w:eastAsia="仿宋_GB2312"/>
        </w:rPr>
        <w:t>委托，拟对</w:t>
      </w:r>
      <w:r>
        <w:rPr>
          <w:rFonts w:ascii="仿宋_GB2312" w:hAnsi="仿宋_GB2312" w:cs="仿宋_GB2312" w:eastAsia="仿宋_GB2312"/>
        </w:rPr>
        <w:t>2026年地面塌陷修复及教学楼线路改造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2026年地面塌陷修复及教学楼线路改造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本工程为西安市雁塔区航天小学2026年地面塌陷修复及教学楼线路改造项目工程，位于西安市雁塔区航天小学。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采购包1（2026年地面塌陷修复及教学楼线路改造项目）：属于专门面向中小企业采购。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被授权人提供投标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2、单位资质：供应商应具备建设行政主管部门核发的房屋建筑工程施工总承包三级及以上资质，具有有效的安全生产许可证；</w:t>
      </w:r>
    </w:p>
    <w:p>
      <w:pPr>
        <w:pStyle w:val="null3"/>
      </w:pPr>
      <w:r>
        <w:rPr>
          <w:rFonts w:ascii="仿宋_GB2312" w:hAnsi="仿宋_GB2312" w:cs="仿宋_GB2312" w:eastAsia="仿宋_GB2312"/>
        </w:rPr>
        <w:t>3、项目负责人：项目负责人需具备建筑工程专业二级及以上注册建造师执业资格和有效的安全生产考核证书（B证）在本单位注册，且无在建工程、无不良记录（提供无在建工程、无不良记录承诺书）；</w:t>
      </w:r>
    </w:p>
    <w:p>
      <w:pPr>
        <w:pStyle w:val="null3"/>
      </w:pPr>
      <w:r>
        <w:rPr>
          <w:rFonts w:ascii="仿宋_GB2312" w:hAnsi="仿宋_GB2312" w:cs="仿宋_GB2312" w:eastAsia="仿宋_GB2312"/>
        </w:rPr>
        <w:t>4、信用信息：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西安市雁塔区航天小学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航天西路21号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029-85208466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17791807803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采购包1：680,064.51元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办公厅关于采购代理服务收费有关问题的通知》(发改办价格[2003]857号)、原国家计委关于《采购代理服务收费管理暂行办法》(计价格[2002]1980号)及发改办[2011]534号文规定的收费标准下浮5%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西安市雁塔区航天小学</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西安市雁塔区航天小学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西安市雁塔区航天小学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联系电话：17791807803</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680,064.51</w:t>
      </w:r>
    </w:p>
    <w:p>
      <w:pPr>
        <w:pStyle w:val="null3"/>
      </w:pPr>
      <w:r>
        <w:rPr>
          <w:rFonts w:ascii="仿宋_GB2312" w:hAnsi="仿宋_GB2312" w:cs="仿宋_GB2312" w:eastAsia="仿宋_GB2312"/>
        </w:rPr>
        <w:t>采购包最高限价（元）: 680,064.51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2026年地面塌陷修复及教学楼线路改造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680,064.51</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标的名称：2026年地面塌陷修复及教学楼线路改造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一、本项目指导性文件和技术标准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包括但不限于现行相关指导性文件应包括</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《建设工程质量管理条例》</w:t>
            </w:r>
          </w:p>
          <w:p>
            <w:pPr>
              <w:pStyle w:val="null3"/>
              <w:jc w:val="both"/>
            </w:pPr>
            <w:r>
              <w:rPr>
                <w:rFonts w:ascii="仿宋_GB2312" w:hAnsi="仿宋_GB2312" w:cs="仿宋_GB2312" w:eastAsia="仿宋_GB2312"/>
                <w:sz w:val="21"/>
              </w:rPr>
              <w:t>《建设工程施工合同》等。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需执行的国家相关标准、行业标准、地方标准或者其他标准、规范包括但不限于以下内容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《中华人民共和国建筑法》</w:t>
            </w:r>
          </w:p>
          <w:p>
            <w:pPr>
              <w:pStyle w:val="null3"/>
              <w:jc w:val="both"/>
            </w:pPr>
            <w:r>
              <w:rPr>
                <w:rFonts w:ascii="仿宋_GB2312" w:hAnsi="仿宋_GB2312" w:cs="仿宋_GB2312" w:eastAsia="仿宋_GB2312"/>
                <w:sz w:val="21"/>
              </w:rPr>
              <w:t>《中华人民共和国安全生产法》</w:t>
            </w:r>
          </w:p>
          <w:p>
            <w:pPr>
              <w:pStyle w:val="null3"/>
              <w:jc w:val="both"/>
            </w:pPr>
            <w:r>
              <w:rPr>
                <w:rFonts w:ascii="仿宋_GB2312" w:hAnsi="仿宋_GB2312" w:cs="仿宋_GB2312" w:eastAsia="仿宋_GB2312"/>
                <w:sz w:val="21"/>
              </w:rPr>
              <w:t>《中华人民共和国环境保护法》</w:t>
            </w:r>
          </w:p>
          <w:p>
            <w:pPr>
              <w:pStyle w:val="null3"/>
              <w:jc w:val="both"/>
            </w:pPr>
            <w:r>
              <w:rPr>
                <w:rFonts w:ascii="仿宋_GB2312" w:hAnsi="仿宋_GB2312" w:cs="仿宋_GB2312" w:eastAsia="仿宋_GB2312"/>
                <w:sz w:val="21"/>
              </w:rPr>
              <w:t>《建筑安全生产监督管理规定》</w:t>
            </w:r>
          </w:p>
          <w:p>
            <w:pPr>
              <w:pStyle w:val="null3"/>
              <w:jc w:val="both"/>
            </w:pPr>
            <w:r>
              <w:rPr>
                <w:rFonts w:ascii="仿宋_GB2312" w:hAnsi="仿宋_GB2312" w:cs="仿宋_GB2312" w:eastAsia="仿宋_GB2312"/>
                <w:sz w:val="21"/>
              </w:rPr>
              <w:t>《建设工程施工现场管理规定》</w:t>
            </w:r>
          </w:p>
          <w:p>
            <w:pPr>
              <w:pStyle w:val="null3"/>
              <w:jc w:val="both"/>
            </w:pPr>
            <w:r>
              <w:rPr>
                <w:rFonts w:ascii="仿宋_GB2312" w:hAnsi="仿宋_GB2312" w:cs="仿宋_GB2312" w:eastAsia="仿宋_GB2312"/>
                <w:sz w:val="21"/>
              </w:rPr>
              <w:t>《建设工程安全生产管理条例》</w:t>
            </w:r>
          </w:p>
          <w:p>
            <w:pPr>
              <w:pStyle w:val="null3"/>
              <w:jc w:val="both"/>
            </w:pPr>
            <w:r>
              <w:rPr>
                <w:rFonts w:ascii="仿宋_GB2312" w:hAnsi="仿宋_GB2312" w:cs="仿宋_GB2312" w:eastAsia="仿宋_GB2312"/>
                <w:sz w:val="21"/>
              </w:rPr>
              <w:t>《建设工程质量管理条例》</w:t>
            </w:r>
          </w:p>
          <w:p>
            <w:pPr>
              <w:pStyle w:val="null3"/>
              <w:jc w:val="both"/>
            </w:pPr>
            <w:r>
              <w:rPr>
                <w:rFonts w:ascii="仿宋_GB2312" w:hAnsi="仿宋_GB2312" w:cs="仿宋_GB2312" w:eastAsia="仿宋_GB2312"/>
                <w:sz w:val="21"/>
              </w:rPr>
              <w:t>《城市建筑垃圾管理条例》</w:t>
            </w:r>
          </w:p>
          <w:p>
            <w:pPr>
              <w:pStyle w:val="null3"/>
              <w:jc w:val="both"/>
            </w:pPr>
            <w:r>
              <w:rPr>
                <w:rFonts w:ascii="仿宋_GB2312" w:hAnsi="仿宋_GB2312" w:cs="仿宋_GB2312" w:eastAsia="仿宋_GB2312"/>
                <w:sz w:val="21"/>
              </w:rPr>
              <w:t>《综合医院建筑设计规范》</w:t>
            </w:r>
          </w:p>
          <w:p>
            <w:pPr>
              <w:pStyle w:val="null3"/>
              <w:jc w:val="both"/>
            </w:pPr>
            <w:r>
              <w:rPr>
                <w:rFonts w:ascii="仿宋_GB2312" w:hAnsi="仿宋_GB2312" w:cs="仿宋_GB2312" w:eastAsia="仿宋_GB2312"/>
                <w:sz w:val="21"/>
              </w:rPr>
              <w:t>《建设项目工程总承包管理规范》</w:t>
            </w:r>
            <w:r>
              <w:rPr>
                <w:rFonts w:ascii="仿宋_GB2312" w:hAnsi="仿宋_GB2312" w:cs="仿宋_GB2312" w:eastAsia="仿宋_GB2312"/>
                <w:sz w:val="21"/>
              </w:rPr>
              <w:t>GB/T50358</w:t>
            </w:r>
          </w:p>
          <w:p>
            <w:pPr>
              <w:pStyle w:val="null3"/>
              <w:jc w:val="both"/>
            </w:pPr>
            <w:r>
              <w:rPr>
                <w:rFonts w:ascii="仿宋_GB2312" w:hAnsi="仿宋_GB2312" w:cs="仿宋_GB2312" w:eastAsia="仿宋_GB2312"/>
                <w:sz w:val="21"/>
              </w:rPr>
              <w:t>《建筑装饰装修工程质量验收标准》</w:t>
            </w:r>
          </w:p>
          <w:p>
            <w:pPr>
              <w:pStyle w:val="null3"/>
              <w:jc w:val="both"/>
            </w:pPr>
            <w:r>
              <w:rPr>
                <w:rFonts w:ascii="仿宋_GB2312" w:hAnsi="仿宋_GB2312" w:cs="仿宋_GB2312" w:eastAsia="仿宋_GB2312"/>
                <w:sz w:val="21"/>
              </w:rPr>
              <w:t>《建筑工程施工质量验收统一标准》</w:t>
            </w:r>
            <w:r>
              <w:rPr>
                <w:rFonts w:ascii="仿宋_GB2312" w:hAnsi="仿宋_GB2312" w:cs="仿宋_GB2312" w:eastAsia="仿宋_GB2312"/>
                <w:sz w:val="21"/>
              </w:rPr>
              <w:t>GB50300</w:t>
            </w:r>
          </w:p>
          <w:p>
            <w:pPr>
              <w:pStyle w:val="null3"/>
              <w:jc w:val="both"/>
            </w:pPr>
            <w:r>
              <w:rPr>
                <w:rFonts w:ascii="仿宋_GB2312" w:hAnsi="仿宋_GB2312" w:cs="仿宋_GB2312" w:eastAsia="仿宋_GB2312"/>
                <w:sz w:val="21"/>
              </w:rPr>
              <w:t>《建筑设计防火规范》</w:t>
            </w:r>
          </w:p>
          <w:p>
            <w:pPr>
              <w:pStyle w:val="null3"/>
              <w:jc w:val="both"/>
            </w:pPr>
            <w:r>
              <w:rPr>
                <w:rFonts w:ascii="仿宋_GB2312" w:hAnsi="仿宋_GB2312" w:cs="仿宋_GB2312" w:eastAsia="仿宋_GB2312"/>
                <w:sz w:val="21"/>
              </w:rPr>
              <w:t>《建设工程文件归档规范》</w:t>
            </w:r>
            <w:r>
              <w:rPr>
                <w:rFonts w:ascii="仿宋_GB2312" w:hAnsi="仿宋_GB2312" w:cs="仿宋_GB2312" w:eastAsia="仿宋_GB2312"/>
                <w:sz w:val="21"/>
              </w:rPr>
              <w:t>GB/T50328</w:t>
            </w:r>
          </w:p>
          <w:p>
            <w:pPr>
              <w:pStyle w:val="null3"/>
              <w:jc w:val="both"/>
            </w:pPr>
            <w:r>
              <w:rPr>
                <w:rFonts w:ascii="仿宋_GB2312" w:hAnsi="仿宋_GB2312" w:cs="仿宋_GB2312" w:eastAsia="仿宋_GB2312"/>
                <w:sz w:val="21"/>
              </w:rPr>
              <w:t>《施工现场管理规定》</w:t>
            </w:r>
          </w:p>
          <w:p>
            <w:pPr>
              <w:pStyle w:val="null3"/>
              <w:jc w:val="both"/>
            </w:pPr>
            <w:r>
              <w:rPr>
                <w:rFonts w:ascii="仿宋_GB2312" w:hAnsi="仿宋_GB2312" w:cs="仿宋_GB2312" w:eastAsia="仿宋_GB2312"/>
                <w:sz w:val="21"/>
              </w:rPr>
              <w:t>《危险性较大的分部分项工程安全管理规定》</w:t>
            </w:r>
            <w:r>
              <w:rPr>
                <w:rFonts w:ascii="仿宋_GB2312" w:hAnsi="仿宋_GB2312" w:cs="仿宋_GB2312" w:eastAsia="仿宋_GB2312"/>
                <w:sz w:val="21"/>
              </w:rPr>
              <w:t>(</w:t>
            </w:r>
            <w:r>
              <w:rPr>
                <w:rFonts w:ascii="仿宋_GB2312" w:hAnsi="仿宋_GB2312" w:cs="仿宋_GB2312" w:eastAsia="仿宋_GB2312"/>
                <w:sz w:val="21"/>
              </w:rPr>
              <w:t>住建部令第</w:t>
            </w:r>
            <w:r>
              <w:rPr>
                <w:rFonts w:ascii="仿宋_GB2312" w:hAnsi="仿宋_GB2312" w:cs="仿宋_GB2312" w:eastAsia="仿宋_GB2312"/>
                <w:sz w:val="21"/>
              </w:rPr>
              <w:t>37</w:t>
            </w:r>
            <w:r>
              <w:rPr>
                <w:rFonts w:ascii="仿宋_GB2312" w:hAnsi="仿宋_GB2312" w:cs="仿宋_GB2312" w:eastAsia="仿宋_GB2312"/>
                <w:sz w:val="21"/>
              </w:rPr>
              <w:t>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《建设工程监理规范》</w:t>
            </w:r>
            <w:r>
              <w:rPr>
                <w:rFonts w:ascii="仿宋_GB2312" w:hAnsi="仿宋_GB2312" w:cs="仿宋_GB2312" w:eastAsia="仿宋_GB2312"/>
                <w:sz w:val="21"/>
              </w:rPr>
              <w:t>GB50319-2013</w:t>
            </w:r>
          </w:p>
          <w:p>
            <w:pPr>
              <w:pStyle w:val="null3"/>
              <w:jc w:val="both"/>
            </w:pPr>
            <w:r>
              <w:rPr>
                <w:rFonts w:ascii="仿宋_GB2312" w:hAnsi="仿宋_GB2312" w:cs="仿宋_GB2312" w:eastAsia="仿宋_GB2312"/>
                <w:sz w:val="21"/>
              </w:rPr>
              <w:t>除合同另有约定外，本工程适用现行国家、省、市、行业和地方规范、标准和规程如发生不一致时，则以要求最为严格的规范、规程或标准作为工作依据。</w:t>
            </w:r>
          </w:p>
          <w:p>
            <w:pPr>
              <w:pStyle w:val="null3"/>
              <w:jc w:val="both"/>
            </w:pPr>
            <w:r>
              <w:rPr>
                <w:rFonts w:ascii="仿宋_GB2312" w:hAnsi="仿宋_GB2312" w:cs="仿宋_GB2312" w:eastAsia="仿宋_GB2312"/>
                <w:sz w:val="21"/>
              </w:rPr>
              <w:t>在合同履行期间，咨询人应满足委托人的特定技术要求，满足设计要求，满足陕西省及西安市的有关强制性规定</w:t>
            </w:r>
            <w:r>
              <w:rPr>
                <w:rFonts w:ascii="仿宋_GB2312" w:hAnsi="仿宋_GB2312" w:cs="仿宋_GB2312" w:eastAsia="仿宋_GB2312"/>
                <w:sz w:val="21"/>
              </w:rPr>
              <w:t>;</w:t>
            </w:r>
            <w:r>
              <w:rPr>
                <w:rFonts w:ascii="仿宋_GB2312" w:hAnsi="仿宋_GB2312" w:cs="仿宋_GB2312" w:eastAsia="仿宋_GB2312"/>
                <w:sz w:val="21"/>
              </w:rPr>
              <w:t>咨询人应严格执行中华人民共和国强制性标准，执行现行的或即将颁布的行业标准、规范</w:t>
            </w:r>
            <w:r>
              <w:rPr>
                <w:rFonts w:ascii="仿宋_GB2312" w:hAnsi="仿宋_GB2312" w:cs="仿宋_GB2312" w:eastAsia="仿宋_GB2312"/>
                <w:sz w:val="21"/>
              </w:rPr>
              <w:t>;</w:t>
            </w:r>
            <w:r>
              <w:rPr>
                <w:rFonts w:ascii="仿宋_GB2312" w:hAnsi="仿宋_GB2312" w:cs="仿宋_GB2312" w:eastAsia="仿宋_GB2312"/>
                <w:sz w:val="21"/>
              </w:rPr>
              <w:t xml:space="preserve">如有新颁国家标准及行业标准、规范，委托人指令执行时，咨询人应当执行。                          </w:t>
            </w:r>
          </w:p>
          <w:p>
            <w:pPr>
              <w:pStyle w:val="null3"/>
              <w:jc w:val="both"/>
            </w:pPr>
            <w:r>
              <w:rPr>
                <w:rFonts w:ascii="仿宋_GB2312" w:hAnsi="仿宋_GB2312" w:cs="仿宋_GB2312" w:eastAsia="仿宋_GB2312"/>
                <w:sz w:val="21"/>
              </w:rPr>
              <w:t>注：供应商可自行前往项目实际地点踏勘。由于供应商自身原因而未去踏勘现场的，由供应商自行承担相关不利风险和责任，且在踏勘过程中所产生的任何费用及安全问题由供应商自行全部承担。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依据现行的国家标准或国家行政部门颁布的法律法规、规章制度作为项目验收的重要依据。没有国家标准的，可以参考行业标准。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3.1施工工期 采购包1：30日历日。 3.2建设地点 采购包1：西安市雁塔区航天小学内。 3.3支付方式 采购包1： 分期付款 3.4支付约定 采购包1： 付款条件说明：（1）合同签订后10个工作日内支付合同总价款40%作为预付款；（2）工程竣工、验收合格后15个工作日内支付至结算审计总价的100%。（3）付款前供应商需提前向甲方提供足额发票。3.5验收标准和方法 采购包1：依据现行的国家标准或国家行政部门颁布的法律法规、规章制度作为项目验收的重要依据。没有国家标准的，可以参考行业标准。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（一）计划工期： 30日历日。 （二）缺陷责任期：自竣工验收合格之日起满1年。 （三）质量保修期： 自竣工验收合格之日起满1年。 （四）计价依据1、西安市雁塔区航天小学2026年地面塌陷修复及教学楼线路改造项目工程施工图设计内容；2、陕西省工程建设标准《建设工程工程量清单计价标准》DB61/T 5126-2025；3、《陕西省建设工程费用规则》（2025）；4、陕西省工程建设标准《市政工程工程量计算标准》DB61/T 5128-2025、陕西省工程建设标准《园林绿化工程工程量计算标准》DB61/T 5131-2025；5、《陕西省市政工程消耗量定额》（2025）、《陕西省园林绿化工程消耗量定额》(2025)；6、《陕西省建设工程施工机械台班费用定额》（2025）、《陕西省建设工程施工仪器仪表台班费用定额》（2025）；7、《陕西省市政工程基价表》(2025）、《陕西省园林绿化工程基价表》(2025)；8、陕建发[2021]1021号《关于全省统一停止收缴建筑业劳保费用的通知》。（五）施工要求： 在施工期间，中标供应商必须注意院内人员安全，加强安全措施，并对施工人员进行安全教育。施工人员必须持证上岗。因采购人工作的特殊性，要求中标供应商在施工中做到封闭性施工； （六）其他 （1）质量验收标准或规范 1.1.国家现行有关法律、法规、环保和技术指标； 1.2.本项目施工合同； 1.3.经批准的设计文件及工程变更文件； 1.4.有关部政府部门的规定。 （2）违约责任 1.乙方工程质量不符合合同规定的，负责无偿修理或返工。由于修理返工造成逾期交付的，按合同总价的10％偿付逾期违约金，并赔偿甲方实际损失。2.乙方工程交付时间不符合规定，乙方按合同总价的10％偿付逾期违约金。3.甲方未能按照合同的规定履行自己应负的责任，除竣工日期得以顺延外，还应赔偿乙方因此发生的实际损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供应商需在项目电子化交易系统中按要求填写《投标函》完成承诺并提供以下资料：1.提供合格有效的法人或者其他组织的营业执照等证明文件，自然人的身份证明；供应商是法人或其他组织的应提供营业 执照等证明文件，供应商是自然人的应提供有效的自然人身份证明；2.财务状况证明：提供2024年度或2025年度经审计的已赋码且完整的财务报告；（成立时间至递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成立时间至递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法定代表人授权书（附法定代表人、被授权人身份证复印件，被授权人提供投标截止日前一年内已缴存的至少一个月的社会保险参保缴费证明）（法定代表人直接参加磋商，须提供法定代表人身份证明）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供应商应具备建设行政主管部门核发的房屋建筑工程施工总承包三级及以上资质，具有有效的安全生产许可证；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项目负责人需具备建筑工程专业二级及以上注册建造师执业资格和有效的安全生产考核证书（B证）在本单位注册，且无在建工程、无不良记录（提供无在建工程、无不良记录承诺书）；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报价一览表.docx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报价一览表.docx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报价一览表.docx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1、实施方案非常详细并且完整可行、有针对性，完全满足项目实施的得10分； 2、实施方案详细、完整，可行、有针对性，满足项目实施的得6分； 3、实施方案比较详细完整、可行，较利于项目实施的得4分； 4、实施方案无可行性，无法满足项目实施需要的得2分;5、未提供得0分。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针对本项目提供的安全作业方案及安全配套措施进行综合评审。 1、提供的安全作业方案及安全配套措施具体、详细，完全符合并优于采购人安全作业的要求，得8分； 2、提供安全作业方案及安全配套措施较详细、较完整，符合采购人安全作业的要求，得6分； 3、提供安全作业方案及安全配套措施基本合理可行，符合采购人安全作业的要求，得4分； 4、提供的安全作业方案及安全配套措施简单，基本符合采购人安全作业的要求，得2分。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1、措施计划齐全、合理且切实可行，完全满足采购人需求得5分； 2、措施计划较齐全、合理、切实可行，满足采购人需求得3分； 3、措施计划基本完备齐全、合理性、可行性较差，得1分；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以上内容专门针对本项目且符合本项目实际需求的得 10分，每缺一项内容扣 2 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专业技术能力及岗位职责</w:t>
            </w:r>
          </w:p>
        </w:tc>
        <w:tc>
          <w:tcPr>
            <w:tcW w:type="dxa" w:w="2492"/>
          </w:tcPr>
          <w:p>
            <w:pPr>
              <w:pStyle w:val="null3"/>
            </w:pPr>
            <w:r>
              <w:rPr>
                <w:rFonts w:ascii="仿宋_GB2312" w:hAnsi="仿宋_GB2312" w:cs="仿宋_GB2312" w:eastAsia="仿宋_GB2312"/>
              </w:rPr>
              <w:t>1.项目部人员配备（不包含项目经理）：技术负责人、施工员、安全员、质检员、材料员、造价员、资料员各技术人员配备齐全得3分，技术人员配备不齐全不得分； 评审依据：以供应商加盖公章的资格证书或职称（或相关证书）复印件为准。 2.技术负责人具有中级及以上职称证书的得2分，其他情况不得分。 评审依据：以供应商加盖公章的职称证书复印件为准。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针对本项目提供的难点解决方案进行综合评审。 1、方案计划齐全、合理且切实可行，完全满足项目实际需求得5分； 2、方案计划较齐全、合理、切实可行，满足项目实际需求得3分； 3、方案计划基本完备齐全、合理性、可行性较差，得1分；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机械设备和劳动力配置情况</w:t>
            </w:r>
          </w:p>
        </w:tc>
        <w:tc>
          <w:tcPr>
            <w:tcW w:type="dxa" w:w="2492"/>
          </w:tcPr>
          <w:p>
            <w:pPr>
              <w:pStyle w:val="null3"/>
            </w:pPr>
            <w:r>
              <w:rPr>
                <w:rFonts w:ascii="仿宋_GB2312" w:hAnsi="仿宋_GB2312" w:cs="仿宋_GB2312" w:eastAsia="仿宋_GB2312"/>
              </w:rPr>
              <w:t>针对本项目提供拟投入本项目主要机械、设备和劳动力配置情况。 1、拟投入的机械设备数量充足，与项目匹配度高，劳动力配置合理，完全满足项目需要，得5分； 2、拟投入的机械设备数量、与项目基本匹配，劳动力配置较合理，基本满足项目需要，得3分； 3、拟投入的机械设备和劳动力配置简单，无针对性，得1分。未提供不得分。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1、风险预测与防范内容完善，针对性强，预案及措施科学合理可行性强，得7分； 2、风险预测与防范内容较完善，预案及措施针对性和可行性较强，得5分；3、风险预测与防范内容较完善，预案及措施有一定针对性和可行性强，得3分； 4、风险预测与防范内容、预案及措施内容简单笼统，无针对性，得1分。未提供不得分。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1、进度计划安排合理、措施有效，工期目标明确，满足采购人要求，得5分；2、进度计划安排较合理、措施较有效，工期目标基本清晰，基本满足采购人要求，得3分； 3、进度计划和工期目标内容简单笼统，无针对性，得1分。4、未提供不得分。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1、投标人拟派项目经理具有本科及以上学历的得2分，专科学历的得1分，其他情况不得分。 2、具有中级及以上职称证书的得2分，其他情况不得分。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提供供应商2023年6月1日至今（以合同的签订日期为准）承接过类似项目的合同证明（每提供一个得2分，满分6分）（合同内容须清晰可辨认，无涂改，否则视为无效合同）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有效最低报价为磋商基准价。3、磋商报价按（磋商基准价/有效磋商报价）×30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