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198"/>
        <w:gridCol w:w="6334"/>
      </w:tblGrid>
      <w:tr w14:paraId="421E05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57FDE4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98" w:type="dxa"/>
          </w:tcPr>
          <w:p w14:paraId="17399A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34" w:type="dxa"/>
          </w:tcPr>
          <w:p w14:paraId="514044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B588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4B40C7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98" w:type="dxa"/>
          </w:tcPr>
          <w:p w14:paraId="10177152"/>
        </w:tc>
        <w:tc>
          <w:tcPr>
            <w:tcW w:w="6334" w:type="dxa"/>
          </w:tcPr>
          <w:p w14:paraId="006EBABF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一、项目概况</w:t>
            </w:r>
          </w:p>
          <w:p w14:paraId="43870B43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“西南边疆展(暂定名)”展览设计、施工制作及布展。展厅平面面积约440平方米，吊顶以下高度4.4米。呈“长方形”布局。</w:t>
            </w:r>
          </w:p>
          <w:p w14:paraId="0F5D566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本次展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1"/>
              </w:rPr>
              <w:t>览聚焦云桂地区特色文化符号，以铜鼓为核心载体，彰显了在文化传播和价值传递中的独特价值。</w:t>
            </w:r>
          </w:p>
          <w:p w14:paraId="4119D31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铜鼓是岭南地区古老而别致的历史文物。公元前7世纪左右，起源于云南，发展壮大在广西，其延续时间久、使用民族多、流传范围广，分布于我国云南、广西、广东、贵州、四川、湖南以及越南等东南亚国家。至今，在中国西南地区各民族和东南亚国家仍在使用，铜鼓已成为我国重要的非物质文化遗产。</w:t>
            </w:r>
          </w:p>
          <w:p w14:paraId="1B19EC1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铜鼓的跨民族、跨区域性，在岭南地区被各民族高度认同，同时又作为乐器的本质与中华文化的关联，使其凸显出本地化的特色。丰富的纹饰和立体装饰，以及奇奇怪怪的装饰纹样是生活的写照还是蕴含着人间奥秘?都显示出铜鼓不再是单纯的乐器，其承载着情感归属、民族记忆与文化认同，是各民族共有的精神家园，其内在的凝聚力与跨民族、跨区域的认同功能，使其成为“共同体信物”。</w:t>
            </w:r>
          </w:p>
        </w:tc>
      </w:tr>
      <w:tr w14:paraId="4BB1CD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6584FA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98" w:type="dxa"/>
          </w:tcPr>
          <w:p w14:paraId="3562FCE0"/>
        </w:tc>
        <w:tc>
          <w:tcPr>
            <w:tcW w:w="6334" w:type="dxa"/>
          </w:tcPr>
          <w:p w14:paraId="596DEF8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二、技术要求：</w:t>
            </w:r>
          </w:p>
          <w:p w14:paraId="01813009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1.设计依据与范围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“西南边疆展”（暂定名）展览的整体设计与制作，由供应商根据采购人提供的展陈大纲、展品清单、原始展厅平面图纸等相关资料，完成深化设计和制作施工。供应商须对展厅现场进行详细勘察与测绘，确保设计落地。</w:t>
            </w:r>
          </w:p>
          <w:p w14:paraId="6C60AA0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2.形式设计要求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 展览形式设计应充分响应展陈大纲，空间布局合理，展线清晰流畅。展览整体设计视觉效果具有冲击力且与展览主题高度统一；数字化展示设计须提出新颖的交互方案，明确创新点与适宜的互动体验项目。倡导采用安全、环保的新材料和新技术，兼顾参观舒适度与长时间观展体验。</w:t>
            </w:r>
          </w:p>
          <w:p w14:paraId="5AECA53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3.方案提交内容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 供应商须按采购要求提交完整的设计方案、施工组织方案及详细报价清单，具体包括但不限于：</w:t>
            </w:r>
          </w:p>
          <w:p w14:paraId="5CAE89A3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（1）设计方案：展览平面图、文物平面布置图、参观流线图、展柜及照明点位图（含回路）、电路及弱电布置图、展厅效果图、重点展项效果图、图文展板排版设计稿、多媒体展项系统设计及交互脚本等。</w:t>
            </w:r>
          </w:p>
          <w:p w14:paraId="2137BAC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（2）施工组织方案：全套施工图（平面、立面、剖面、节点大样、设备安装图等）、施工进度计划（横道图或网络图）、项目管理人员配置等。</w:t>
            </w:r>
          </w:p>
          <w:p w14:paraId="04ECCDD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（3）报价清单：按工程量清单形式分项列明设计费、基础制作费、文物展柜费、专业照明费、多媒体设备租赁及内容制作费、布展费、线上展览开发费、撤展费等，并注明规格、品牌、数量及单价。</w:t>
            </w:r>
          </w:p>
          <w:p w14:paraId="1609A0C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4.深化设计与修改配合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成交后，采购人有权组织专家对设计方案进行论证、提出修改意见，供应商须全面、及时配合修改、调整和深化设计，包括但不限于空间、立面、平面、照明、材料及施工节点细节。深化设计图纸及材料样板须经采购人书面确认后方可实施，后续任何涉及效果、功能及安全的变更必须事先取得采购人同意。深化设计阶段，供应商须指派设计代表驻场，专人负责沟通协调。除采购人新增需求外，方案优化不得降低原设计标准，合同总价不予调整。</w:t>
            </w:r>
          </w:p>
          <w:p w14:paraId="78A6881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5.基础制作与辅助设施范围</w:t>
            </w:r>
          </w:p>
          <w:p w14:paraId="174E2D7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（1）基础制作：包含门头结构、展墙搭建、吊顶改造、独立展台展托、图文展板基层、强弱电及照明线路铺设等。文物展柜制作安装须满足第6条专项要求。</w:t>
            </w:r>
          </w:p>
          <w:p w14:paraId="5A4D90F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辅助展示设施与服务：文物专用支架（含金属支架、亚克力支架、无酸材质底座及积木台）、说明牌制作、特种工艺印刷、场景复原模型及装置、动画及视频内容的设计、拍摄、录音与后期制作，以及多媒体设备租赁、安装调试与展期运营维护等。</w:t>
            </w:r>
          </w:p>
          <w:p w14:paraId="1F24483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6.文物展柜采购及制作要求</w:t>
            </w:r>
          </w:p>
          <w:p w14:paraId="7C454D1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（1）须遵循以下标准：</w:t>
            </w:r>
          </w:p>
          <w:p w14:paraId="20EFC2F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36111-2018《文物展柜基本技术要求及检测》</w:t>
            </w:r>
          </w:p>
          <w:p w14:paraId="28C0AB5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36110-2018《文物展柜密封性能及检测》</w:t>
            </w:r>
          </w:p>
          <w:p w14:paraId="52C79C3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WW/T 0109-2020《馆藏文物展藏多功能展柜技术要求》</w:t>
            </w:r>
          </w:p>
          <w:p w14:paraId="16A8DA0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WW/T 0069-2015《馆藏文物防震规范》</w:t>
            </w:r>
          </w:p>
          <w:p w14:paraId="55B37FBB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23863-2024《博物馆照明设计规范》（柜内部分）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（2）具体技术参数与要求：</w:t>
            </w:r>
          </w:p>
          <w:p w14:paraId="6B8982B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a.结构承载：展台板承载能力≥200kg（个别承载能力≥300kg），整体稳固抗震。</w:t>
            </w:r>
          </w:p>
          <w:p w14:paraId="2121DC4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b.材质与颜色：墙柜内部材料（含底座）采用环保无酸材料，甲醛释放量达到E0级，颜色以深色哑光为宜，避免反光干扰。</w:t>
            </w:r>
          </w:p>
          <w:p w14:paraId="0C08B07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c.玻璃：采用6mm+6mm超白双面钢化夹胶玻璃，PVB胶层厚度≥0.76mm，整体可见光透光率≥90%，可见光反射率≤3%，具备防爆及抗紫外线功能。</w:t>
            </w:r>
          </w:p>
          <w:p w14:paraId="3BD4B083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d.柜内照明：须针对展品（如铜鼓鼓腰、鼓足）设置专项补光；照度建议100～200lx，显色指数Ra≥97、R9≥95，色温3200K～3500K；灯具支持0～100%无级调光；紫外线相对含量≤10μW/lm，须滤除红外辐射以控制温升；柜内线路全部隐藏，安全无外露。</w:t>
            </w:r>
          </w:p>
          <w:p w14:paraId="2C4BD9F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e.灯具调节：单灯功率1W～12W可适配，水平360°旋转、垂直90°旋转，安装牢固且便于维护。</w:t>
            </w:r>
          </w:p>
          <w:p w14:paraId="4D493AA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f.微环境与密封：柜体气密性换气率须符合相关标准,开启方式便捷。</w:t>
            </w:r>
          </w:p>
          <w:p w14:paraId="435B854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g.整体性能：密闭良好，无有害气体释放，并通过第三方检测。柜内温升控制在≤2℃。</w:t>
            </w:r>
          </w:p>
          <w:p w14:paraId="1D004B1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7.文物照明采购及制作要求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（1）遵循GB/T 23863-2024，并提供灯具检测报告。</w:t>
            </w:r>
          </w:p>
          <w:p w14:paraId="41B4E063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（2）具体技术参数与要求：</w:t>
            </w:r>
          </w:p>
          <w:p w14:paraId="4B2DC37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a.照度与光色：展品表面照度100～300lx（对光敏感文物可下调），b.显色指数：Ra≥95、R9≥90，色温3000K～4000K。</w:t>
            </w:r>
          </w:p>
          <w:p w14:paraId="419DA9C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c.光束角：可调光束角12°～30°，调节便捷。</w:t>
            </w:r>
          </w:p>
          <w:p w14:paraId="7F7904B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d.功率与散热：灯具功率12W～48W，须采用被动散热设计，正常工作时灯具外表面最高温度≤38℃。</w:t>
            </w:r>
          </w:p>
          <w:p w14:paraId="6012614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e.防眩与控光：须配备蜂窝网、防眩格栅或微透镜阵列等附件，遮光角≥38°，统一眩光值UGR≤19。</w:t>
            </w:r>
          </w:p>
          <w:p w14:paraId="5226AE49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f.紫外线控制：紫外线相对含量≤10μW/lm。</w:t>
            </w:r>
          </w:p>
          <w:p w14:paraId="57FBE28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g.调光与适配：灯具支持0～100%平滑调光；采用博物馆专用轨道及安全接驳器。</w:t>
            </w:r>
          </w:p>
          <w:p w14:paraId="08309D2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i.寿命与维护：灯具额定寿命L70≥25000小时，并提供常用备件。</w:t>
            </w:r>
          </w:p>
          <w:p w14:paraId="047E981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8.图文版面与说明牌</w:t>
            </w:r>
          </w:p>
          <w:p w14:paraId="0398E4F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负责图文版面的内容排版、视觉设计及制作，文物说明牌采用耐久、防眩、易洁材质（如哑光亚克力或金属蚀刻），文字信息须中英文对照。展览英文翻译须由具备专业资质的英文审校人员完成，确保准确规范。所有版面及说明牌设计稿须经采购人审核确认。</w:t>
            </w:r>
          </w:p>
          <w:p w14:paraId="49C73D6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9.材料与施工工艺</w:t>
            </w:r>
          </w:p>
          <w:p w14:paraId="4AAAE23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供应商须熟悉博物馆展陈工艺，施工质量精良，注重细节处理。所有进场材料须为绿色环保产品，提供国家认可检测机构出具的甲醛、VOC释放量等检测报告，符合GB 18580等标准。装修材料燃烧性能等级须满足GB 50222《建筑内部装修设计防火规范》：吊顶及重要结构应为A级，其余不低于B1级；木质材料须经防火处理并出示标识。施工期间须采取降尘、降噪及成品地面保护措施。</w:t>
            </w:r>
          </w:p>
          <w:p w14:paraId="60EEA38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10.多媒体内容及设备</w:t>
            </w:r>
          </w:p>
          <w:p w14:paraId="65D61CE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承担多媒体系统的深化设计、设备租赁、安装调试及展期运维。须租赁并安装高清工程投影仪六至八台（亮度≥6000ANSI流明，分辨率≥1920×1200，支持几何校正与边缘融合；动画设计使用），配套视频播放设备四台（支持自动连续播放、断电重启；视频播放使用），并配置相应的音响系统（采用定向音箱或聚音罩避免声场干扰）、中控服务器及线缆辅材。动画设计和视频内容制作包含前期策划、脚本撰写、高清拍摄、专业配音及后期剪辑包装，分辨率不低于4K，成品经采购人审核后交付。整个多媒体系统须支持定时开关和集中控制，确保展期稳定运行。</w:t>
            </w:r>
          </w:p>
          <w:p w14:paraId="521CD36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11.布展实施要求</w:t>
            </w:r>
          </w:p>
          <w:p w14:paraId="77A7C99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应具备文物及艺术品布展经验，配备经过专业培训的布展人员。布展现场须驻有一名金属展架制作技工（可进行现场测量、焊接及打磨，动火作业须报批并配备灭火器材）和一名积木台加工技工（可现场加工无酸纸板、木板或亚克力文物底座和辅助支撑）。供应商须提供布展所需全部工具及安全防护装备，包括鱼线、剪刀、洁净手套、无酸绵纸及防震缓冲材料等，确保文物绝对安全。</w:t>
            </w:r>
          </w:p>
          <w:p w14:paraId="5C9B982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12.网上展览与宣传推广</w:t>
            </w:r>
          </w:p>
          <w:p w14:paraId="761A65C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完成线上展览的设计与开发，包括：博物院官网PC端在线展览（基于实地采集的VR虚拟360°全景展示，含热点交互、图文展示等）；博物院微信公众号手机端适配线上展；制作一条不少于90秒的展览回顾视频（含解说、字幕及配乐）。展览信息预告图文内容须经采购人审核，并在官方渠道发布一次以上。供应商须全力配合布撤展及宣传推广工作，所有线上内容须保证展期内平稳访问。</w:t>
            </w:r>
          </w:p>
          <w:p w14:paraId="45697595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12.其他宣传制作</w:t>
            </w:r>
          </w:p>
          <w:p w14:paraId="27C7F08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包含文物陈列楼外立面巨幅海报二幅（尺寸4m×11m，户外高精度喷绘（含基座，可现场勘察，抗UV防水，安装方案须含结构安全计算并符合防风要求），外立面安装不得破坏楼体结构，所有宣传物料采用可清除材料，展览结束后须恢复原貌。</w:t>
            </w:r>
          </w:p>
          <w:p w14:paraId="3702234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13.撤展与恢复</w:t>
            </w:r>
          </w:p>
          <w:p w14:paraId="754B57A5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按采购人要求，在规定时间内完成所有临时展览设施的拆除、垃圾清运及场地恢复工作。拆除过程须保护展厅原有建筑及设施，对建筑表面残留物进行专业清理，确保恢复至展前状态，并经采购人验收合格。外立面海报及招贴等须同步清除回收，杜绝遗留。</w:t>
            </w:r>
          </w:p>
          <w:p w14:paraId="37C89B07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14.展期维护与备件</w:t>
            </w:r>
          </w:p>
          <w:p w14:paraId="3D51938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供应商须在展期内提供维保服务，并承诺24小时应急响应，接到故障通知后6小时内到达现场处理。须备置关键易损件（如灯具、投影灯泡、播放设备备机等），确保各类设备及展陈设施始终处于良好运行状态。</w:t>
            </w:r>
          </w:p>
          <w:p w14:paraId="72D0CBB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15.知识产权与保密</w:t>
            </w:r>
          </w:p>
          <w:p w14:paraId="4304441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保证所提交的全部设计成果、多媒体内容、线上展览等不侵犯第三方知识产权。所有为本次展览专门制作的设计文件、视频、程序及其他成果，其著作权及其他知识产权在采购人付清合同款项后，全部归采购人所有，供应商享有署名权。供应商须对展览涉及的所有文物信息、数据及资料承担保密义务，未经许可不得外泄或另作他用。</w:t>
            </w:r>
          </w:p>
          <w:p w14:paraId="529332A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16.人员资质与安全</w:t>
            </w:r>
          </w:p>
          <w:p w14:paraId="584215F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项目经理具备博物馆展陈工程管理经验。施工人员须持证上岗，特种作业人员须持有有效操作证。布展及施工全过程须符合安全生产及消防法规，供应商须为现场人员购买相应保险，并承担全部安全责任。</w:t>
            </w:r>
          </w:p>
        </w:tc>
      </w:tr>
      <w:tr w14:paraId="3BA2FC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64092D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98" w:type="dxa"/>
          </w:tcPr>
          <w:p w14:paraId="2F490E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334" w:type="dxa"/>
          </w:tcPr>
          <w:p w14:paraId="225BD47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三、工期：50日历天</w:t>
            </w:r>
          </w:p>
          <w:p w14:paraId="125F1AF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四、施工地点：秦始皇帝陵博物院陈列厅</w:t>
            </w:r>
          </w:p>
          <w:p w14:paraId="7F14FB2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五、质保期：自竣工验收合格之日起至展览结束</w:t>
            </w:r>
          </w:p>
        </w:tc>
      </w:tr>
      <w:tr w14:paraId="1B8BBC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63AEE9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198" w:type="dxa"/>
          </w:tcPr>
          <w:p w14:paraId="57C997DB"/>
        </w:tc>
        <w:tc>
          <w:tcPr>
            <w:tcW w:w="6334" w:type="dxa"/>
          </w:tcPr>
          <w:p w14:paraId="097021A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展厅平面图（后附）</w:t>
            </w:r>
          </w:p>
          <w:p w14:paraId="4FA2EBC1">
            <w:pPr>
              <w:pStyle w:val="4"/>
            </w:pPr>
            <w:r>
              <w:drawing>
                <wp:inline distT="0" distB="0" distL="0" distR="0">
                  <wp:extent cx="1621155" cy="2294255"/>
                  <wp:effectExtent l="0" t="0" r="17145" b="1079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229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2547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7C1F3C"/>
    <w:rsid w:val="137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2026-08-03T10:21:00Z</dcterms:created>
  <dc:creator>徐闫靖双</dc:creator>
  <cp:lastModifiedBy>徐闫靖双</cp:lastModifiedBy>
  <dcterms:modified xsi:type="dcterms:W3CDTF">2026-08-03T10:22:08Z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1A0C16BDDF0D4F0B8A4FBFD0C4411661_11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