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版本号：政采-汉中市-2026-0034320260513001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2026年汉中市自然资源资产生态价值核算试点技术服务项目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政采-汉中市-2026-00343</w:t>
      </w:r>
      <w:r>
        <w:br/>
      </w:r>
      <w:r>
        <w:br/>
      </w:r>
      <w:r>
        <w:br/>
      </w:r>
    </w:p>
    <w:p>
      <w:pPr>
        <w:pStyle w:val="null3"/>
        <w:jc w:val="center"/>
        <w:outlineLvl w:val="2"/>
      </w:pPr>
      <w:r>
        <w:rPr>
          <w:rFonts w:ascii="仿宋_GB2312" w:hAnsi="仿宋_GB2312" w:cs="仿宋_GB2312" w:eastAsia="仿宋_GB2312"/>
          <w:sz w:val="28"/>
          <w:b/>
        </w:rPr>
        <w:t>汉中市自然资源局</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汉中市自然资源局</w:t>
      </w:r>
      <w:r>
        <w:rPr>
          <w:rFonts w:ascii="仿宋_GB2312" w:hAnsi="仿宋_GB2312" w:cs="仿宋_GB2312" w:eastAsia="仿宋_GB2312"/>
        </w:rPr>
        <w:t>委托，拟对</w:t>
      </w:r>
      <w:r>
        <w:rPr>
          <w:rFonts w:ascii="仿宋_GB2312" w:hAnsi="仿宋_GB2312" w:cs="仿宋_GB2312" w:eastAsia="仿宋_GB2312"/>
        </w:rPr>
        <w:t>2026年汉中市自然资源资产生态价值核算试点技术服务项目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政采-汉中市-2026-00343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2026年汉中市自然资源资产生态价值核算试点技术服务项目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以耕地、森林、草原、湿地等自然资源资产为对象，核算自然资源资产生态系统服务（调节服务）等8类实物量和价值量，通过对自然资源资产生态系统服务价值量折现，核算出自然资源资产生态价值。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身份证明：供应商应具有独立承担民事责任的能力且具备向采购人提供相关服务的企业法人、事业单位法人、民办非企业单位法人、其他组织或者自然人，企业法人应提供统一社会信用代码的营业执照；事业单位法人应提供有效的事业单位法人证书；民办非企业单位法人应提供民办非企业单位（社会服务机构）登记证书；其他组织应提供合法设立登记文件、执业许可证等有效证明文件；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 和社会保障资金的良好记录，以及参加本项目采购活动前三年内在经营活动中无重大违法活动记录， 供应商提供《汉中市政府采购供应商资格承诺函》。</w:t>
      </w:r>
    </w:p>
    <w:p>
      <w:pPr>
        <w:pStyle w:val="null3"/>
      </w:pPr>
      <w:r>
        <w:rPr>
          <w:rFonts w:ascii="仿宋_GB2312" w:hAnsi="仿宋_GB2312" w:cs="仿宋_GB2312" w:eastAsia="仿宋_GB2312"/>
        </w:rPr>
        <w:t>4、供应商资质：供应商须具备土地规划乙级及以上资质（有效期内）或城乡规划（国土空间规划）编制乙级及以上资质。</w:t>
      </w:r>
    </w:p>
    <w:p>
      <w:pPr>
        <w:pStyle w:val="null3"/>
      </w:pPr>
      <w:r>
        <w:rPr>
          <w:rFonts w:ascii="仿宋_GB2312" w:hAnsi="仿宋_GB2312" w:cs="仿宋_GB2312" w:eastAsia="仿宋_GB2312"/>
        </w:rPr>
        <w:t>5、本项目不接受联合体磋商：本项目不接受联合体磋商。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0916-2996026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汉中市汉台区益州路桃园新居商铺北侧（圣达洪涛装饰工程有限公司二楼）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开户名称：陕西培森项目管理有限公司</w:t>
            </w:r>
          </w:p>
          <w:p>
            <w:pPr>
              <w:pStyle w:val="null3"/>
            </w:pPr>
            <w:r>
              <w:rPr>
                <w:rFonts w:ascii="仿宋_GB2312" w:hAnsi="仿宋_GB2312" w:cs="仿宋_GB2312" w:eastAsia="仿宋_GB2312"/>
              </w:rPr>
              <w:t>开户银行：中国银行股份有限公司咸阳渭城区支行</w:t>
            </w:r>
          </w:p>
          <w:p>
            <w:pPr>
              <w:pStyle w:val="null3"/>
            </w:pPr>
            <w:r>
              <w:rPr>
                <w:rFonts w:ascii="仿宋_GB2312" w:hAnsi="仿宋_GB2312" w:cs="仿宋_GB2312" w:eastAsia="仿宋_GB2312"/>
              </w:rPr>
              <w:t>银行账号：103672378726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lt;招标代理服务收费管理暂行办法&gt;的通知》（计价格〔2002〕1980号）、国家改委办公厅颁发的《关于招标代理服务收费有关问题的通知》（发改价格[2003]857号）和《国家发展改革委关于降低部分建设项目收费标准规范收费行为等有关问题的通知》(发改价格【2011】534号)文件规定，以成交价为基数按标准取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汉中市自然资源局</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财政部关于进一步加强政府采购需求和履约验收管理的指导意见》（财库〔2016〕205号）、《政府采购需求管理办法》（财库〔2021〕22号）等相关法律法规、技术标准、规范流程、采购文件、响应文件及合同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联系人：鄢敏</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地址：汉中市汉台区益州路桃园新居商铺北侧（圣达洪涛装饰工程有限公司二楼）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以耕地、森林、草原、湿地等自然资源资产为对象，核算自然资源资产生态系统服务（调节服务）等8类实物量和价值量，通过对自然资源资产生态系统服务价值量折现，核算出自然资源资产生态价值。</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完成2026年自然资源资产生态价值核算试点工作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标的名称：完成2026年自然资源资产生态价值核算试点工作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75"/>
            </w:pPr>
            <w:r>
              <w:rPr>
                <w:rFonts w:ascii="仿宋_GB2312" w:hAnsi="仿宋_GB2312" w:cs="仿宋_GB2312" w:eastAsia="仿宋_GB2312"/>
                <w:sz w:val="20"/>
              </w:rPr>
              <w:t>一、项目基本情况</w:t>
            </w:r>
          </w:p>
          <w:p>
            <w:pPr>
              <w:pStyle w:val="null3"/>
            </w:pPr>
            <w:r>
              <w:rPr>
                <w:rFonts w:ascii="仿宋_GB2312" w:hAnsi="仿宋_GB2312" w:cs="仿宋_GB2312" w:eastAsia="仿宋_GB2312"/>
                <w:sz w:val="20"/>
              </w:rPr>
              <w:t>2026</w:t>
            </w:r>
            <w:r>
              <w:rPr>
                <w:rFonts w:ascii="仿宋_GB2312" w:hAnsi="仿宋_GB2312" w:cs="仿宋_GB2312" w:eastAsia="仿宋_GB2312"/>
                <w:sz w:val="20"/>
              </w:rPr>
              <w:t>年汉中市自然资源资产生态价值核算试点项目</w:t>
            </w:r>
            <w:r>
              <w:rPr>
                <w:rFonts w:ascii="仿宋_GB2312" w:hAnsi="仿宋_GB2312" w:cs="仿宋_GB2312" w:eastAsia="仿宋_GB2312"/>
                <w:sz w:val="20"/>
              </w:rPr>
              <w:t>，旨在切实履行党中央赋予自然资源部门“两统一”的核心职责，进一步构建自然资源资产核算体系，健全自然资源资产核算制度，为“绿水青山就是金山银山”理念提供坚实的科学数据与价值支撑，进而推动全市绿色高质量发展，是具有重要意义的项目。该项目对于完善全市国家生态产品价值实现机制试点工作亦具有十分重要的意义。主要任务如下：其一，结合</w:t>
            </w:r>
            <w:r>
              <w:rPr>
                <w:rFonts w:ascii="仿宋_GB2312" w:hAnsi="仿宋_GB2312" w:cs="仿宋_GB2312" w:eastAsia="仿宋_GB2312"/>
                <w:sz w:val="20"/>
              </w:rPr>
              <w:t>汉中</w:t>
            </w:r>
            <w:r>
              <w:rPr>
                <w:rFonts w:ascii="仿宋_GB2312" w:hAnsi="仿宋_GB2312" w:cs="仿宋_GB2312" w:eastAsia="仿宋_GB2312"/>
                <w:sz w:val="20"/>
              </w:rPr>
              <w:t>市耕地、森林、草原、湿地等自然资源资产禀赋，构建自然资源资产生态价值核算价格体系，并开展自然资源资产生态价值核算工作；其二，建立资产生态价值价格分区，探索实现自然资源资产生态价值核算参数本地化校准、价格分区化管控；其三，推动自然资源资产生态价值核算成果与自然资源资产管理相融合，建立横向生态补偿机制，确定自然资源资产生态价值核算方法、定价方法，明确自然资源跨区域、跨部门生态补偿标准，以推动生态产品价值实现。</w:t>
            </w:r>
          </w:p>
          <w:p>
            <w:pPr>
              <w:pStyle w:val="null3"/>
            </w:pPr>
            <w:r>
              <w:rPr>
                <w:rFonts w:ascii="仿宋_GB2312" w:hAnsi="仿宋_GB2312" w:cs="仿宋_GB2312" w:eastAsia="仿宋_GB2312"/>
                <w:sz w:val="20"/>
              </w:rPr>
              <w:t>二、服务内容</w:t>
            </w:r>
          </w:p>
          <w:p>
            <w:pPr>
              <w:pStyle w:val="null3"/>
            </w:pPr>
            <w:r>
              <w:rPr>
                <w:rFonts w:ascii="仿宋_GB2312" w:hAnsi="仿宋_GB2312" w:cs="仿宋_GB2312" w:eastAsia="仿宋_GB2312"/>
                <w:sz w:val="20"/>
              </w:rPr>
              <w:t>本项目服务内容为核算</w:t>
            </w:r>
            <w:r>
              <w:rPr>
                <w:rFonts w:ascii="仿宋_GB2312" w:hAnsi="仿宋_GB2312" w:cs="仿宋_GB2312" w:eastAsia="仿宋_GB2312"/>
                <w:sz w:val="20"/>
              </w:rPr>
              <w:t>汉中</w:t>
            </w:r>
            <w:r>
              <w:rPr>
                <w:rFonts w:ascii="仿宋_GB2312" w:hAnsi="仿宋_GB2312" w:cs="仿宋_GB2312" w:eastAsia="仿宋_GB2312"/>
                <w:sz w:val="20"/>
              </w:rPr>
              <w:t>市耕地、森林、草原、湿地等自然资源资产生态价值。 具体如下：</w:t>
            </w:r>
          </w:p>
          <w:p>
            <w:pPr>
              <w:pStyle w:val="null3"/>
            </w:pPr>
            <w:r>
              <w:rPr>
                <w:rFonts w:ascii="仿宋_GB2312" w:hAnsi="仿宋_GB2312" w:cs="仿宋_GB2312" w:eastAsia="仿宋_GB2312"/>
                <w:sz w:val="20"/>
              </w:rPr>
              <w:t>1.</w:t>
            </w:r>
            <w:r>
              <w:rPr>
                <w:rFonts w:ascii="仿宋_GB2312" w:hAnsi="仿宋_GB2312" w:cs="仿宋_GB2312" w:eastAsia="仿宋_GB2312"/>
                <w:sz w:val="20"/>
              </w:rPr>
              <w:t>开展自然资源资产生态价值核算工作。结合</w:t>
            </w:r>
            <w:r>
              <w:rPr>
                <w:rFonts w:ascii="仿宋_GB2312" w:hAnsi="仿宋_GB2312" w:cs="仿宋_GB2312" w:eastAsia="仿宋_GB2312"/>
                <w:sz w:val="20"/>
              </w:rPr>
              <w:t>汉中</w:t>
            </w:r>
            <w:r>
              <w:rPr>
                <w:rFonts w:ascii="仿宋_GB2312" w:hAnsi="仿宋_GB2312" w:cs="仿宋_GB2312" w:eastAsia="仿宋_GB2312"/>
                <w:sz w:val="20"/>
              </w:rPr>
              <w:t>市耕地、森林、草原、湿地等自然资源资产禀赋，梳理现有国土调查、自然资源要素监测等数据资料，编制详细的工作方案与技术方案；明确自然资源资产生态价值核算范围和核算价值类型，整合林业、农业、水利等部门数据，建立“部门联动</w:t>
            </w:r>
            <w:r>
              <w:rPr>
                <w:rFonts w:ascii="仿宋_GB2312" w:hAnsi="仿宋_GB2312" w:cs="仿宋_GB2312" w:eastAsia="仿宋_GB2312"/>
                <w:sz w:val="20"/>
              </w:rPr>
              <w:t>+</w:t>
            </w:r>
            <w:r>
              <w:rPr>
                <w:rFonts w:ascii="仿宋_GB2312" w:hAnsi="仿宋_GB2312" w:cs="仿宋_GB2312" w:eastAsia="仿宋_GB2312"/>
                <w:sz w:val="20"/>
              </w:rPr>
              <w:t>第三方协作”基础数据获取机制，实施补充实地调查，确保数据的真实性与完整性，核算多门类自然资源资产生态价值的实物量，构建自然资源资产生态价值核算价格体系，形成自然资源资产生态价值核算的价值量成果，</w:t>
            </w:r>
            <w:r>
              <w:rPr>
                <w:rFonts w:ascii="仿宋_GB2312" w:hAnsi="仿宋_GB2312" w:cs="仿宋_GB2312" w:eastAsia="仿宋_GB2312"/>
                <w:sz w:val="20"/>
              </w:rPr>
              <w:t>通过对自然资源资产生态系统服务（调节服务）价值量折现，核算出自然资源资产生态价值。</w:t>
            </w:r>
          </w:p>
          <w:p>
            <w:pPr>
              <w:pStyle w:val="null3"/>
            </w:pPr>
            <w:r>
              <w:rPr>
                <w:rFonts w:ascii="仿宋_GB2312" w:hAnsi="仿宋_GB2312" w:cs="仿宋_GB2312" w:eastAsia="仿宋_GB2312"/>
                <w:sz w:val="20"/>
              </w:rPr>
              <w:t>2.</w:t>
            </w:r>
            <w:r>
              <w:rPr>
                <w:rFonts w:ascii="仿宋_GB2312" w:hAnsi="仿宋_GB2312" w:cs="仿宋_GB2312" w:eastAsia="仿宋_GB2312"/>
                <w:sz w:val="20"/>
              </w:rPr>
              <w:t>完善自然资源资产生态价值核算技术方法。创新契合</w:t>
            </w:r>
            <w:r>
              <w:rPr>
                <w:rFonts w:ascii="仿宋_GB2312" w:hAnsi="仿宋_GB2312" w:cs="仿宋_GB2312" w:eastAsia="仿宋_GB2312"/>
                <w:sz w:val="20"/>
              </w:rPr>
              <w:t>汉中</w:t>
            </w:r>
            <w:r>
              <w:rPr>
                <w:rFonts w:ascii="仿宋_GB2312" w:hAnsi="仿宋_GB2312" w:cs="仿宋_GB2312" w:eastAsia="仿宋_GB2312"/>
                <w:sz w:val="20"/>
              </w:rPr>
              <w:t>市实际情况的自然资源资产生态价值实物量测度方法，构建“站点观测</w:t>
            </w:r>
            <w:r>
              <w:rPr>
                <w:rFonts w:ascii="仿宋_GB2312" w:hAnsi="仿宋_GB2312" w:cs="仿宋_GB2312" w:eastAsia="仿宋_GB2312"/>
                <w:sz w:val="20"/>
              </w:rPr>
              <w:t>+</w:t>
            </w:r>
            <w:r>
              <w:rPr>
                <w:rFonts w:ascii="仿宋_GB2312" w:hAnsi="仿宋_GB2312" w:cs="仿宋_GB2312" w:eastAsia="仿宋_GB2312"/>
                <w:sz w:val="20"/>
              </w:rPr>
              <w:t>遥感监测”核算框架；明确数据采集、指标选取、价值量化等标准化、规范化的实施技术路径，开展参数本地化研究，校准各类生态价值核算的关键参数，形成可复制的技术体系；创新自然资源资产生态价值核算方法与定价方法，建立自然资源资产生态价值价格分区，验证技术方法的科学性与可操作性，探索自然资源资产生态价值核算参数地理化、价格政区化。</w:t>
            </w:r>
          </w:p>
          <w:p>
            <w:pPr>
              <w:pStyle w:val="null3"/>
            </w:pPr>
            <w:r>
              <w:rPr>
                <w:rFonts w:ascii="仿宋_GB2312" w:hAnsi="仿宋_GB2312" w:cs="仿宋_GB2312" w:eastAsia="仿宋_GB2312"/>
                <w:sz w:val="20"/>
              </w:rPr>
              <w:t>3.</w:t>
            </w:r>
            <w:r>
              <w:rPr>
                <w:rFonts w:ascii="仿宋_GB2312" w:hAnsi="仿宋_GB2312" w:cs="仿宋_GB2312" w:eastAsia="仿宋_GB2312"/>
                <w:sz w:val="20"/>
              </w:rPr>
              <w:t>探索自然资源资产生态价值核算成果应用。推动自然资源资产生态价值核算成果与自然资源资产管理融合，探索建立横向生态补偿机制，以核算成果为依据，明确跨区域、跨部门生态补偿标准，推动生态产品价值实现；将成果应用于领导干部自然资源资产离任审计，提升生态保护责任落实效能。</w:t>
            </w:r>
          </w:p>
          <w:p>
            <w:pPr>
              <w:pStyle w:val="null3"/>
            </w:pPr>
            <w:r>
              <w:rPr>
                <w:rFonts w:ascii="仿宋_GB2312" w:hAnsi="仿宋_GB2312" w:cs="仿宋_GB2312" w:eastAsia="仿宋_GB2312"/>
                <w:sz w:val="20"/>
              </w:rPr>
              <w:t>4.</w:t>
            </w:r>
            <w:r>
              <w:rPr>
                <w:rFonts w:ascii="仿宋_GB2312" w:hAnsi="仿宋_GB2312" w:cs="仿宋_GB2312" w:eastAsia="仿宋_GB2312"/>
                <w:sz w:val="20"/>
              </w:rPr>
              <w:t>核算周期</w:t>
            </w:r>
            <w:r>
              <w:rPr>
                <w:rFonts w:ascii="仿宋_GB2312" w:hAnsi="仿宋_GB2312" w:cs="仿宋_GB2312" w:eastAsia="仿宋_GB2312"/>
                <w:sz w:val="20"/>
              </w:rPr>
              <w:t>：</w:t>
            </w:r>
            <w:r>
              <w:rPr>
                <w:rFonts w:ascii="仿宋_GB2312" w:hAnsi="仿宋_GB2312" w:cs="仿宋_GB2312" w:eastAsia="仿宋_GB2312"/>
                <w:sz w:val="20"/>
              </w:rPr>
              <w:t>自然资源资产生态系统服务（调节服务）实物量和价值量的核算周期为</w:t>
            </w:r>
            <w:r>
              <w:rPr>
                <w:rFonts w:ascii="仿宋_GB2312" w:hAnsi="仿宋_GB2312" w:cs="仿宋_GB2312" w:eastAsia="仿宋_GB2312"/>
                <w:sz w:val="20"/>
              </w:rPr>
              <w:t>2023</w:t>
            </w:r>
            <w:r>
              <w:rPr>
                <w:rFonts w:ascii="仿宋_GB2312" w:hAnsi="仿宋_GB2312" w:cs="仿宋_GB2312" w:eastAsia="仿宋_GB2312"/>
                <w:sz w:val="20"/>
              </w:rPr>
              <w:t>年</w:t>
            </w:r>
            <w:r>
              <w:rPr>
                <w:rFonts w:ascii="仿宋_GB2312" w:hAnsi="仿宋_GB2312" w:cs="仿宋_GB2312" w:eastAsia="仿宋_GB2312"/>
                <w:sz w:val="20"/>
              </w:rPr>
              <w:t>1</w:t>
            </w:r>
            <w:r>
              <w:rPr>
                <w:rFonts w:ascii="仿宋_GB2312" w:hAnsi="仿宋_GB2312" w:cs="仿宋_GB2312" w:eastAsia="仿宋_GB2312"/>
                <w:sz w:val="20"/>
              </w:rPr>
              <w:t>月</w:t>
            </w:r>
            <w:r>
              <w:rPr>
                <w:rFonts w:ascii="仿宋_GB2312" w:hAnsi="仿宋_GB2312" w:cs="仿宋_GB2312" w:eastAsia="仿宋_GB2312"/>
                <w:sz w:val="20"/>
              </w:rPr>
              <w:t>1</w:t>
            </w:r>
            <w:r>
              <w:rPr>
                <w:rFonts w:ascii="仿宋_GB2312" w:hAnsi="仿宋_GB2312" w:cs="仿宋_GB2312" w:eastAsia="仿宋_GB2312"/>
                <w:sz w:val="20"/>
              </w:rPr>
              <w:t>日至</w:t>
            </w:r>
            <w:r>
              <w:rPr>
                <w:rFonts w:ascii="仿宋_GB2312" w:hAnsi="仿宋_GB2312" w:cs="仿宋_GB2312" w:eastAsia="仿宋_GB2312"/>
                <w:sz w:val="20"/>
              </w:rPr>
              <w:t>12</w:t>
            </w:r>
            <w:r>
              <w:rPr>
                <w:rFonts w:ascii="仿宋_GB2312" w:hAnsi="仿宋_GB2312" w:cs="仿宋_GB2312" w:eastAsia="仿宋_GB2312"/>
                <w:sz w:val="20"/>
              </w:rPr>
              <w:t>月</w:t>
            </w:r>
            <w:r>
              <w:rPr>
                <w:rFonts w:ascii="仿宋_GB2312" w:hAnsi="仿宋_GB2312" w:cs="仿宋_GB2312" w:eastAsia="仿宋_GB2312"/>
                <w:sz w:val="20"/>
              </w:rPr>
              <w:t>31</w:t>
            </w:r>
            <w:r>
              <w:rPr>
                <w:rFonts w:ascii="仿宋_GB2312" w:hAnsi="仿宋_GB2312" w:cs="仿宋_GB2312" w:eastAsia="仿宋_GB2312"/>
                <w:sz w:val="20"/>
              </w:rPr>
              <w:t>日，自然资源资产生态价值核算基准时点为</w:t>
            </w:r>
            <w:r>
              <w:rPr>
                <w:rFonts w:ascii="仿宋_GB2312" w:hAnsi="仿宋_GB2312" w:cs="仿宋_GB2312" w:eastAsia="仿宋_GB2312"/>
                <w:sz w:val="20"/>
              </w:rPr>
              <w:t>2023</w:t>
            </w:r>
            <w:r>
              <w:rPr>
                <w:rFonts w:ascii="仿宋_GB2312" w:hAnsi="仿宋_GB2312" w:cs="仿宋_GB2312" w:eastAsia="仿宋_GB2312"/>
                <w:sz w:val="20"/>
              </w:rPr>
              <w:t>年</w:t>
            </w:r>
            <w:r>
              <w:rPr>
                <w:rFonts w:ascii="仿宋_GB2312" w:hAnsi="仿宋_GB2312" w:cs="仿宋_GB2312" w:eastAsia="仿宋_GB2312"/>
                <w:sz w:val="20"/>
              </w:rPr>
              <w:t>12</w:t>
            </w:r>
            <w:r>
              <w:rPr>
                <w:rFonts w:ascii="仿宋_GB2312" w:hAnsi="仿宋_GB2312" w:cs="仿宋_GB2312" w:eastAsia="仿宋_GB2312"/>
                <w:sz w:val="20"/>
              </w:rPr>
              <w:t>月</w:t>
            </w:r>
            <w:r>
              <w:rPr>
                <w:rFonts w:ascii="仿宋_GB2312" w:hAnsi="仿宋_GB2312" w:cs="仿宋_GB2312" w:eastAsia="仿宋_GB2312"/>
                <w:sz w:val="20"/>
              </w:rPr>
              <w:t>31</w:t>
            </w:r>
            <w:r>
              <w:rPr>
                <w:rFonts w:ascii="仿宋_GB2312" w:hAnsi="仿宋_GB2312" w:cs="仿宋_GB2312" w:eastAsia="仿宋_GB2312"/>
                <w:sz w:val="20"/>
              </w:rPr>
              <w:t>日</w:t>
            </w:r>
            <w:r>
              <w:rPr>
                <w:rFonts w:ascii="仿宋_GB2312" w:hAnsi="仿宋_GB2312" w:cs="仿宋_GB2312" w:eastAsia="仿宋_GB2312"/>
                <w:sz w:val="20"/>
              </w:rPr>
              <w:t>。</w:t>
            </w:r>
          </w:p>
          <w:p>
            <w:pPr>
              <w:pStyle w:val="null3"/>
            </w:pPr>
            <w:r>
              <w:rPr>
                <w:rFonts w:ascii="仿宋_GB2312" w:hAnsi="仿宋_GB2312" w:cs="仿宋_GB2312" w:eastAsia="仿宋_GB2312"/>
                <w:sz w:val="20"/>
              </w:rPr>
              <w:t>三、服务要求</w:t>
            </w:r>
          </w:p>
          <w:p>
            <w:pPr>
              <w:pStyle w:val="null3"/>
            </w:pPr>
            <w:r>
              <w:rPr>
                <w:rFonts w:ascii="仿宋_GB2312" w:hAnsi="仿宋_GB2312" w:cs="仿宋_GB2312" w:eastAsia="仿宋_GB2312"/>
                <w:sz w:val="20"/>
                <w:color w:val="000000"/>
              </w:rPr>
              <w:t>在</w:t>
            </w:r>
            <w:r>
              <w:rPr>
                <w:rFonts w:ascii="仿宋_GB2312" w:hAnsi="仿宋_GB2312" w:cs="仿宋_GB2312" w:eastAsia="仿宋_GB2312"/>
                <w:sz w:val="20"/>
                <w:color w:val="000000"/>
              </w:rPr>
              <w:t>汉中</w:t>
            </w:r>
            <w:r>
              <w:rPr>
                <w:rFonts w:ascii="仿宋_GB2312" w:hAnsi="仿宋_GB2312" w:cs="仿宋_GB2312" w:eastAsia="仿宋_GB2312"/>
                <w:sz w:val="20"/>
                <w:color w:val="000000"/>
              </w:rPr>
              <w:t>全域核算自然资源资产生态系统调节服务实物量、价值量和生态价值；验证自然资源资产生态价值核算技术方法，建立本地化核算参数，构建能既与上级部门试点要求相契合，适应</w:t>
            </w:r>
            <w:r>
              <w:rPr>
                <w:rFonts w:ascii="仿宋_GB2312" w:hAnsi="仿宋_GB2312" w:cs="仿宋_GB2312" w:eastAsia="仿宋_GB2312"/>
                <w:sz w:val="20"/>
                <w:color w:val="000000"/>
              </w:rPr>
              <w:t>汉中</w:t>
            </w:r>
            <w:r>
              <w:rPr>
                <w:rFonts w:ascii="仿宋_GB2312" w:hAnsi="仿宋_GB2312" w:cs="仿宋_GB2312" w:eastAsia="仿宋_GB2312"/>
                <w:sz w:val="20"/>
                <w:color w:val="000000"/>
              </w:rPr>
              <w:t>地方特色的自然资源资产生态价值核算模型。完善自然资源资产核算工作框架，开展资产核算成果的应用实践。形成市级试点成果数据库和空间分布图，汇编自然资源资产生态价值核算试点总结报告和成果。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保证本项目顺利实施，供应商应针对本项目需求有合理的人员配置管理计划，选派技术全面、责任心强的相关专业技术人员承担本项目工作。各专业岗位人员不得兼任。要求搭配合理、职能健全，岗位分工明确、职责清晰，配备不少于6人的技术团队。2、合同签订后，供应商须安排专门人员与采购人对接，提交实施方案并经采购人批准后实施；供应商服务团队工作人员须实地开展工作，保证工作的准确性、客观性和科学性。3、在项目实施过程中供应商不得擅自更换项目团队成员，确需更换的，需向采购人提出申请，经采购人同意方可调整，更换后的人员资质及项目经验等不得低于更换之前。4、在项目实施过程中，根据实施情况及采购人指令，成交供应商须及时增配相关岗位人员，以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按照项目需求配备，需保质保量完成本项目所有服务内容。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报价要求：（1）报价是供应商响应采购项目要求的全部工作内容的价格体现，包括完成本项目所涉及人员工资、办公费用、调研费用、交通费用、通讯费用、人员食宿费用、设备投入、税费、代理服务费、成果评审费用、资料收集等完成本项目所涉及的一切费用。供应商只允许有一个报价，并且在合同履行过程中是固定不变的，任何有选择或可调整的报价将不予接受，并按无效处理。供应商应充分考虑本项目合同实施期间可能发生的一切费用，并承担由此而带来的风险。凡供应商在报价中未列明但又为本次采购所必备的项目或遗漏项目，采购人将一律视为已包括在其报价中，在合同执行中将不予考虑。（2）供应商应在充分考虑本项目的实际工作量、技术含量、难易程度、复杂性及市场风险等因素的基础上按采购文件中的报价格式要求填报响应报价。不得超出本项目采购预算和最高限价，否则将按照无效响应处理。 2、知识产权归属和处理方式：（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并且赔偿由此给采购人带来的损失。采购人享有本项目实施过程中产生的知识成果及知识产权。（2）供应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3、保密要求： 供应商须严格按照《中华人民共和国保守国家秘密法》《中华人民共和国保守国家秘密法实施办法》等以及数据建设相关法律法规及管理文件的要求，对项目实施过程及实施过程中获取的所有相关数据、信息、企业资料、研究成果等材料保密，未经采购人书面允许，不得以任意形式传播或泄露相关信息，否则采购人有权单方面终止合同，并且享有追究其法律责任的权利。供应商须建立严格完善的保密制度，加强对项目工作人员的保密管理及保密知识教育。 4、安全要求：本项目自签订政府采购合同之日起至提交全部成果验收合格之日止，成交供应商将负责该项目实施过程相应的防火安全、人身安全、财产安全、环境安全，因本项目实施过程造成的直接或间接损失，其相应责任由成交供应商自行承担。 5、服务标准： 满足采购人需求且符合国家法律法规的相关规定、技术规范及行业标准。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财政部关于进一步加强政府采购需求和履约验收管理的指导意见》（财库〔2016〕205号）、《政府采购需求管理办法》（财库〔2021〕22号）等相关法律法规、技术标准、规范流程、采购文件、响应文件及合同进行验收。验收标准：按采购文件要求、供应商的响应文件及承诺、签订的合同、国家及行业相关规范标准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合同签订后且收到乙方支付申请和相应款额发票后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提交最终成果且收到乙方支付申请和相应款额发票后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 xml:space="preserve">项目验收合格且收到乙方支付申请及相应款额发票后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①采购人及供应商双方必须遵守采购合同并执行合同中的各项规定，保证采购合同的正常履行。任何一方违约给对方造成的直接损失均负有赔偿责任，对方均有权视情况以书面形式要求对方继续履行合同或提出解除合同。② 如因供应商在履行过程中的疏忽、失职、过错等故意或者过失原因给采购人造成损失或侵害，包括但不限于采购人本身的财产损失、由此而导致的采购人对任何第三方的法律责任等，供应商对此均应承担相应的赔偿责任。（2）合同争议的解决：合同履行期间,若双方发生争议，可协商或由有关部门调解解决，协商或调解不成的，由当事人依法向项目所在地有管辖权的人民法院提起诉讼，维护其合法权益。</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项目的变更、解除和终止：（1）如果供应商丧失履约能力、资不抵债或进入破产程序等情形，采购人有权随时以书面形式通知供应商终止本项目执行，且无需给予供应商补偿。该终止行为不损害或影响采购人已采取或将要采取的任何合法行动或补救措施的权利。（2）如遇国家、行业管理部门等机构的有关标准和规定调整的，导致本项目内容须做相应调整时，双方应按照公平、合理的原则共同协商修改本项目对应的合同的相关条款。2、对于采购内容中未尽事宜，供应商应满足现行法律法规、相关规范、要求、标准及合同约定进行服务，并应与采购人及时沟通，确保服务顺利开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身份证明：供应商应具有独立承担民事责任的能力且具备向采购人提供相关服务的企业法人、事业单位法人、民办非企业单位法人、其他组织或者自然人，企业法人应提供统一社会信用代码的营业执照；事业单位法人应提供有效的事业单位法人证书；民办非企业单位法人应提供民办非企业单位（社会服务机构）登记证书；其他组织应提供合法设立登记文件、执业许可证等有效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 和社会保障资金的良好记录，以及参加本项目采购活动前三年内在经营活动中无重大违法活动记录， 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供应商须具备土地规划乙级及以上资质（有效期内）或城乡规划（国土空间规划）编制乙级及以上资质。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按照磋商文件格式要求进行签署盖章，且无遗漏。</w:t>
            </w:r>
          </w:p>
        </w:tc>
        <w:tc>
          <w:tcPr>
            <w:tcW w:type="dxa" w:w="1661"/>
          </w:tcPr>
          <w:p>
            <w:pPr>
              <w:pStyle w:val="null3"/>
            </w:pPr>
            <w:r>
              <w:rPr>
                <w:rFonts w:ascii="仿宋_GB2312" w:hAnsi="仿宋_GB2312" w:cs="仿宋_GB2312" w:eastAsia="仿宋_GB2312"/>
              </w:rPr>
              <w:t>磋商保证金.docx 服务内容及服务邀请应答表 供应商类似项目业绩一览表.docx 中小企业声明函 商务应答表 拟派项目实施服务人员配置情况表.docx 报价表 响应文件封面 残疾人福利性单位声明函 供应商应提交的相关资格证明材料.pdf 拟派项目负责人简历表.docx 标的清单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符合竞争性磋商文件要求，响应文件内容清晰可辨、齐全、无遗漏。</w:t>
            </w:r>
          </w:p>
        </w:tc>
        <w:tc>
          <w:tcPr>
            <w:tcW w:type="dxa" w:w="1661"/>
          </w:tcPr>
          <w:p>
            <w:pPr>
              <w:pStyle w:val="null3"/>
            </w:pPr>
            <w:r>
              <w:rPr>
                <w:rFonts w:ascii="仿宋_GB2312" w:hAnsi="仿宋_GB2312" w:cs="仿宋_GB2312" w:eastAsia="仿宋_GB2312"/>
              </w:rPr>
              <w:t>磋商保证金.docx 服务内容及服务邀请应答表 供应商类似项目业绩一览表.docx 中小企业声明函 商务应答表 拟派项目实施服务人员配置情况表.docx 报价表 响应文件封面 残疾人福利性单位声明函 供应商应提交的相关资格证明材料.pdf 拟派项目负责人简历表.docx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满足磋商文件的要求，提供磋商保证金缴纳凭证或担保机构出具的保函。</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工作计划及流程</w:t>
            </w:r>
          </w:p>
        </w:tc>
        <w:tc>
          <w:tcPr>
            <w:tcW w:type="dxa" w:w="2492"/>
          </w:tcPr>
          <w:p>
            <w:pPr>
              <w:pStyle w:val="null3"/>
            </w:pPr>
            <w:r>
              <w:rPr>
                <w:rFonts w:ascii="仿宋_GB2312" w:hAnsi="仿宋_GB2312" w:cs="仿宋_GB2312" w:eastAsia="仿宋_GB2312"/>
              </w:rPr>
              <w:t>一、评审内容 供应商针对本项目提出的工作计划及流程，内容包含：①周期安排；②周期目标；③工作步骤流程。 二、评审标准 1、完整性：内容全面，对评审内容中的各项要求有详细描述；2、可实施性：切合本项目实际情况，步骤清晰、合理；3、针对性：能够紧扣项目实际情况，内容科学合理。 三、赋分标准（满分9分）：①周期安排：每完全满足一个评审标准得1分，满分3分（每有一子项有缺陷或不完全满足扣1分）；②周期目标：每完全满足一个评审标准得1分，满分3分（每有一子项有缺陷或不完全满足扣1分）；③工作步骤流程：每完全满足一个评审标准得1分，满分3分（每有一子项有缺陷或不完全满足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供应商针对本项目提出的总体方案，内容包含：①项目核心需求理解；②整体工作部署；③具体工作目标；④实施重点与难点分析；⑤参数本地化适配方案。 二、评审标准 1、完整性：内容全面，对评审内容中的各项要求有详细描述；2、可实施性：切合本项目实际情况，步骤清晰、合理；3、针对性：能够紧扣项目实际情况，内容科学合理。 三、赋分标准（满分15分）：①项目核心需求理解：每完全满足一个评审标准得1分，满分3分（每有一子项有缺陷或不完全满足扣1分）；②整体工作部署：每完全满足一个评审标准得1分，满分3分（每有一子项有缺陷或不完全满足扣1分）；③具体工作目标：每完全满足一个评审标准得1分，满分3分（每有一子项有缺陷或不完全满足扣1分）；④实施重点与难点分析：每完全满足一个评审标准得1分，满分3分（每有一子项有缺陷或不完全满足扣1分）；⑤参数本地化适配方案：每完全满足一个评审标准得1分，满分3分（每有一子项有缺陷或不完全满足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实施措施</w:t>
            </w:r>
          </w:p>
        </w:tc>
        <w:tc>
          <w:tcPr>
            <w:tcW w:type="dxa" w:w="2492"/>
          </w:tcPr>
          <w:p>
            <w:pPr>
              <w:pStyle w:val="null3"/>
            </w:pPr>
            <w:r>
              <w:rPr>
                <w:rFonts w:ascii="仿宋_GB2312" w:hAnsi="仿宋_GB2312" w:cs="仿宋_GB2312" w:eastAsia="仿宋_GB2312"/>
              </w:rPr>
              <w:t>一、评审内容 供应商针对本项目提出的实施措施，内容包含：①组织架构设计；②进度 、数据 、沟通管理措施；③具体服务内容落地措施。 二、评审标准 1、完整性：内容全面，对评审内容中的各项要求有详细描述；2、可实施性：切合本项目实际情况，步骤清晰、合理；3、针对性：能够紧扣项目实际情况，内容科学合理。 三、赋分标准（满分9分）：①组织架构设计：每完全满足一个评审标准得1分，满分3分（每有一子项有缺陷或不完全满足扣1分）；②进度 、数据 、沟通管理措施：每完全满足一个评审标准得1分，满分3分（每有一子项有缺陷或不完全满足扣1分）；③具体服务内容落地措施：每完全满足一个评审标准得1分，满分3分（每有一子项有缺陷或不完全满足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供应商针对本项目提出的质量保证措施，内容包含：①质量检查人员配备方案；②数据采集、核算过程质量控制方案；③参数校准质量核验方案；④成果质量最终检查方案；⑤质量风险预案措施。 二、评审标准 1、完整性：内容全面，对评审内容中的各项要求有详细描述；2、可实施性：切合本项目实际情况，步骤清晰、合理；3、针对性：能够紧扣项目实际情况，内容科学合理。 三、赋分标准（满分7.5分）：①质量检查人员配备方案：每完全满足一个评审标准得0.5分，满分1.5分（每有一子项有缺陷或不完全满足扣0.5分）；②数据采集、核算过程质量控制方案：每完全满足一个评审标准得0.5分，满分1.5分（每有一子项有缺陷或不完全满足扣0.5分）；③参数校准质量核验方案：每完全满足一个评审标准得0.5分，满分1.5分（每有一子项有缺陷或不完全满足扣0.5分）；④成果质量最终检查方案：每完全满足一个评审标准得0.5分，满分1.5分（每有一子项有缺陷或不完全满足扣0.5分）；⑤质量风险预案措施：每完全满足一个评审标准得0.5分，满分1.5分（每有一子项有缺陷或不完全满足扣0.5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成果管理方案</w:t>
            </w:r>
          </w:p>
        </w:tc>
        <w:tc>
          <w:tcPr>
            <w:tcW w:type="dxa" w:w="2492"/>
          </w:tcPr>
          <w:p>
            <w:pPr>
              <w:pStyle w:val="null3"/>
            </w:pPr>
            <w:r>
              <w:rPr>
                <w:rFonts w:ascii="仿宋_GB2312" w:hAnsi="仿宋_GB2312" w:cs="仿宋_GB2312" w:eastAsia="仿宋_GB2312"/>
              </w:rPr>
              <w:t>一、评审内容 供应商针对本项目提出的成果管理方案，内容包含：①成果收集与整理；②成果审核与验收；③成果保管；④成果更新与维护；⑤成果共享与应用。 二、评审标准 1、完整性：内容全面，对评审内容中的各项要求有详细描述；2、可实施性：切合本项目实际情况，步骤清晰、合理；3、针对性：能够紧扣项目实际情况，内容科学合理。 三、赋分标准（满分7.5分）：①成果收集与整理：每完全满足一个评审标准得0.5分，满分1.5分（每有一子项有缺陷或不完全满足扣0.5分）；②成果审核与验收：每完全满足一个评审标准得0.5分，满分1.5分（每有一子项有缺陷或不完全满足扣0.5分）；③成果保管：每完全满足一个评审标准得0.5分，满分1.5分（每有一子项有缺陷或不完全满足扣0.5分）；④成果更新与维护：每完全满足一个评审标准得0.5分，满分1.5分（每有一子项有缺陷或不完全满足扣0.5分）；⑤成果共享与应用：每完全满足一个评审标准得0.5分，满分1.5分（每有一子项有缺陷或不完全满足扣0.5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一、评审内容 供应商针对本项目提出的后续服务，内容包含：①服务承诺；②后续服务内容（成果解读、参数指导、操作培训等）；③成果应用支持方案（含资产管理融合、审计应用适配等）；④服务范围；⑤服务响应机制。二、评审标准 1、完整性：内容全面，对评审内容中的各项要求有详细描述；2、可实施性：切合本项目实际情况，步骤清晰、合理；3、针对性：能够紧扣项目实际情况，内容科学合理。 三、赋分标准（满分7.5分）：①服务承诺：每完全满足一个评审标准得0.5分，满分1.5分（每有一子项有缺陷或不完全满足扣0.5分）；②后续服务内容：每完全满足一个评审标准得0.5分，满分1.5分（每有一子项有缺陷或不完全满足扣0.5分）；③成果应用支持方案：每完全满足一个评审标准得0.5分，满分1.5分（每有一子项有缺陷或不完全满足扣0.5分）；④服务范围：每完全满足一个评审标准得0.5分，满分1.5分（每有一子项有缺陷或不完全满足扣0.5分）；⑤服务响应机制：每完全满足一个评审标准得0.5分，满分1.5分（每有一子项有缺陷或不完全满足扣0.5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供应商针对本项目提出的应急措施，内容包含：包括但不限于以下内容：①数据缺失应急方案；②参数校准偏差修正方案；③政策调整适配方案；④实地调查突发情况应对方案。 二、评审标准 1、完整性：内容全面，对评审内容中的各项要求有详细描述；2、可实施性：切合本项目实际情况，步骤清晰、合理；3、针对性：能够紧扣项目实际情况，内容科学合理。 三、赋分标准（满分12分）：①数据缺失应急方案：每完全满足一个评审标准得1分，满分3分（每有一子项有缺陷或不完全满足扣1分）；②参数校准偏差修正方案：每完全满足一个评审标准得1分，满分3分（每有一子项有缺陷或不完全满足扣1分）；③政策调整适配方案：每完全满足一个评审标准得1分，满分3分（每有一子项有缺陷或不完全满足扣1分）；④实地调查突发情况应对方案：每完全满足一个评审标准得1分，满分3分（每有一子项有缺陷或不完全满足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项目管理和组织实施</w:t>
            </w:r>
          </w:p>
        </w:tc>
        <w:tc>
          <w:tcPr>
            <w:tcW w:type="dxa" w:w="2492"/>
          </w:tcPr>
          <w:p>
            <w:pPr>
              <w:pStyle w:val="null3"/>
            </w:pPr>
            <w:r>
              <w:rPr>
                <w:rFonts w:ascii="仿宋_GB2312" w:hAnsi="仿宋_GB2312" w:cs="仿宋_GB2312" w:eastAsia="仿宋_GB2312"/>
              </w:rPr>
              <w:t>一、评审内容 供应商针对本项目提出的，内容包含：①组织管理架构；②岗位制度规范；③内部管理条例（含奖惩制度、设备管理制度、安全管理、沟通协调机制等）；④档案管理制度；⑤保密管理制度。二、评审标准 1、完整性：内容全面，对评审内容中的各项要求有详细描述；2、可实施性：切合本项目实际情况，步骤清晰、合理；3、针对性：能够紧扣项目实际情况，内容科学合理。 三、赋分标准（满分7.5分）：①组织管理架构：每完全满足一个评审标准得0.5分，满分1.5分（每有一子项有缺陷或不完全满足扣0.5分）；②岗位制度规范：每完全满足一个评审标准得0.5分，满分1.5分（每有一子项有缺陷或不完全满足扣0.5分）；③内部管理条例：每完全满足一个评审标准得0.5分，满分1.5分（每有一子项有缺陷或不完全满足扣0.5分）；④档案管理制度：每完全满足一个评审标准得0.5分，满分1.5分（每有一子项有缺陷或不完全满足扣0.5分）；⑤保密管理制度：每完全满足一个评审标准得0.5分，满分1.5分（每有一子项有缺陷或不完全满足扣0.5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高级工程师及以上职称的得2分，中级职称的得1分。注：须提供身份证、学历证书、职称证书扫描件或复印件并加盖单位公章及响应文件递交截止日前6个月内任意一个月的社保缴纳证明材料（社保缴纳单位须与供应商单位名称一致），材料提供不全或未提供不得分。 2、项目负责人承担过县级及以上自然资源资产清查、价值评估、生态环境调查、生态修复等类似项目，1项业绩得1分，最高得2分。 注：须提供相关业绩证明材料复印件并加盖单位公章，未提供不得分。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拟派项目负责人简历表.docx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团队人员（除项目负责人外）具有自然资源相关专业（包括土地管理、土地规划、城乡规划、农业、地理信息系统、地质、生态环境等专业）中级及以上技术职称的，每有1人得1分，本项最高得6分。同一人具有多个证书不可累计，只作1名计。注：须提供身份证、学历证书、职称证书扫描件或复印件并加盖单位公章及响应文件递交截止日前6个月内任意一个月的社保缴纳证明材料（社保缴纳单位须与供应商单位名称一致），材料提供不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拟派项目实施服务人员配置情况表.docx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提供自2021年5月1日以来（以合同签订时间为准）承担过县级及以上自然资源资产清查、价值评估、生态环境调查、生态修复等类似项目业绩，每提供1个得2.5分，满分5分。 注：须提供合同扫描件并加盖单位公章。不提供不得分。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详见附件：拟派项目负责人简历表.docx</w:t>
      </w:r>
    </w:p>
    <w:p>
      <w:pPr>
        <w:pStyle w:val="null3"/>
        <w:ind w:firstLine="960"/>
      </w:pPr>
      <w:r>
        <w:rPr>
          <w:rFonts w:ascii="仿宋_GB2312" w:hAnsi="仿宋_GB2312" w:cs="仿宋_GB2312" w:eastAsia="仿宋_GB2312"/>
        </w:rPr>
        <w:t>详见附件：拟派项目实施服务人员配置情况表.docx</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