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版本号：JYXZB2026-012.1B120260818001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血液核酸检测试剂(二次)</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JYXZB2026-012.1B1</w:t>
      </w:r>
      <w:r>
        <w:br/>
      </w:r>
      <w:r>
        <w:br/>
      </w:r>
      <w:r>
        <w:br/>
      </w:r>
      <w:r>
        <w:br/>
      </w:r>
      <w:r>
        <w:br/>
      </w:r>
    </w:p>
    <w:p>
      <w:pPr>
        <w:pStyle w:val="null3"/>
        <w:jc w:val="center"/>
        <w:outlineLvl w:val="5"/>
      </w:pPr>
      <w:r>
        <w:rPr>
          <w:rFonts w:ascii="仿宋_GB2312" w:hAnsi="仿宋_GB2312" w:cs="仿宋_GB2312" w:eastAsia="仿宋_GB2312"/>
          <w:sz w:val="15"/>
          <w:b/>
        </w:rPr>
        <w:t>铜川市中心血站</w:t>
      </w:r>
    </w:p>
    <w:p>
      <w:pPr>
        <w:pStyle w:val="null3"/>
        <w:jc w:val="center"/>
        <w:outlineLvl w:val="5"/>
      </w:pPr>
      <w:r>
        <w:rPr>
          <w:rFonts w:ascii="仿宋_GB2312" w:hAnsi="仿宋_GB2312" w:cs="仿宋_GB2312" w:eastAsia="仿宋_GB2312"/>
          <w:sz w:val="15"/>
          <w:b/>
        </w:rPr>
        <w:t>陕西嘉昱昕项目管理有限公司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陕西嘉昱昕项目管理有限公司</w:t>
      </w:r>
      <w:r>
        <w:rPr>
          <w:rFonts w:ascii="仿宋_GB2312" w:hAnsi="仿宋_GB2312" w:cs="仿宋_GB2312" w:eastAsia="仿宋_GB2312"/>
        </w:rPr>
        <w:t>（以下简称“代理机构”）受</w:t>
      </w:r>
      <w:r>
        <w:rPr>
          <w:rFonts w:ascii="仿宋_GB2312" w:hAnsi="仿宋_GB2312" w:cs="仿宋_GB2312" w:eastAsia="仿宋_GB2312"/>
        </w:rPr>
        <w:t>铜川市中心血站</w:t>
      </w:r>
      <w:r>
        <w:rPr>
          <w:rFonts w:ascii="仿宋_GB2312" w:hAnsi="仿宋_GB2312" w:cs="仿宋_GB2312" w:eastAsia="仿宋_GB2312"/>
        </w:rPr>
        <w:t>委托，拟对</w:t>
      </w:r>
      <w:r>
        <w:rPr>
          <w:rFonts w:ascii="仿宋_GB2312" w:hAnsi="仿宋_GB2312" w:cs="仿宋_GB2312" w:eastAsia="仿宋_GB2312"/>
        </w:rPr>
        <w:t>血液核酸检测试剂(二次)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JYXZB2026-012.1B1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血液核酸检测试剂(二次)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采购一批检测人类血液中“乙型肝炎病毒、丙型肝炎病毒、人类免疫缺陷病毒”的检测试剂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采购包1（血液核酸检测试剂）：属于专门面向中小企业采购。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1、营业执照：供应商必须是具有独立承担民事责任能力的法人、其他组织或自然人，并出具合法有效的营业执照或事业单位法人证书等国家规定的相关证明，自然人参与的提供其身份证明；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或法定代表人身份证明书：法定代表人授权委托书（被授权人参加投标的，需提供法定代表人授权委托书和法定代表人身份证复印件及被授权人身份证复印件；法定代表人直接参加投标的只须提供法定代表人身份证明和法定代表人身份证复印件）；</w:t>
      </w:r>
    </w:p>
    <w:p>
      <w:pPr>
        <w:pStyle w:val="null3"/>
      </w:pPr>
      <w:r>
        <w:rPr>
          <w:rFonts w:ascii="仿宋_GB2312" w:hAnsi="仿宋_GB2312" w:cs="仿宋_GB2312" w:eastAsia="仿宋_GB2312"/>
        </w:rPr>
        <w:t>3、供应商信用要求：供应商未被列入“信用中国”网站（www.creditchina.gov.cn）中失信被执行人及重大税收违法失信主体，未被列入中国政府采购网（www.ccgp.gov.cn）政府采购严重违法失信行为记录名单；</w:t>
      </w:r>
    </w:p>
    <w:p>
      <w:pPr>
        <w:pStyle w:val="null3"/>
      </w:pPr>
      <w:r>
        <w:rPr>
          <w:rFonts w:ascii="仿宋_GB2312" w:hAnsi="仿宋_GB2312" w:cs="仿宋_GB2312" w:eastAsia="仿宋_GB2312"/>
        </w:rPr>
        <w:t>4、财务状况：提供经审计的2024年度或2025年度的财务报告（至少包括资产负债表和利润表）(根据《陕西省财政厅关于启用会计师事务所审计报告“二维码”赋码查验功能的通知(陕财办会函(2022)55号)》，经审计的财务会计报告需赋加“注册会计师行业统一监管平台”二维码)，成立时间至提交响应文件截止时间不足一年的可提供成立后任意时段的资产负债表，或提交响应文件截止时间前六个月内其基本账户开户银行出具的资信证明(针对其他组织和自然人可提供银行出具的资信证明或财务报表);</w:t>
      </w:r>
    </w:p>
    <w:p>
      <w:pPr>
        <w:pStyle w:val="null3"/>
      </w:pPr>
      <w:r>
        <w:rPr>
          <w:rFonts w:ascii="仿宋_GB2312" w:hAnsi="仿宋_GB2312" w:cs="仿宋_GB2312" w:eastAsia="仿宋_GB2312"/>
        </w:rPr>
        <w:t>5、社保缴纳证明：提供2025年1月至今任意一个月已缴存的社会保障资金缴存单据或社保机构开具的社会保险参保缴费情况证明或提供其它相关证明资料，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税收缴纳证明：提供2025年1月至今任意一个月的纳税证明或税务机关开具的完税证明，纳税证明或完税证明上应有代收机构或税务机关的公章或业务专用章。依法免税或无须缴纳税收的供应商应提供相关文件证明；</w:t>
      </w:r>
    </w:p>
    <w:p>
      <w:pPr>
        <w:pStyle w:val="null3"/>
      </w:pPr>
      <w:r>
        <w:rPr>
          <w:rFonts w:ascii="仿宋_GB2312" w:hAnsi="仿宋_GB2312" w:cs="仿宋_GB2312" w:eastAsia="仿宋_GB2312"/>
        </w:rPr>
        <w:t>7、许可证：所投产品属于药品的，生产厂商须提供《药品生产许可证》，代理商须提供《药品经营许可证》，纳入药品管理的提供《注册证》或《再注册批件》;</w:t>
      </w:r>
    </w:p>
    <w:p>
      <w:pPr>
        <w:pStyle w:val="null3"/>
      </w:pPr>
      <w:r>
        <w:rPr>
          <w:rFonts w:ascii="仿宋_GB2312" w:hAnsi="仿宋_GB2312" w:cs="仿宋_GB2312" w:eastAsia="仿宋_GB2312"/>
        </w:rPr>
        <w:t>8、承诺书：提供具有履行合同所必需的设备和专业技术能力和参加本次政府采购活动前三年内在经营活动中没有重大违法记录的承诺书；</w:t>
      </w:r>
    </w:p>
    <w:p>
      <w:pPr>
        <w:pStyle w:val="null3"/>
      </w:pPr>
      <w:r>
        <w:rPr>
          <w:rFonts w:ascii="仿宋_GB2312" w:hAnsi="仿宋_GB2312" w:cs="仿宋_GB2312" w:eastAsia="仿宋_GB2312"/>
        </w:rPr>
        <w:t>9、中小企业声明函：投标人应填写中小企业声明函并对真实性负责，残疾人福利性单位及监狱企业视同为小型、微型企业。</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铜川市王益区大同路9号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铜川市中心血站经办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13992921631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陕西嘉昱昕项目管理有限公司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陕西省西安市未央区陕西省西安市浐灞生态区欧亚大道西段666号欧亚国际1期B座705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范凯琳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18092596023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采购包1：521,700.00元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采购包1：521,700.00元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代理服务费收费标准：以中标金额为基数，按照国家计委计价格[2002]1980号及发改办价格[2003]857号通知规定收取，由成交供应商在领取成交通知书时支付招标代理服务费。 收款单位：陕西嘉昱昕项目管理有限公司 代理服务费收取账号：611301136013001288145 开户行名称：交通银行股份有限公司西安南二环支行 本项目属性：货物招标</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铜川市中心血站</w:t>
      </w:r>
      <w:r>
        <w:rPr>
          <w:rFonts w:ascii="仿宋_GB2312" w:hAnsi="仿宋_GB2312" w:cs="仿宋_GB2312" w:eastAsia="仿宋_GB2312"/>
        </w:rPr>
        <w:t>和</w:t>
      </w:r>
      <w:r>
        <w:rPr>
          <w:rFonts w:ascii="仿宋_GB2312" w:hAnsi="仿宋_GB2312" w:cs="仿宋_GB2312" w:eastAsia="仿宋_GB2312"/>
        </w:rPr>
        <w:t>陕西嘉昱昕项目管理有限公司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陕西嘉昱昕项目管理有限公司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铜川市中心血站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陕西嘉昱昕项目管理有限公司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根据单一来源文件、响应文件及合同约定执行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陕西嘉昱昕项目管理有限公司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陕西嘉昱昕项目管理有限公司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陕西嘉昱昕项目管理有限公司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联系人：范凯琳</w:t>
      </w:r>
    </w:p>
    <w:p>
      <w:pPr>
        <w:pStyle w:val="null3"/>
      </w:pPr>
      <w:r>
        <w:rPr>
          <w:rFonts w:ascii="仿宋_GB2312" w:hAnsi="仿宋_GB2312" w:cs="仿宋_GB2312" w:eastAsia="仿宋_GB2312"/>
        </w:rPr>
        <w:t>联系电话：18092596023</w:t>
      </w:r>
    </w:p>
    <w:p>
      <w:pPr>
        <w:pStyle w:val="null3"/>
      </w:pPr>
      <w:r>
        <w:rPr>
          <w:rFonts w:ascii="仿宋_GB2312" w:hAnsi="仿宋_GB2312" w:cs="仿宋_GB2312" w:eastAsia="仿宋_GB2312"/>
        </w:rPr>
        <w:t>地址：西安市未央区欧亚大道欧亚国际B座705室</w:t>
      </w:r>
    </w:p>
    <w:p>
      <w:pPr>
        <w:pStyle w:val="null3"/>
      </w:pPr>
      <w:r>
        <w:rPr>
          <w:rFonts w:ascii="仿宋_GB2312" w:hAnsi="仿宋_GB2312" w:cs="仿宋_GB2312" w:eastAsia="仿宋_GB2312"/>
        </w:rPr>
        <w:t>邮编：717000</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采购一批检测人类血液中“乙型肝炎病毒、丙型肝炎病毒、人类免疫缺陷病毒”的检测试剂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521,700.00</w:t>
      </w:r>
    </w:p>
    <w:p>
      <w:pPr>
        <w:pStyle w:val="null3"/>
      </w:pPr>
      <w:r>
        <w:rPr>
          <w:rFonts w:ascii="仿宋_GB2312" w:hAnsi="仿宋_GB2312" w:cs="仿宋_GB2312" w:eastAsia="仿宋_GB2312"/>
        </w:rPr>
        <w:t>采购包最高限价（元）: 521,700.00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血液核酸检测试剂</w:t>
            </w:r>
          </w:p>
        </w:tc>
        <w:tc>
          <w:tcPr>
            <w:tcW w:type="dxa" w:w="755"/>
          </w:tcPr>
          <w:p>
            <w:pPr>
              <w:pStyle w:val="null3"/>
              <w:jc w:val="right"/>
            </w:pPr>
            <w:r>
              <w:rPr>
                <w:rFonts w:ascii="仿宋_GB2312" w:hAnsi="仿宋_GB2312" w:cs="仿宋_GB2312" w:eastAsia="仿宋_GB2312"/>
              </w:rPr>
              <w:t>7,500.00</w:t>
            </w:r>
          </w:p>
        </w:tc>
        <w:tc>
          <w:tcPr>
            <w:tcW w:type="dxa" w:w="755"/>
          </w:tcPr>
          <w:p>
            <w:pPr>
              <w:pStyle w:val="null3"/>
              <w:jc w:val="right"/>
            </w:pPr>
            <w:r>
              <w:rPr>
                <w:rFonts w:ascii="仿宋_GB2312" w:hAnsi="仿宋_GB2312" w:cs="仿宋_GB2312" w:eastAsia="仿宋_GB2312"/>
              </w:rPr>
              <w:t>521,700.00</w:t>
            </w:r>
          </w:p>
        </w:tc>
        <w:tc>
          <w:tcPr>
            <w:tcW w:type="dxa" w:w="755"/>
          </w:tcPr>
          <w:p>
            <w:pPr>
              <w:pStyle w:val="null3"/>
            </w:pPr>
            <w:r>
              <w:rPr>
                <w:rFonts w:ascii="仿宋_GB2312" w:hAnsi="仿宋_GB2312" w:cs="仿宋_GB2312" w:eastAsia="仿宋_GB2312"/>
              </w:rPr>
              <w:t>人份</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标的名称：血液核酸检测试剂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一、产品基本要求：</w:t>
            </w:r>
          </w:p>
          <w:p>
            <w:pPr>
              <w:pStyle w:val="null3"/>
              <w:jc w:val="both"/>
            </w:pPr>
            <w:r>
              <w:rPr>
                <w:rFonts w:ascii="仿宋_GB2312" w:hAnsi="仿宋_GB2312" w:cs="仿宋_GB2312" w:eastAsia="仿宋_GB2312"/>
                <w:sz w:val="21"/>
              </w:rPr>
              <w:t>1.检测人类血液中“乙型肝炎病毒、丙型肝炎病毒、人类免疫缺陷病毒”；</w:t>
            </w:r>
          </w:p>
          <w:p>
            <w:pPr>
              <w:pStyle w:val="null3"/>
              <w:jc w:val="both"/>
            </w:pPr>
            <w:r>
              <w:rPr>
                <w:rFonts w:ascii="仿宋_GB2312" w:hAnsi="仿宋_GB2312" w:cs="仿宋_GB2312" w:eastAsia="仿宋_GB2312"/>
                <w:sz w:val="21"/>
              </w:rPr>
              <w:t>2.每人份的价格为检测上述三种病毒的总价格；投标人应免费提供核酸检测过程中需要的所有配套试剂和耗材，包括离心管、反应管、加样枪头、带滤芯的枪头以及阴阳性对照、内标、内部质控品。含标准品、配套耗材。</w:t>
            </w:r>
          </w:p>
          <w:p>
            <w:pPr>
              <w:pStyle w:val="null3"/>
              <w:jc w:val="both"/>
            </w:pPr>
            <w:r>
              <w:rPr>
                <w:rFonts w:ascii="仿宋_GB2312" w:hAnsi="仿宋_GB2312" w:cs="仿宋_GB2312" w:eastAsia="仿宋_GB2312"/>
                <w:sz w:val="21"/>
              </w:rPr>
              <w:t>二、技术要求：</w:t>
            </w:r>
          </w:p>
          <w:p>
            <w:pPr>
              <w:pStyle w:val="null3"/>
              <w:jc w:val="both"/>
            </w:pPr>
            <w:r>
              <w:rPr>
                <w:rFonts w:ascii="仿宋_GB2312" w:hAnsi="仿宋_GB2312" w:cs="仿宋_GB2312" w:eastAsia="仿宋_GB2312"/>
                <w:sz w:val="21"/>
              </w:rPr>
              <w:t>1、检测项目：能支持进行乙型肝炎病毒（HBV DNA）、丙型肝炎病毒（HCV RNA）、人类免疫缺陷病毒（HIVRNA）含 HIV-1 型和 HIV-2 型检测；</w:t>
            </w:r>
          </w:p>
          <w:p>
            <w:pPr>
              <w:pStyle w:val="null3"/>
              <w:jc w:val="both"/>
            </w:pPr>
            <w:r>
              <w:rPr>
                <w:rFonts w:ascii="仿宋_GB2312" w:hAnsi="仿宋_GB2312" w:cs="仿宋_GB2312" w:eastAsia="仿宋_GB2312"/>
                <w:sz w:val="21"/>
              </w:rPr>
              <w:t>2、检测灵敏度（检测下限）(95%置信区间)：单人份检测：HBV DNA≤4.2IU/ml，HCV RNA≤12.5IU/ml，HIV RNA ≤42.3IU/ml（以国家食品药品监督管理局批准的说明书中国家标准品为准）；</w:t>
            </w:r>
          </w:p>
          <w:p>
            <w:pPr>
              <w:pStyle w:val="null3"/>
              <w:jc w:val="both"/>
            </w:pPr>
            <w:r>
              <w:rPr>
                <w:rFonts w:ascii="仿宋_GB2312" w:hAnsi="仿宋_GB2312" w:cs="仿宋_GB2312" w:eastAsia="仿宋_GB2312"/>
                <w:sz w:val="21"/>
              </w:rPr>
              <w:t>3、试剂检测原理：实时荧光聚合酶链反应；</w:t>
            </w:r>
          </w:p>
          <w:p>
            <w:pPr>
              <w:pStyle w:val="null3"/>
              <w:jc w:val="both"/>
            </w:pPr>
            <w:r>
              <w:rPr>
                <w:rFonts w:ascii="仿宋_GB2312" w:hAnsi="仿宋_GB2312" w:cs="仿宋_GB2312" w:eastAsia="仿宋_GB2312"/>
                <w:sz w:val="21"/>
              </w:rPr>
              <w:t>4、试剂盒特异性：试剂盒检测腺病毒、巨细胞病毒、EB病毒、带状疱疹病毒、白血病病毒、流感病毒、甲型肝炎病毒、戊型肝炎病毒等，均为非反应性结果（以试剂盒说明书为准）；</w:t>
            </w:r>
          </w:p>
          <w:p>
            <w:pPr>
              <w:pStyle w:val="null3"/>
              <w:jc w:val="both"/>
            </w:pPr>
            <w:r>
              <w:rPr>
                <w:rFonts w:ascii="仿宋_GB2312" w:hAnsi="仿宋_GB2312" w:cs="仿宋_GB2312" w:eastAsia="仿宋_GB2312"/>
                <w:sz w:val="21"/>
              </w:rPr>
              <w:t>5、检测病毒基因亚型覆盖：HBV DNA A-H，HCV RNA 1-6, HIV-1 型和 HIV-2 型；</w:t>
            </w:r>
          </w:p>
          <w:p>
            <w:pPr>
              <w:pStyle w:val="null3"/>
              <w:jc w:val="both"/>
            </w:pPr>
            <w:r>
              <w:rPr>
                <w:rFonts w:ascii="仿宋_GB2312" w:hAnsi="仿宋_GB2312" w:cs="仿宋_GB2312" w:eastAsia="仿宋_GB2312"/>
                <w:sz w:val="21"/>
              </w:rPr>
              <w:t>6、适用检测样本种类：EDTA、ACD、CPD、CPDA 抗凝血浆标本；血清（以试剂盒说明书为准）；</w:t>
            </w:r>
          </w:p>
          <w:p>
            <w:pPr>
              <w:pStyle w:val="null3"/>
              <w:jc w:val="both"/>
            </w:pPr>
            <w:r>
              <w:rPr>
                <w:rFonts w:ascii="仿宋_GB2312" w:hAnsi="仿宋_GB2312" w:cs="仿宋_GB2312" w:eastAsia="仿宋_GB2312"/>
                <w:sz w:val="21"/>
              </w:rPr>
              <w:t>7、检测系统能够在同一反应管内进行乙肝病毒 DNA、丙肝病毒 RNA，人免疫缺陷病毒 RNA 三项联合检测；</w:t>
            </w:r>
          </w:p>
          <w:p>
            <w:pPr>
              <w:pStyle w:val="null3"/>
              <w:jc w:val="both"/>
            </w:pPr>
            <w:r>
              <w:rPr>
                <w:rFonts w:ascii="仿宋_GB2312" w:hAnsi="仿宋_GB2312" w:cs="仿宋_GB2312" w:eastAsia="仿宋_GB2312"/>
                <w:sz w:val="21"/>
              </w:rPr>
              <w:t>8、检测模式为单人份检测，检测后即可知道阳性感染种类，无须另行分项鉴别；</w:t>
            </w:r>
          </w:p>
          <w:p>
            <w:pPr>
              <w:pStyle w:val="null3"/>
              <w:jc w:val="both"/>
            </w:pPr>
            <w:r>
              <w:rPr>
                <w:rFonts w:ascii="仿宋_GB2312" w:hAnsi="仿宋_GB2312" w:cs="仿宋_GB2312" w:eastAsia="仿宋_GB2312"/>
                <w:sz w:val="21"/>
              </w:rPr>
              <w:t>9、核酸检测试剂盒包含单管 DNA/RNA 双内对照（Internal Control）系统，能够监控核酸提取、扩增和检测全过程；</w:t>
            </w:r>
          </w:p>
          <w:p>
            <w:pPr>
              <w:pStyle w:val="null3"/>
              <w:jc w:val="both"/>
            </w:pPr>
            <w:r>
              <w:rPr>
                <w:rFonts w:ascii="仿宋_GB2312" w:hAnsi="仿宋_GB2312" w:cs="仿宋_GB2312" w:eastAsia="仿宋_GB2312"/>
                <w:sz w:val="21"/>
              </w:rPr>
              <w:t>10、所投试剂盒匹配血站现有血液核酸检测系统（BACME）。</w:t>
            </w:r>
          </w:p>
          <w:p>
            <w:pPr>
              <w:pStyle w:val="null3"/>
              <w:jc w:val="both"/>
            </w:pPr>
            <w:r>
              <w:rPr>
                <w:rFonts w:ascii="仿宋_GB2312" w:hAnsi="仿宋_GB2312" w:cs="仿宋_GB2312" w:eastAsia="仿宋_GB2312"/>
                <w:sz w:val="21"/>
              </w:rPr>
              <w:t>三、规格型号及数量</w:t>
            </w:r>
          </w:p>
          <w:p>
            <w:pPr>
              <w:pStyle w:val="null3"/>
              <w:jc w:val="both"/>
            </w:pPr>
            <w:r>
              <w:rPr>
                <w:rFonts w:ascii="仿宋_GB2312" w:hAnsi="仿宋_GB2312" w:cs="仿宋_GB2312" w:eastAsia="仿宋_GB2312"/>
                <w:sz w:val="21"/>
              </w:rPr>
              <w:t>1、规格型号：48测试/套（单人份检测模式为120测试/套）；</w:t>
            </w:r>
          </w:p>
          <w:p>
            <w:pPr>
              <w:pStyle w:val="null3"/>
              <w:jc w:val="both"/>
            </w:pPr>
            <w:r>
              <w:rPr>
                <w:rFonts w:ascii="仿宋_GB2312" w:hAnsi="仿宋_GB2312" w:cs="仿宋_GB2312" w:eastAsia="仿宋_GB2312"/>
                <w:sz w:val="21"/>
              </w:rPr>
              <w:t>2、数量：7500人份；</w:t>
            </w:r>
          </w:p>
          <w:p>
            <w:pPr>
              <w:pStyle w:val="null3"/>
              <w:jc w:val="both"/>
            </w:pPr>
            <w:r>
              <w:rPr>
                <w:rFonts w:ascii="仿宋_GB2312" w:hAnsi="仿宋_GB2312" w:cs="仿宋_GB2312" w:eastAsia="仿宋_GB2312"/>
                <w:sz w:val="21"/>
              </w:rPr>
              <w:t>3、每10套试剂，配制2套试剂瓶。</w:t>
            </w:r>
          </w:p>
          <w:p>
            <w:pPr>
              <w:pStyle w:val="null3"/>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合同签订后7个日历天内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物运送到甲方指定地点，经甲方验收符合要求后，一次性支付合同总价款；甲方支付合同总价款前，乙方应提供相应等额有效的增值税专用发票，否则甲方有权拒绝付款并视为违约，达到付款条件起15个工作日内，支付合同总金额的100.0%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①乙方负责装卸、货物运输、摆放、安装至指定地点，并可正常使用；②制造厂的检验、测试报告、设备检验合格证书，质量保证书等文件验收时须一并提供； ③技术说明书及必须的其他技术资料； ④使用说明书； ④产品安装，调试； ⑤零部件目录； ⑥备品备件、易损件、耗材（价格）清单。 ⑦设备到场时，外箱包装无损，随产品必须附该产品的检验合格证、检验报告等资料，如无相关资料甲方可拒绝接收。如合同设备外箱包装受损或发现合同设备包装箱件数不符，应在 2个工作日内通知乙方，以便乙方办理合同设备遇险索赔手续。</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自验收合格之日起免费质保一年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2、成交供应商在领取成交通知书时向采购代理机构提交2份完整的纸质版投标响应文件，纸质版投标响应文件需和陕西省政府采购平台电子投标响应文件内容保持一致。 3、需落实的政府采购政策： （1）《关于进一步加大政府采购支持中小企业力度的通知》（财库〔2022〕19号）、《政府采购促进中小企业发展管理办法》（财库〔2020〕46号）、《关于政府采购支持监狱企业发展有关问题的通知》（财库〔2014〕68号）、《关于促进残疾人就业政府采购政策的通知》（财库〔2017〕141号）； （2）财政部、国家发展改革委《关于印发〈节能产品政府采购实施意见〉的通知》（财库〔2004〕185号）、财政部、国家环保总局联合印发《关于环境标志产品政府采购实施的意见》（财库〔2006〕90号）、国务院办公厅《关于建立政府强制采购节能产品制度的通知》（国办发〔2007〕51号）、财政部、国家发改委、生态环境部等部门联合印发《关于调整优化节能产品、环境标志产品政府采购执行机制的通知》（财库〔2019〕9号）、《关于印发环境标志产品政府采购品目清单的通知》（财库〔2019〕18号）、《关于印发节能产品政府采购品目清单的通知》（财库〔2019〕19号）； （3）《财政部 农业农村部 国家乡村振兴局关于运用政府采购政策支持乡村产业振兴的通知》（财库〔2021〕19 号）、《财政部 农业农村部 国家乡村振兴局 中华全国供销合作总社关于印发&lt;关于深入开展政府采购脱贫地区农副产品工作推进乡村产业振兴的实施意见&gt;的通知》（财库〔2021〕20 号； （4 ）《财政部 农业农村部 国家乡村振兴局关于运用政府采购政策支持乡村产业振兴的通知》（财库〔2021〕19 号）、《财政部 农业农村部 国家乡村振兴局 中华全国供销合作总社关于印发&lt;关于深入开展政府采购脱贫地区农副产品工作推进乡村产业振兴的实施意见&gt;的通知》（财库〔2021〕20 号）； （5）《关于推动解决政府采购异常低价问题的通知》（财库〔2026〕2号）； （6）《国务院办公厅关于在政府采购中实施本国产品标准及相关政策的通知》（国办发〔2025〕34号）； （7） 《陕西省财政厅关于加快推进我省中小企业政府采购信用融资工作的通知》（陕财办采〔2020〕15 号）、陕西省财政厅关于印发《陕西省中小企业政府采购信用融资办法》（陕财办采〔2018〕23 号）、《陕西省财政厅关于进一步推进政府采购信用融资工作的通知》陕财办采函〔2025〕18 号、 （8）《关于扩大政府采购支持绿色建材促进建筑品质提升政策实施范围的通知》（财库〔2022〕35号）、《财政部办公厅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 （9）《国家互联网信息办公室 工业和信息化部 公安部 财政部 国家认证认可监督管理委员会关于调整网络安全专用产品安全管理有关事项的公告》（2023年第1号）； （10）《陕西省人民政府办公厅关于印发进一步加强商品过度包装治理若干措施的通知》陕政办发〔2023〕5号 （11）若享受以上政策优惠的企业，提供相应声明函或品目清单范围内产品的有效认证证书。 （12）如有最新颁布的政府采购政策，按最新的文件执行。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关于符合本国产品标准的声明函.docx 中小企业声明函 商务应答表 供应商应提交的相关资格证明材料 承诺书.docx 报价表 响应文件封面 产品技术参数表 法定代表人身份证明书.docx 残疾人福利性单位声明函 标的清单 供应商认为有必要提交的其他内容.docx 响应函 法定代表人授权委托书.docx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供应商必须是具有独立承担民事责任能力的法人、其他组织或自然人，并出具合法有效的营业执照或事业单位法人证书等国家规定的相关证明，自然人参与的提供其身份证明；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法定代表人授权委托书或法定代表人身份证明书</w:t>
            </w:r>
          </w:p>
        </w:tc>
        <w:tc>
          <w:tcPr>
            <w:tcW w:type="dxa" w:w="3322"/>
          </w:tcPr>
          <w:p>
            <w:pPr>
              <w:pStyle w:val="null3"/>
            </w:pPr>
            <w:r>
              <w:rPr>
                <w:rFonts w:ascii="仿宋_GB2312" w:hAnsi="仿宋_GB2312" w:cs="仿宋_GB2312" w:eastAsia="仿宋_GB2312"/>
              </w:rPr>
              <w:t>法定代表人授权委托书（被授权人参加投标的，需提供法定代表人授权委托书和法定代表人身份证复印件及被授权人身份证复印件；法定代表人直接参加投标的只须提供法定代表人身份证明和法定代表人身份证复印件）；</w:t>
            </w:r>
          </w:p>
        </w:tc>
        <w:tc>
          <w:tcPr>
            <w:tcW w:type="dxa" w:w="1661"/>
          </w:tcPr>
          <w:p>
            <w:pPr>
              <w:pStyle w:val="null3"/>
            </w:pPr>
            <w:r>
              <w:rPr>
                <w:rFonts w:ascii="仿宋_GB2312" w:hAnsi="仿宋_GB2312" w:cs="仿宋_GB2312" w:eastAsia="仿宋_GB2312"/>
              </w:rPr>
              <w:t>法定代表人身份证明书.docx 供应商应提交的相关资格证明材料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供应商信用要求</w:t>
            </w:r>
          </w:p>
        </w:tc>
        <w:tc>
          <w:tcPr>
            <w:tcW w:type="dxa" w:w="3322"/>
          </w:tcPr>
          <w:p>
            <w:pPr>
              <w:pStyle w:val="null3"/>
            </w:pPr>
            <w:r>
              <w:rPr>
                <w:rFonts w:ascii="仿宋_GB2312" w:hAnsi="仿宋_GB2312" w:cs="仿宋_GB2312" w:eastAsia="仿宋_GB2312"/>
              </w:rPr>
              <w:t>供应商未被列入“信用中国”网站（www.creditchina.gov.cn）中失信被执行人及重大税收违法失信主体，未被列入中国政府采购网（www.ccgp.gov.cn）政府采购严重违法失信行为记录名单；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 供应商认为有必要提交的其他内容.docx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经审计的2024年度或2025年度的财务报告（至少包括资产负债表和利润表）(根据《陕西省财政厅关于启用会计师事务所审计报告“二维码”赋码查验功能的通知(陕财办会函(2022)55号)》，经审计的财务会计报告需赋加“注册会计师行业统一监管平台”二维码)，成立时间至提交响应文件截止时间不足一年的可提供成立后任意时段的资产负债表，或提交响应文件截止时间前六个月内其基本账户开户银行出具的资信证明(针对其他组织和自然人可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月至今任意一个月已缴存的社会保障资金缴存单据或社保机构开具的社会保险参保缴费情况证明或提供其它相关证明资料，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提供2025年1月至今任意一个月的纳税证明或税务机关开具的完税证明，纳税证明或完税证明上应有代收机构或税务机关的公章或业务专用章。依法免税或无须缴纳税收的供应商应提供相关文件证明；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所投产品属于药品的，生产厂商须提供《药品生产许可证》，代理商须提供《药品经营许可证》，纳入药品管理的提供《注册证》或《再注册批件》;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提供具有履行合同所必需的设备和专业技术能力和参加本次政府采购活动前三年内在经营活动中没有重大违法记录的承诺书；</w:t>
            </w:r>
          </w:p>
        </w:tc>
        <w:tc>
          <w:tcPr>
            <w:tcW w:type="dxa" w:w="1661"/>
          </w:tcPr>
          <w:p>
            <w:pPr>
              <w:pStyle w:val="null3"/>
            </w:pPr>
            <w:r>
              <w:rPr>
                <w:rFonts w:ascii="仿宋_GB2312" w:hAnsi="仿宋_GB2312" w:cs="仿宋_GB2312" w:eastAsia="仿宋_GB2312"/>
              </w:rPr>
              <w:t>供应商应提交的相关资格证明材料 承诺书.docx 供应商认为有必要提交的其他内容.docx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投标人应填写中小企业声明函并对真实性负责，残疾人福利性单位及监狱企业视同为小型、微型企业。</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关于符合本国产品标准的声明函.docx 中小企业声明函 商务应答表 供应商应提交的相关资格证明材料 承诺书.docx 报价表 响应文件封面 产品技术参数表 法定代表人身份证明书.docx 残疾人福利性单位声明函 标的清单 供应商认为有必要提交的其他内容.docx 响应函 法定代表人授权委托书.docx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关于符合本国产品标准的声明函.docx 中小企业声明函 商务应答表 供应商应提交的相关资格证明材料 承诺书.docx 报价表 响应文件封面 产品技术参数表 法定代表人身份证明书.docx 残疾人福利性单位声明函 标的清单 供应商认为有必要提交的其他内容.docx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关于符合本国产品标准的声明函.docx 中小企业声明函 商务应答表 供应商应提交的相关资格证明材料 承诺书.docx 报价表 响应文件封面 产品技术参数表 法定代表人身份证明书.docx 残疾人福利性单位声明函 标的清单 供应商认为有必要提交的其他内容.docx 响应函 法定代表人授权委托书.docx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响应文件无响应有效期或有效期达不到单一来源文件要求的，为不合格；响应文件有效期达到单一来源文件要求的，为合格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响应文件的供货期不满足单一来源文件要求，为不合格；响应文件的供货期满足单一来源文件要求，为合格</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详见附件：供应商认为有必要提交的其他内容.docx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