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版本号：ZXTC-20260716-ZFCG20260812001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铜川市2026年度大气污染防治“一市一策”驻点研究服务项目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ZXTC-20260716-ZFCG</w:t>
      </w:r>
      <w:r>
        <w:br/>
      </w:r>
      <w:r>
        <w:br/>
      </w:r>
      <w:r>
        <w:br/>
      </w:r>
    </w:p>
    <w:p>
      <w:pPr>
        <w:pStyle w:val="null3"/>
        <w:jc w:val="center"/>
        <w:outlineLvl w:val="2"/>
      </w:pPr>
      <w:r>
        <w:rPr>
          <w:rFonts w:ascii="仿宋_GB2312" w:hAnsi="仿宋_GB2312" w:cs="仿宋_GB2312" w:eastAsia="仿宋_GB2312"/>
          <w:sz w:val="28"/>
          <w:b/>
        </w:rPr>
        <w:t>铜川市生态环境局</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w:t>
      </w:r>
      <w:r>
        <w:rPr>
          <w:rFonts w:ascii="仿宋_GB2312" w:hAnsi="仿宋_GB2312" w:cs="仿宋_GB2312" w:eastAsia="仿宋_GB2312"/>
        </w:rPr>
        <w:t>委托，拟对</w:t>
      </w:r>
      <w:r>
        <w:rPr>
          <w:rFonts w:ascii="仿宋_GB2312" w:hAnsi="仿宋_GB2312" w:cs="仿宋_GB2312" w:eastAsia="仿宋_GB2312"/>
        </w:rPr>
        <w:t>铜川市2026年度大气污染防治“一市一策”驻点研究服务项目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ZXTC-20260716-ZFCG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铜川市2026年度大气污染防治“一市一策”驻点研究服务项目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开展铜川市⼤⽓污染防治“⼀市⼀策”驻点跟踪研究服务 ，对全市⼤⽓污染防治进⾏技术指导，开展⽬标任务分解与动态调控服务、⽇常分析服务、专项分析服务，以及协助开展⼤⽓污染排查服务等。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采购包1（铜川市2026年度大气污染防治“一市一策”驻点研究服务项目）：属于专门面向中小企业采购。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p>
      <w:pPr>
        <w:pStyle w:val="null3"/>
      </w:pPr>
      <w:r>
        <w:rPr>
          <w:rFonts w:ascii="仿宋_GB2312" w:hAnsi="仿宋_GB2312" w:cs="仿宋_GB2312" w:eastAsia="仿宋_GB2312"/>
        </w:rPr>
        <w:t>3、税收交纳证明：提供响应文件递交截止时间前一年内任意一个月的缴费凭据（依法免税的供应商应提供相关文件证明）；供应商需在项目电子化交易系统中按要求上传相应证明文件并进行电子签章。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交纳证明：提供响应文件递交截止时间前一年内任意一个月的社保缴费凭据或社保机构开具的社会保险参保缴费情况证明（依法不需要缴纳社会保障资金的供应商应提供相关证明）；供应商需在项目电子化交易系统中按要求上传相应证明文件并进行电子签章。</w:t>
      </w:r>
    </w:p>
    <w:p>
      <w:pPr>
        <w:pStyle w:val="null3"/>
      </w:pPr>
      <w:r>
        <w:rPr>
          <w:rFonts w:ascii="仿宋_GB2312" w:hAnsi="仿宋_GB2312" w:cs="仿宋_GB2312" w:eastAsia="仿宋_GB2312"/>
        </w:rPr>
        <w:t>5、承诺、说明及书面声明：1、提供具有履行本合同所必需的设备和专业技术能力的说明及承诺；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法定代表人授权书/法定代表人身份证明：法定代表人参与磋商时需提供法定代表人身份证复印件；被授权人参与磋商时需提供法定代表人授权委托书；供应商需在项目电子化交易系统中按要求上传相应证明文件并进行电子签章。</w:t>
      </w:r>
    </w:p>
    <w:p>
      <w:pPr>
        <w:pStyle w:val="null3"/>
      </w:pPr>
      <w:r>
        <w:rPr>
          <w:rFonts w:ascii="仿宋_GB2312" w:hAnsi="仿宋_GB2312" w:cs="仿宋_GB2312" w:eastAsia="仿宋_GB2312"/>
        </w:rPr>
        <w:t>7、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铜川市新区齐庆璐4号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0919-3198096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闫晓颖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13468798104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的通知（计价格〔2002〕1980号）、《国家发展和改⾰委员会办公厅关于招标代理服务收费有关问题的通知》（发改办价格〔2003〕857号）规定有关标准下浮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铜川市生态环境局</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供应商将在采购项⽬实施过程中采⽤⾃有或者第三⽅知识成果的，使⽤该知识成果后，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具体约定详⻅供需双⽅签订的合同。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联系人：闫晓颖</w:t>
      </w:r>
    </w:p>
    <w:p>
      <w:pPr>
        <w:pStyle w:val="null3"/>
      </w:pPr>
      <w:r>
        <w:rPr>
          <w:rFonts w:ascii="仿宋_GB2312" w:hAnsi="仿宋_GB2312" w:cs="仿宋_GB2312" w:eastAsia="仿宋_GB2312"/>
        </w:rPr>
        <w:t>联系电话：13468798104</w:t>
      </w:r>
    </w:p>
    <w:p>
      <w:pPr>
        <w:pStyle w:val="null3"/>
      </w:pPr>
      <w:r>
        <w:rPr>
          <w:rFonts w:ascii="仿宋_GB2312" w:hAnsi="仿宋_GB2312" w:cs="仿宋_GB2312" w:eastAsia="仿宋_GB2312"/>
        </w:rPr>
        <w:t>地址：陕西省西安市莲湖区未央路99号荣⺠中央国际10层1001室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开展铜川市大气污染防治“一市一策”驻点跟踪研究服务 ，对全市大气污染防治进行技术指导，开展目标任务分解与动态调控服务、日常分析服务、专项分析服务，以及协助开展大气污染排查服务等。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1,928,000.00</w:t>
      </w:r>
    </w:p>
    <w:p>
      <w:pPr>
        <w:pStyle w:val="null3"/>
      </w:pPr>
      <w:r>
        <w:rPr>
          <w:rFonts w:ascii="仿宋_GB2312" w:hAnsi="仿宋_GB2312" w:cs="仿宋_GB2312" w:eastAsia="仿宋_GB2312"/>
        </w:rPr>
        <w:t>采购包最高限价（元）: 1,928,000.00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铜川市2026年度大气污染防治“一市一策”驻点研究服务项目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标的名称：铜川市2026年度大气污染防治“一市一策”驻点研究服务项目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一、建设目标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提供大气环境管理与管控服务，实现环境污染问题管控科学化、精准化，以实现减污降碳协同效应为目标，缓解大气污染因子对大气环境造成的影响，改善环境空气质量，提高环境监管效率、形成攻坚合力，实现“科学防治、依法防治、精准防治”，以有效遏制区域污染，全面提升环境空气质量，确保全市环境空气环境质量总体改善。</w:t>
            </w:r>
          </w:p>
          <w:p>
            <w:pPr>
              <w:pStyle w:val="null3"/>
              <w:jc w:val="both"/>
            </w:pPr>
            <w:r>
              <w:rPr>
                <w:rFonts w:ascii="仿宋_GB2312" w:hAnsi="仿宋_GB2312" w:cs="仿宋_GB2312" w:eastAsia="仿宋_GB2312"/>
                <w:sz w:val="21"/>
              </w:rPr>
              <w:t>二、建设内容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）精细化驻场服务团队；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）常态化数据值守、高值点位预警溯源、统筹数据应用调度等；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）空气质量定期专项分析，包括但不限于空气质量分析周报、月报、年报、污染过程分析、专项分析等；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）利用便携式设备开展重点区域日常巡查管控；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）重点区域污染源台账制定；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）健全完善工作机制，如快速交办的闭环管理机制、会商研判机制和督查检查机制；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）重点污染源专项核查指导帮扶及技术咨询培训服务；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）臭氧污染防控，臭氧精细化统计预报、臭氧污染应急管控、挥发性有机物走航监测、臭氧源解析服务；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）颗粒物污染防控，道路积尘负荷走航监测服务、细颗粒物组分监测来源解析服务；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）优良天抢夺工作机制；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）高值区域“一对一”专项帮扶；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）专家讲座服务；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）开展</w:t>
            </w:r>
            <w:r>
              <w:rPr>
                <w:rFonts w:ascii="仿宋_GB2312" w:hAnsi="仿宋_GB2312" w:cs="仿宋_GB2312" w:eastAsia="仿宋_GB2312"/>
                <w:sz w:val="21"/>
              </w:rPr>
              <w:t>VOCs</w:t>
            </w:r>
            <w:r>
              <w:rPr>
                <w:rFonts w:ascii="仿宋_GB2312" w:hAnsi="仿宋_GB2312" w:cs="仿宋_GB2312" w:eastAsia="仿宋_GB2312"/>
                <w:sz w:val="21"/>
              </w:rPr>
              <w:t>和</w:t>
            </w:r>
            <w:r>
              <w:rPr>
                <w:rFonts w:ascii="仿宋_GB2312" w:hAnsi="仿宋_GB2312" w:cs="仿宋_GB2312" w:eastAsia="仿宋_GB2312"/>
                <w:sz w:val="21"/>
              </w:rPr>
              <w:t>PM2.5</w:t>
            </w:r>
            <w:r>
              <w:rPr>
                <w:rFonts w:ascii="仿宋_GB2312" w:hAnsi="仿宋_GB2312" w:cs="仿宋_GB2312" w:eastAsia="仿宋_GB2312"/>
                <w:sz w:val="21"/>
              </w:rPr>
              <w:t>大气污染源解析；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）开展铜川市重污染天气应急减排清单编制及填报培训、数据审核等工作。</w:t>
            </w:r>
          </w:p>
          <w:p>
            <w:pPr>
              <w:pStyle w:val="null3"/>
              <w:jc w:val="both"/>
            </w:pPr>
            <w:r>
              <w:rPr>
                <w:rFonts w:ascii="仿宋_GB2312" w:hAnsi="仿宋_GB2312" w:cs="仿宋_GB2312" w:eastAsia="仿宋_GB2312"/>
                <w:sz w:val="21"/>
              </w:rPr>
              <w:t>三、建设规范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）《环境空气质量标准》（</w:t>
            </w:r>
            <w:r>
              <w:rPr>
                <w:rFonts w:ascii="仿宋_GB2312" w:hAnsi="仿宋_GB2312" w:cs="仿宋_GB2312" w:eastAsia="仿宋_GB2312"/>
                <w:sz w:val="21"/>
              </w:rPr>
              <w:t>GB 3095-2026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）《餐饮业环境保护工程技术指南》（</w:t>
            </w:r>
            <w:r>
              <w:rPr>
                <w:rFonts w:ascii="仿宋_GB2312" w:hAnsi="仿宋_GB2312" w:cs="仿宋_GB2312" w:eastAsia="仿宋_GB2312"/>
                <w:sz w:val="21"/>
              </w:rPr>
              <w:t>DB61/T 1307-2019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）《施工场界扬尘排放限制》（</w:t>
            </w:r>
            <w:r>
              <w:rPr>
                <w:rFonts w:ascii="仿宋_GB2312" w:hAnsi="仿宋_GB2312" w:cs="仿宋_GB2312" w:eastAsia="仿宋_GB2312"/>
                <w:sz w:val="21"/>
              </w:rPr>
              <w:t>DB61/1078-2017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）《挥发性有机物排放控制标准》（</w:t>
            </w:r>
            <w:r>
              <w:rPr>
                <w:rFonts w:ascii="仿宋_GB2312" w:hAnsi="仿宋_GB2312" w:cs="仿宋_GB2312" w:eastAsia="仿宋_GB2312"/>
                <w:sz w:val="21"/>
              </w:rPr>
              <w:t>DB61/T 1061-2017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）《锅炉大气污染物排放标准》（</w:t>
            </w:r>
            <w:r>
              <w:rPr>
                <w:rFonts w:ascii="仿宋_GB2312" w:hAnsi="仿宋_GB2312" w:cs="仿宋_GB2312" w:eastAsia="仿宋_GB2312"/>
                <w:sz w:val="21"/>
              </w:rPr>
              <w:t>DB61 1226-2018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）《关中地区重点行业大气污染物排放标准》（</w:t>
            </w:r>
            <w:r>
              <w:rPr>
                <w:rFonts w:ascii="仿宋_GB2312" w:hAnsi="仿宋_GB2312" w:cs="仿宋_GB2312" w:eastAsia="仿宋_GB2312"/>
                <w:sz w:val="21"/>
              </w:rPr>
              <w:t>DB61/941-2018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四、技术（服务）要求</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精细化管控驻场服务</w:t>
            </w:r>
          </w:p>
          <w:p>
            <w:pPr>
              <w:pStyle w:val="null3"/>
              <w:jc w:val="both"/>
            </w:pPr>
            <w:r>
              <w:rPr>
                <w:rFonts w:ascii="仿宋_GB2312" w:hAnsi="仿宋_GB2312" w:cs="仿宋_GB2312" w:eastAsia="仿宋_GB2312"/>
                <w:sz w:val="21"/>
              </w:rPr>
              <w:t>4.1.1</w:t>
            </w:r>
            <w:r>
              <w:rPr>
                <w:rFonts w:ascii="仿宋_GB2312" w:hAnsi="仿宋_GB2312" w:cs="仿宋_GB2312" w:eastAsia="仿宋_GB2312"/>
                <w:sz w:val="21"/>
              </w:rPr>
              <w:t>空气质量分析服务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基于国控站等空气质量数据情况，提供铜川市空气质量动态数据分析、高值提醒、综合分析等。对每日空气质量数据、月度及年度空气质量变化及防治措施进行分析总结，并针对下一阶段大气污染防治工作的攻坚重点提出科学、可落地的管控建议，对空气质量形势进行预测及分析评估，提出应急管控措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高值提醒：针对特殊污染时段、污染传输过程等，提前或过程实时预警，以空气质量数据播报的形式，播报当日空气质量情况、污染物浓度、首要污染物等内容，提出管控建议或防控要点等。</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实时评估与日推送：统计并分析空气质量监测点位数据，对国控站点空气质量监测数据进行统计评价及对比分析，每日推送前一日主要指标数据累计值及全市排名情况。如出现数据异常，结合实际情况简要说明异常原因。</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月总结：每月总结上个月空气质量状况、污染物浓度超标、污染物浓度变化等情况，对主要指标进行排名，并与去年同期空气质量情况进行对比。全面总结月度大气污染防治工作开展情况，梳理存在的主要问题，提出管控建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污染成因分析：当出现污染天气时，结合地面气象条件、大气扩散条件、天气过程等气象因素及监测数据，分析污染成因。从污染天产生到解除的全过程，持续追踪地面观测数据、预测预警数据，掌握污染全过程形势；分析地面气象条件、大气扩散条件、天气过程等对主要大气污染物的影响，判别污染天气主要影响因素。同时结合现场巡查结果，分析周边污染源对污染过程的影响，并在污染天气结束后及时提交污染成因分析，形成污染过程成因分析报告。</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年评估：总结上一年度工作开展情况、空气质量变化情况及考核指标达标情况，分析污染问题和工作推进中存在的问题，评估上一年度或阶段性工作执行后带来的环境效益是否合理，提出改进措施，优化下一年度或攻坚期工作计划、管控重点，并细化管控措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建立报告推送机制，将每周（月）情况总结归纳，简要分析，形成总结报告并报送。同时强化现状分析，在秋冬季期间针对每月的空气质量尤其是重污染过程强化区域形势和本地研判分析。</w:t>
            </w:r>
          </w:p>
          <w:p>
            <w:pPr>
              <w:pStyle w:val="null3"/>
              <w:jc w:val="both"/>
            </w:pPr>
            <w:r>
              <w:rPr>
                <w:rFonts w:ascii="仿宋_GB2312" w:hAnsi="仿宋_GB2312" w:cs="仿宋_GB2312" w:eastAsia="仿宋_GB2312"/>
                <w:sz w:val="21"/>
              </w:rPr>
              <w:t>4.1.2</w:t>
            </w:r>
            <w:r>
              <w:rPr>
                <w:rFonts w:ascii="仿宋_GB2312" w:hAnsi="仿宋_GB2312" w:cs="仿宋_GB2312" w:eastAsia="仿宋_GB2312"/>
                <w:sz w:val="21"/>
              </w:rPr>
              <w:t>统筹数据应用调度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统筹应用现有的空气质量自动监测网络、污染源用电监控、企业在线监控等技术手段，分析研判高值点位及异常污染源点位，开展污染源的精准溯源，提供现场指导服务。</w:t>
            </w:r>
          </w:p>
          <w:p>
            <w:pPr>
              <w:pStyle w:val="null3"/>
              <w:jc w:val="both"/>
            </w:pPr>
            <w:r>
              <w:rPr>
                <w:rFonts w:ascii="仿宋_GB2312" w:hAnsi="仿宋_GB2312" w:cs="仿宋_GB2312" w:eastAsia="仿宋_GB2312"/>
                <w:sz w:val="21"/>
              </w:rPr>
              <w:t>4.1.3</w:t>
            </w:r>
            <w:r>
              <w:rPr>
                <w:rFonts w:ascii="仿宋_GB2312" w:hAnsi="仿宋_GB2312" w:cs="仿宋_GB2312" w:eastAsia="仿宋_GB2312"/>
                <w:sz w:val="21"/>
              </w:rPr>
              <w:t>重点区域日常巡查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结合制约空气质量的重点时段、重点区域、重点因子和重点对象，借助便携式</w:t>
            </w:r>
            <w:r>
              <w:rPr>
                <w:rFonts w:ascii="仿宋_GB2312" w:hAnsi="仿宋_GB2312" w:cs="仿宋_GB2312" w:eastAsia="仿宋_GB2312"/>
                <w:sz w:val="21"/>
              </w:rPr>
              <w:t>PID</w:t>
            </w:r>
            <w:r>
              <w:rPr>
                <w:rFonts w:ascii="仿宋_GB2312" w:hAnsi="仿宋_GB2312" w:cs="仿宋_GB2312" w:eastAsia="仿宋_GB2312"/>
                <w:sz w:val="21"/>
              </w:rPr>
              <w:t>检测仪、无人机、便携式六参数检测仪等科技手段，对辖区内施工工地、裸露土地、非道路移动机械、餐饮油烟、重点道路、涉</w:t>
            </w:r>
            <w:r>
              <w:rPr>
                <w:rFonts w:ascii="仿宋_GB2312" w:hAnsi="仿宋_GB2312" w:cs="仿宋_GB2312" w:eastAsia="仿宋_GB2312"/>
                <w:sz w:val="21"/>
              </w:rPr>
              <w:t>VOCs</w:t>
            </w:r>
            <w:r>
              <w:rPr>
                <w:rFonts w:ascii="仿宋_GB2312" w:hAnsi="仿宋_GB2312" w:cs="仿宋_GB2312" w:eastAsia="仿宋_GB2312"/>
                <w:sz w:val="21"/>
              </w:rPr>
              <w:t>企业等重点大气污染源开展差异化巡查工作，并形成污染源台账，将巡查过程中发现的问题，及时交办相关责任单位，并跟进落实情况。</w:t>
            </w:r>
          </w:p>
          <w:p>
            <w:pPr>
              <w:pStyle w:val="null3"/>
              <w:jc w:val="both"/>
            </w:pPr>
            <w:r>
              <w:rPr>
                <w:rFonts w:ascii="仿宋_GB2312" w:hAnsi="仿宋_GB2312" w:cs="仿宋_GB2312" w:eastAsia="仿宋_GB2312"/>
                <w:sz w:val="21"/>
              </w:rPr>
              <w:t>4.1.4</w:t>
            </w:r>
            <w:r>
              <w:rPr>
                <w:rFonts w:ascii="仿宋_GB2312" w:hAnsi="仿宋_GB2312" w:cs="仿宋_GB2312" w:eastAsia="仿宋_GB2312"/>
                <w:sz w:val="21"/>
              </w:rPr>
              <w:t>重点区域污染源台账制定</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总结巡查过程中存在的问题，绘制污染问题分布地图，列出问题清单台账，全方位掌握区域内污染分布状况并进行评估。重点围绕扬尘源、移动源、工业源、餐饮油烟生活源等重点污染源建立重点区域污染源台账。</w:t>
            </w:r>
          </w:p>
          <w:p>
            <w:pPr>
              <w:pStyle w:val="null3"/>
              <w:jc w:val="both"/>
            </w:pPr>
            <w:r>
              <w:rPr>
                <w:rFonts w:ascii="仿宋_GB2312" w:hAnsi="仿宋_GB2312" w:cs="仿宋_GB2312" w:eastAsia="仿宋_GB2312"/>
                <w:sz w:val="21"/>
              </w:rPr>
              <w:t>4.1.5</w:t>
            </w:r>
            <w:r>
              <w:rPr>
                <w:rFonts w:ascii="仿宋_GB2312" w:hAnsi="仿宋_GB2312" w:cs="仿宋_GB2312" w:eastAsia="仿宋_GB2312"/>
                <w:sz w:val="21"/>
              </w:rPr>
              <w:t>污染源地图标注服务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绘制重点污染源地图，以现场排查为主要手段，按照“轻重不同，分类排查，共同推进，录审结合”的原则，推进重点区域污染源现场摸排工作，并进行实时更新。同时按照“不重不漏、应录尽录、填报规范”的要求对录入数据进行全面审核，对于错误数据及时进行修改并逐步完善，保证数据质量，完善铜川市污染源基础数据库，实现挂图作战。</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协助开展会商研判</w:t>
            </w:r>
          </w:p>
          <w:p>
            <w:pPr>
              <w:pStyle w:val="null3"/>
              <w:jc w:val="both"/>
            </w:pPr>
            <w:r>
              <w:rPr>
                <w:rFonts w:ascii="仿宋_GB2312" w:hAnsi="仿宋_GB2312" w:cs="仿宋_GB2312" w:eastAsia="仿宋_GB2312"/>
                <w:sz w:val="21"/>
              </w:rPr>
              <w:t>4.2.1</w:t>
            </w:r>
            <w:r>
              <w:rPr>
                <w:rFonts w:ascii="仿宋_GB2312" w:hAnsi="仿宋_GB2312" w:cs="仿宋_GB2312" w:eastAsia="仿宋_GB2312"/>
                <w:sz w:val="21"/>
              </w:rPr>
              <w:t>建立快速交办的闭环管理系统</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针对数据异常问题和巡查发现污染源问题，充分发挥现有的污染事件交办系统作用，建立“发现</w:t>
            </w:r>
            <w:r>
              <w:rPr>
                <w:rFonts w:ascii="仿宋_GB2312" w:hAnsi="仿宋_GB2312" w:cs="仿宋_GB2312" w:eastAsia="仿宋_GB2312"/>
                <w:sz w:val="21"/>
              </w:rPr>
              <w:t>-</w:t>
            </w:r>
            <w:r>
              <w:rPr>
                <w:rFonts w:ascii="仿宋_GB2312" w:hAnsi="仿宋_GB2312" w:cs="仿宋_GB2312" w:eastAsia="仿宋_GB2312"/>
                <w:sz w:val="21"/>
              </w:rPr>
              <w:t>整改</w:t>
            </w:r>
            <w:r>
              <w:rPr>
                <w:rFonts w:ascii="仿宋_GB2312" w:hAnsi="仿宋_GB2312" w:cs="仿宋_GB2312" w:eastAsia="仿宋_GB2312"/>
                <w:sz w:val="21"/>
              </w:rPr>
              <w:t>-</w:t>
            </w:r>
            <w:r>
              <w:rPr>
                <w:rFonts w:ascii="仿宋_GB2312" w:hAnsi="仿宋_GB2312" w:cs="仿宋_GB2312" w:eastAsia="仿宋_GB2312"/>
                <w:sz w:val="21"/>
              </w:rPr>
              <w:t>复核</w:t>
            </w:r>
            <w:r>
              <w:rPr>
                <w:rFonts w:ascii="仿宋_GB2312" w:hAnsi="仿宋_GB2312" w:cs="仿宋_GB2312" w:eastAsia="仿宋_GB2312"/>
                <w:sz w:val="21"/>
              </w:rPr>
              <w:t>-</w:t>
            </w:r>
            <w:r>
              <w:rPr>
                <w:rFonts w:ascii="仿宋_GB2312" w:hAnsi="仿宋_GB2312" w:cs="仿宋_GB2312" w:eastAsia="仿宋_GB2312"/>
                <w:sz w:val="21"/>
              </w:rPr>
              <w:t>销号”的闭环管理机制，有效加强部门、区县联动管控，确保问题能够及时发现、及时解决，减少对空气质量站点数据的影响。</w:t>
            </w:r>
          </w:p>
          <w:p>
            <w:pPr>
              <w:pStyle w:val="null3"/>
              <w:jc w:val="both"/>
            </w:pPr>
            <w:r>
              <w:rPr>
                <w:rFonts w:ascii="仿宋_GB2312" w:hAnsi="仿宋_GB2312" w:cs="仿宋_GB2312" w:eastAsia="仿宋_GB2312"/>
                <w:sz w:val="21"/>
              </w:rPr>
              <w:t>4.2.2</w:t>
            </w:r>
            <w:r>
              <w:rPr>
                <w:rFonts w:ascii="仿宋_GB2312" w:hAnsi="仿宋_GB2312" w:cs="仿宋_GB2312" w:eastAsia="仿宋_GB2312"/>
                <w:sz w:val="21"/>
              </w:rPr>
              <w:t>协助开展工作部署措施制定</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合会商研判工作开展情况，会商会议前准备相关汇报材料（空气质量预测预报情况、近期环境空气质量分析、突出问题分析、管控落实情况、管控成效评估、下一步管控建议等），并由技术团队项目负责人参与主要技术工作汇报。</w:t>
            </w:r>
          </w:p>
          <w:p>
            <w:pPr>
              <w:pStyle w:val="null3"/>
              <w:jc w:val="both"/>
            </w:pPr>
            <w:r>
              <w:rPr>
                <w:rFonts w:ascii="仿宋_GB2312" w:hAnsi="仿宋_GB2312" w:cs="仿宋_GB2312" w:eastAsia="仿宋_GB2312"/>
                <w:sz w:val="21"/>
              </w:rPr>
              <w:t>4.2.3</w:t>
            </w:r>
            <w:r>
              <w:rPr>
                <w:rFonts w:ascii="仿宋_GB2312" w:hAnsi="仿宋_GB2312" w:cs="仿宋_GB2312" w:eastAsia="仿宋_GB2312"/>
                <w:sz w:val="21"/>
              </w:rPr>
              <w:t>各类督查检查信息汇总</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针对重点区域基于日常交办问题、走航监测情况、环境空气质量同比变化情况等信息，结合日常污染源巡查检查情况和专项行动期间针对企业、加油站、餐饮油烟、汽修等涉气污染源的通报情况，针对问题发现率、问题交办整改率、空气质量变化率等分片区、分类进行汇总，反馈管理部门，为管理部门开展考核提供依据。</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重点涉气企业专项帮扶提升服务</w:t>
            </w:r>
          </w:p>
          <w:p>
            <w:pPr>
              <w:pStyle w:val="null3"/>
              <w:jc w:val="both"/>
            </w:pPr>
            <w:r>
              <w:rPr>
                <w:rFonts w:ascii="仿宋_GB2312" w:hAnsi="仿宋_GB2312" w:cs="仿宋_GB2312" w:eastAsia="仿宋_GB2312"/>
                <w:sz w:val="21"/>
              </w:rPr>
              <w:t>4.3.1</w:t>
            </w:r>
            <w:r>
              <w:rPr>
                <w:rFonts w:ascii="仿宋_GB2312" w:hAnsi="仿宋_GB2312" w:cs="仿宋_GB2312" w:eastAsia="仿宋_GB2312"/>
                <w:sz w:val="21"/>
              </w:rPr>
              <w:t>重点涉气行业提升咨询</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对重点涉气企业，结合国家及相关行业标准，指导企业全链条、全环节查找问题，摸清源头，精准治污，帮扶企业加快问题整改；针对涉气企业、生态环境系统管理人员，邀请行业专家进行涉气污染治理技术和规范化管理等内容开展技术培训。</w:t>
            </w:r>
          </w:p>
          <w:p>
            <w:pPr>
              <w:pStyle w:val="null3"/>
              <w:jc w:val="both"/>
            </w:pPr>
            <w:r>
              <w:rPr>
                <w:rFonts w:ascii="仿宋_GB2312" w:hAnsi="仿宋_GB2312" w:cs="仿宋_GB2312" w:eastAsia="仿宋_GB2312"/>
                <w:sz w:val="21"/>
              </w:rPr>
              <w:t>4.3.2</w:t>
            </w:r>
            <w:r>
              <w:rPr>
                <w:rFonts w:ascii="仿宋_GB2312" w:hAnsi="仿宋_GB2312" w:cs="仿宋_GB2312" w:eastAsia="仿宋_GB2312"/>
                <w:sz w:val="21"/>
              </w:rPr>
              <w:t>重污染天气应急减排清单编制服务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按照技术规范，开展铜川市重污染天气应急减排清单编制，动态更新；做好清单填报培训、数据审核上传等工作。</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臭氧污染防控能力提升建设</w:t>
            </w:r>
          </w:p>
          <w:p>
            <w:pPr>
              <w:pStyle w:val="null3"/>
              <w:jc w:val="both"/>
            </w:pPr>
            <w:r>
              <w:rPr>
                <w:rFonts w:ascii="仿宋_GB2312" w:hAnsi="仿宋_GB2312" w:cs="仿宋_GB2312" w:eastAsia="仿宋_GB2312"/>
                <w:sz w:val="21"/>
              </w:rPr>
              <w:t>4.4.1</w:t>
            </w:r>
            <w:r>
              <w:rPr>
                <w:rFonts w:ascii="仿宋_GB2312" w:hAnsi="仿宋_GB2312" w:cs="仿宋_GB2312" w:eastAsia="仿宋_GB2312"/>
                <w:sz w:val="21"/>
              </w:rPr>
              <w:t>臭氧精细化预测预报</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空气质量预报预警工作可预判臭氧、颗粒物等重要污染指标浓度及</w:t>
            </w:r>
            <w:r>
              <w:rPr>
                <w:rFonts w:ascii="仿宋_GB2312" w:hAnsi="仿宋_GB2312" w:cs="仿宋_GB2312" w:eastAsia="仿宋_GB2312"/>
                <w:sz w:val="21"/>
              </w:rPr>
              <w:t>AQI</w:t>
            </w:r>
            <w:r>
              <w:rPr>
                <w:rFonts w:ascii="仿宋_GB2312" w:hAnsi="仿宋_GB2312" w:cs="仿宋_GB2312" w:eastAsia="仿宋_GB2312"/>
                <w:sz w:val="21"/>
              </w:rPr>
              <w:t>变化趋势，在支撑应急管控精准施策、督促企业停限产</w:t>
            </w:r>
            <w:r>
              <w:rPr>
                <w:rFonts w:ascii="仿宋_GB2312" w:hAnsi="仿宋_GB2312" w:cs="仿宋_GB2312" w:eastAsia="仿宋_GB2312"/>
                <w:sz w:val="21"/>
              </w:rPr>
              <w:t>/</w:t>
            </w:r>
            <w:r>
              <w:rPr>
                <w:rFonts w:ascii="仿宋_GB2312" w:hAnsi="仿宋_GB2312" w:cs="仿宋_GB2312" w:eastAsia="仿宋_GB2312"/>
                <w:sz w:val="21"/>
              </w:rPr>
              <w:t>恢复生产、区域联防联控、保障公众身心健康等方面具有重要作用，是有效应对重污染天气的重要基础。目前空气质量预测预报的主要方法为数值模式预报和统计预报，但存在不确定性高、短临预报精准度低等问题。</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预报模式基于目标区域环境空气质量监测数据（</w:t>
            </w:r>
            <w:r>
              <w:rPr>
                <w:rFonts w:ascii="仿宋_GB2312" w:hAnsi="仿宋_GB2312" w:cs="仿宋_GB2312" w:eastAsia="仿宋_GB2312"/>
                <w:sz w:val="21"/>
              </w:rPr>
              <w:t>PM2.5</w:t>
            </w:r>
            <w:r>
              <w:rPr>
                <w:rFonts w:ascii="仿宋_GB2312" w:hAnsi="仿宋_GB2312" w:cs="仿宋_GB2312" w:eastAsia="仿宋_GB2312"/>
                <w:sz w:val="21"/>
              </w:rPr>
              <w:t>、</w:t>
            </w:r>
            <w:r>
              <w:rPr>
                <w:rFonts w:ascii="仿宋_GB2312" w:hAnsi="仿宋_GB2312" w:cs="仿宋_GB2312" w:eastAsia="仿宋_GB2312"/>
                <w:sz w:val="21"/>
              </w:rPr>
              <w:t>PM10</w:t>
            </w:r>
            <w:r>
              <w:rPr>
                <w:rFonts w:ascii="仿宋_GB2312" w:hAnsi="仿宋_GB2312" w:cs="仿宋_GB2312" w:eastAsia="仿宋_GB2312"/>
                <w:sz w:val="21"/>
              </w:rPr>
              <w:t>、</w:t>
            </w:r>
            <w:r>
              <w:rPr>
                <w:rFonts w:ascii="仿宋_GB2312" w:hAnsi="仿宋_GB2312" w:cs="仿宋_GB2312" w:eastAsia="仿宋_GB2312"/>
                <w:sz w:val="21"/>
              </w:rPr>
              <w:t>O3</w:t>
            </w:r>
            <w:r>
              <w:rPr>
                <w:rFonts w:ascii="仿宋_GB2312" w:hAnsi="仿宋_GB2312" w:cs="仿宋_GB2312" w:eastAsia="仿宋_GB2312"/>
                <w:sz w:val="21"/>
              </w:rPr>
              <w:t>、</w:t>
            </w:r>
            <w:r>
              <w:rPr>
                <w:rFonts w:ascii="仿宋_GB2312" w:hAnsi="仿宋_GB2312" w:cs="仿宋_GB2312" w:eastAsia="仿宋_GB2312"/>
                <w:sz w:val="21"/>
              </w:rPr>
              <w:t>CO</w:t>
            </w:r>
            <w:r>
              <w:rPr>
                <w:rFonts w:ascii="仿宋_GB2312" w:hAnsi="仿宋_GB2312" w:cs="仿宋_GB2312" w:eastAsia="仿宋_GB2312"/>
                <w:sz w:val="21"/>
              </w:rPr>
              <w:t>、</w:t>
            </w:r>
            <w:r>
              <w:rPr>
                <w:rFonts w:ascii="仿宋_GB2312" w:hAnsi="仿宋_GB2312" w:cs="仿宋_GB2312" w:eastAsia="仿宋_GB2312"/>
                <w:sz w:val="21"/>
              </w:rPr>
              <w:t>SO2</w:t>
            </w:r>
            <w:r>
              <w:rPr>
                <w:rFonts w:ascii="仿宋_GB2312" w:hAnsi="仿宋_GB2312" w:cs="仿宋_GB2312" w:eastAsia="仿宋_GB2312"/>
                <w:sz w:val="21"/>
              </w:rPr>
              <w:t>、</w:t>
            </w:r>
            <w:r>
              <w:rPr>
                <w:rFonts w:ascii="仿宋_GB2312" w:hAnsi="仿宋_GB2312" w:cs="仿宋_GB2312" w:eastAsia="仿宋_GB2312"/>
                <w:sz w:val="21"/>
              </w:rPr>
              <w:t>NO2</w:t>
            </w:r>
            <w:r>
              <w:rPr>
                <w:rFonts w:ascii="仿宋_GB2312" w:hAnsi="仿宋_GB2312" w:cs="仿宋_GB2312" w:eastAsia="仿宋_GB2312"/>
                <w:sz w:val="21"/>
              </w:rPr>
              <w:t>等）结合模型分析对未来空气质量进行预测，预测首要污染物及污染程度，辅助管理部门做好预判，提前谋划部署防控工作；同时基于过往历史数据和区域气象因素，未来逐小时数据进行预测，在污染边缘天气时辅助管理部门做到削峰、降值、争抢优良天。</w:t>
            </w:r>
          </w:p>
          <w:p>
            <w:pPr>
              <w:pStyle w:val="null3"/>
              <w:jc w:val="both"/>
            </w:pPr>
            <w:r>
              <w:rPr>
                <w:rFonts w:ascii="仿宋_GB2312" w:hAnsi="仿宋_GB2312" w:cs="仿宋_GB2312" w:eastAsia="仿宋_GB2312"/>
                <w:sz w:val="21"/>
              </w:rPr>
              <w:t>4.4.2</w:t>
            </w:r>
            <w:r>
              <w:rPr>
                <w:rFonts w:ascii="仿宋_GB2312" w:hAnsi="仿宋_GB2312" w:cs="仿宋_GB2312" w:eastAsia="仿宋_GB2312"/>
                <w:sz w:val="21"/>
              </w:rPr>
              <w:t>挥发性有机物（</w:t>
            </w:r>
            <w:r>
              <w:rPr>
                <w:rFonts w:ascii="仿宋_GB2312" w:hAnsi="仿宋_GB2312" w:cs="仿宋_GB2312" w:eastAsia="仿宋_GB2312"/>
                <w:sz w:val="21"/>
              </w:rPr>
              <w:t>VOCs</w:t>
            </w:r>
            <w:r>
              <w:rPr>
                <w:rFonts w:ascii="仿宋_GB2312" w:hAnsi="仿宋_GB2312" w:cs="仿宋_GB2312" w:eastAsia="仿宋_GB2312"/>
                <w:sz w:val="21"/>
              </w:rPr>
              <w:t>）走航监测服务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技术团队利用挥发性有机物走航监测车，在预报可能出现臭氧污染天气时，加密针对预测高值区域和重点区域开展走航监测，识别</w:t>
            </w:r>
            <w:r>
              <w:rPr>
                <w:rFonts w:ascii="仿宋_GB2312" w:hAnsi="仿宋_GB2312" w:cs="仿宋_GB2312" w:eastAsia="仿宋_GB2312"/>
                <w:sz w:val="21"/>
              </w:rPr>
              <w:t>VOCs</w:t>
            </w:r>
            <w:r>
              <w:rPr>
                <w:rFonts w:ascii="仿宋_GB2312" w:hAnsi="仿宋_GB2312" w:cs="仿宋_GB2312" w:eastAsia="仿宋_GB2312"/>
                <w:sz w:val="21"/>
              </w:rPr>
              <w:t>高值区域和关键组分，识别对臭氧生成贡献较大的前体物，为重点区域臭氧精细化管控和检查提供方向和支撑。</w:t>
            </w:r>
          </w:p>
          <w:p>
            <w:pPr>
              <w:pStyle w:val="null3"/>
              <w:jc w:val="both"/>
            </w:pPr>
            <w:r>
              <w:rPr>
                <w:rFonts w:ascii="仿宋_GB2312" w:hAnsi="仿宋_GB2312" w:cs="仿宋_GB2312" w:eastAsia="仿宋_GB2312"/>
                <w:sz w:val="21"/>
              </w:rPr>
              <w:t>4.4.3</w:t>
            </w:r>
            <w:r>
              <w:rPr>
                <w:rFonts w:ascii="仿宋_GB2312" w:hAnsi="仿宋_GB2312" w:cs="仿宋_GB2312" w:eastAsia="仿宋_GB2312"/>
                <w:sz w:val="21"/>
              </w:rPr>
              <w:t>臭氧污染应急应对</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结合铜川市实际情况制定夏季臭氧污染管控方案，方案内容包括不限于</w:t>
            </w:r>
            <w:r>
              <w:rPr>
                <w:rFonts w:ascii="仿宋_GB2312" w:hAnsi="仿宋_GB2312" w:cs="仿宋_GB2312" w:eastAsia="仿宋_GB2312"/>
                <w:sz w:val="21"/>
              </w:rPr>
              <w:t>:</w:t>
            </w:r>
            <w:r>
              <w:rPr>
                <w:rFonts w:ascii="仿宋_GB2312" w:hAnsi="仿宋_GB2312" w:cs="仿宋_GB2312" w:eastAsia="仿宋_GB2312"/>
                <w:sz w:val="21"/>
              </w:rPr>
              <w:t>①制定污染源减排措施：以重点行业相关企业为重点，要求其在应急管控期间，对产生污染物排放工序实施错峰生产</w:t>
            </w:r>
            <w:r>
              <w:rPr>
                <w:rFonts w:ascii="仿宋_GB2312" w:hAnsi="仿宋_GB2312" w:cs="仿宋_GB2312" w:eastAsia="仿宋_GB2312"/>
                <w:sz w:val="21"/>
              </w:rPr>
              <w:t>;</w:t>
            </w:r>
            <w:r>
              <w:rPr>
                <w:rFonts w:ascii="仿宋_GB2312" w:hAnsi="仿宋_GB2312" w:cs="仿宋_GB2312" w:eastAsia="仿宋_GB2312"/>
                <w:sz w:val="21"/>
              </w:rPr>
              <w:t>重点区域内暂停各类建筑工地涂料涂刷作业、重点区域内</w:t>
            </w:r>
            <w:r>
              <w:rPr>
                <w:rFonts w:ascii="仿宋_GB2312" w:hAnsi="仿宋_GB2312" w:cs="仿宋_GB2312" w:eastAsia="仿宋_GB2312"/>
                <w:sz w:val="21"/>
              </w:rPr>
              <w:t>4S</w:t>
            </w:r>
            <w:r>
              <w:rPr>
                <w:rFonts w:ascii="仿宋_GB2312" w:hAnsi="仿宋_GB2312" w:cs="仿宋_GB2312" w:eastAsia="仿宋_GB2312"/>
                <w:sz w:val="21"/>
              </w:rPr>
              <w:t>店、汽修店禁止喷涂作业、重点区域内加油站错峰管控措施、餐饮油烟治理、露天烧烤、焚烧垃圾治理、柴油车排放治理。②通过各类形式发动公众参与</w:t>
            </w:r>
            <w:r>
              <w:rPr>
                <w:rFonts w:ascii="仿宋_GB2312" w:hAnsi="仿宋_GB2312" w:cs="仿宋_GB2312" w:eastAsia="仿宋_GB2312"/>
                <w:sz w:val="21"/>
              </w:rPr>
              <w:t>NOx</w:t>
            </w:r>
            <w:r>
              <w:rPr>
                <w:rFonts w:ascii="仿宋_GB2312" w:hAnsi="仿宋_GB2312" w:cs="仿宋_GB2312" w:eastAsia="仿宋_GB2312"/>
                <w:sz w:val="21"/>
              </w:rPr>
              <w:t>和</w:t>
            </w:r>
            <w:r>
              <w:rPr>
                <w:rFonts w:ascii="仿宋_GB2312" w:hAnsi="仿宋_GB2312" w:cs="仿宋_GB2312" w:eastAsia="仿宋_GB2312"/>
                <w:sz w:val="21"/>
              </w:rPr>
              <w:t>VOCs</w:t>
            </w:r>
            <w:r>
              <w:rPr>
                <w:rFonts w:ascii="仿宋_GB2312" w:hAnsi="仿宋_GB2312" w:cs="仿宋_GB2312" w:eastAsia="仿宋_GB2312"/>
                <w:sz w:val="21"/>
              </w:rPr>
              <w:t>减排。③污染应急调度机制。</w:t>
            </w:r>
          </w:p>
          <w:p>
            <w:pPr>
              <w:pStyle w:val="null3"/>
              <w:jc w:val="both"/>
            </w:pPr>
            <w:r>
              <w:rPr>
                <w:rFonts w:ascii="仿宋_GB2312" w:hAnsi="仿宋_GB2312" w:cs="仿宋_GB2312" w:eastAsia="仿宋_GB2312"/>
                <w:sz w:val="21"/>
              </w:rPr>
              <w:t>4.4.4</w:t>
            </w:r>
            <w:r>
              <w:rPr>
                <w:rFonts w:ascii="仿宋_GB2312" w:hAnsi="仿宋_GB2312" w:cs="仿宋_GB2312" w:eastAsia="仿宋_GB2312"/>
                <w:sz w:val="21"/>
              </w:rPr>
              <w:t>臭氧在线解析服务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在夏防期臭氧污染高发时段，利用高时间分辨率</w:t>
            </w:r>
            <w:r>
              <w:rPr>
                <w:rFonts w:ascii="仿宋_GB2312" w:hAnsi="仿宋_GB2312" w:cs="仿宋_GB2312" w:eastAsia="仿宋_GB2312"/>
                <w:sz w:val="21"/>
              </w:rPr>
              <w:t>VOCs</w:t>
            </w:r>
            <w:r>
              <w:rPr>
                <w:rFonts w:ascii="仿宋_GB2312" w:hAnsi="仿宋_GB2312" w:cs="仿宋_GB2312" w:eastAsia="仿宋_GB2312"/>
                <w:sz w:val="21"/>
              </w:rPr>
              <w:t>组分在线监测设备，对臭氧污染过程进行全程监测分析，找出对臭氧影响较大的</w:t>
            </w:r>
            <w:r>
              <w:rPr>
                <w:rFonts w:ascii="仿宋_GB2312" w:hAnsi="仿宋_GB2312" w:cs="仿宋_GB2312" w:eastAsia="仿宋_GB2312"/>
                <w:sz w:val="21"/>
              </w:rPr>
              <w:t>VOCs</w:t>
            </w:r>
            <w:r>
              <w:rPr>
                <w:rFonts w:ascii="仿宋_GB2312" w:hAnsi="仿宋_GB2312" w:cs="仿宋_GB2312" w:eastAsia="仿宋_GB2312"/>
                <w:sz w:val="21"/>
              </w:rPr>
              <w:t>组分，以了解铜川市的臭氧污染及来源情况，明确重点区域臭氧及</w:t>
            </w:r>
            <w:r>
              <w:rPr>
                <w:rFonts w:ascii="仿宋_GB2312" w:hAnsi="仿宋_GB2312" w:cs="仿宋_GB2312" w:eastAsia="仿宋_GB2312"/>
                <w:sz w:val="21"/>
              </w:rPr>
              <w:t>VOCs</w:t>
            </w:r>
            <w:r>
              <w:rPr>
                <w:rFonts w:ascii="仿宋_GB2312" w:hAnsi="仿宋_GB2312" w:cs="仿宋_GB2312" w:eastAsia="仿宋_GB2312"/>
                <w:sz w:val="21"/>
              </w:rPr>
              <w:t>的时空分布特征，阐明臭氧污染态势、识别影响臭氧污染的</w:t>
            </w:r>
            <w:r>
              <w:rPr>
                <w:rFonts w:ascii="仿宋_GB2312" w:hAnsi="仿宋_GB2312" w:cs="仿宋_GB2312" w:eastAsia="仿宋_GB2312"/>
                <w:sz w:val="21"/>
              </w:rPr>
              <w:t>VOCs</w:t>
            </w:r>
            <w:r>
              <w:rPr>
                <w:rFonts w:ascii="仿宋_GB2312" w:hAnsi="仿宋_GB2312" w:cs="仿宋_GB2312" w:eastAsia="仿宋_GB2312"/>
                <w:sz w:val="21"/>
              </w:rPr>
              <w:t>关键组分及影响权重，并厘清铜川市重点区域</w:t>
            </w:r>
            <w:r>
              <w:rPr>
                <w:rFonts w:ascii="仿宋_GB2312" w:hAnsi="仿宋_GB2312" w:cs="仿宋_GB2312" w:eastAsia="仿宋_GB2312"/>
                <w:sz w:val="21"/>
              </w:rPr>
              <w:t>VOCs</w:t>
            </w:r>
            <w:r>
              <w:rPr>
                <w:rFonts w:ascii="仿宋_GB2312" w:hAnsi="仿宋_GB2312" w:cs="仿宋_GB2312" w:eastAsia="仿宋_GB2312"/>
                <w:sz w:val="21"/>
              </w:rPr>
              <w:t>污染规律及其成因，提出合理的管控对策。</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颗粒物污染防控能力提升建设</w:t>
            </w:r>
          </w:p>
          <w:p>
            <w:pPr>
              <w:pStyle w:val="null3"/>
              <w:jc w:val="both"/>
            </w:pPr>
            <w:r>
              <w:rPr>
                <w:rFonts w:ascii="仿宋_GB2312" w:hAnsi="仿宋_GB2312" w:cs="仿宋_GB2312" w:eastAsia="仿宋_GB2312"/>
                <w:sz w:val="21"/>
              </w:rPr>
              <w:t>4.5.1</w:t>
            </w:r>
            <w:r>
              <w:rPr>
                <w:rFonts w:ascii="仿宋_GB2312" w:hAnsi="仿宋_GB2312" w:cs="仿宋_GB2312" w:eastAsia="仿宋_GB2312"/>
                <w:sz w:val="21"/>
              </w:rPr>
              <w:t>道路积尘负荷走航监测</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利用道路积尘负荷走航监测车，针对城区重点区域开展道路积尘负荷走航监测工作，识别道路积尘高值路段，提供精准科学保扫方案，划分重点管控区域、重点路段，明确道路保洁作业路线、作业模式和作业时间，进一步提升城市管理水平，切实改善道路扬尘污染。</w:t>
            </w:r>
          </w:p>
          <w:p>
            <w:pPr>
              <w:pStyle w:val="null3"/>
              <w:jc w:val="both"/>
            </w:pPr>
            <w:r>
              <w:rPr>
                <w:rFonts w:ascii="仿宋_GB2312" w:hAnsi="仿宋_GB2312" w:cs="仿宋_GB2312" w:eastAsia="仿宋_GB2312"/>
                <w:sz w:val="21"/>
              </w:rPr>
              <w:t>4.5.2PM2.5</w:t>
            </w:r>
            <w:r>
              <w:rPr>
                <w:rFonts w:ascii="仿宋_GB2312" w:hAnsi="仿宋_GB2312" w:cs="仿宋_GB2312" w:eastAsia="仿宋_GB2312"/>
                <w:sz w:val="21"/>
              </w:rPr>
              <w:t>在线组分解析服务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通过集成在线式大气重金属分析仪、大气水溶性离子成分分析仪、大气碳质组分分析仪及在线源解析模型的细颗粒物组分监测车，针对铜川市重点区域、高值区域开展定点监测工作，估算各类排放源对</w:t>
            </w:r>
            <w:r>
              <w:rPr>
                <w:rFonts w:ascii="仿宋_GB2312" w:hAnsi="仿宋_GB2312" w:cs="仿宋_GB2312" w:eastAsia="仿宋_GB2312"/>
                <w:sz w:val="21"/>
              </w:rPr>
              <w:t>PM2.5</w:t>
            </w:r>
            <w:r>
              <w:rPr>
                <w:rFonts w:ascii="仿宋_GB2312" w:hAnsi="仿宋_GB2312" w:cs="仿宋_GB2312" w:eastAsia="仿宋_GB2312"/>
                <w:sz w:val="21"/>
              </w:rPr>
              <w:t>贡献占比，为铜川市大气污染精准治理和空气质量精细化管理以及重污染应急、治理成效评估提供基础数据和技术支撑。</w:t>
            </w:r>
          </w:p>
          <w:p>
            <w:pPr>
              <w:pStyle w:val="null3"/>
              <w:jc w:val="both"/>
            </w:pPr>
            <w:r>
              <w:rPr>
                <w:rFonts w:ascii="仿宋_GB2312" w:hAnsi="仿宋_GB2312" w:cs="仿宋_GB2312" w:eastAsia="仿宋_GB2312"/>
                <w:sz w:val="21"/>
              </w:rPr>
              <w:t>4.5.3</w:t>
            </w:r>
            <w:r>
              <w:rPr>
                <w:rFonts w:ascii="仿宋_GB2312" w:hAnsi="仿宋_GB2312" w:cs="仿宋_GB2312" w:eastAsia="仿宋_GB2312"/>
                <w:sz w:val="21"/>
              </w:rPr>
              <w:t>模型量化区域重点源污染贡献分析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扩散模型定量模拟重点污染源贡献：利用扩散模型针对重点涉气污染排放源，综合利用排放口各类信息、排放浓度变化和气象数据进行污染贡献模拟，理清本地贡献和跨区域传输贡献。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针对铜川市本地重点工业企业点源的基本情况，构建工业源排放源强、地面气象场景、地理地形等数据库，利用模型评估火电、水泥熟料高架源对城区和环境空气质量监测站点的影响，评估其污染贡献及不同场景下点源排放影响范围和程度。</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总结轻微污染天气抢良工作模式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技术团队结合往期污染边缘天气的气象形势、站点臭氧浓度变化和气流传输轨迹，识别重点管控面源和点源；结合省、市、技术团队空气质量预测预报结果，针对可能出现的轻微污染天气，针对不同首要污染物制定相应的减排管控方案，提前发布强化</w:t>
            </w:r>
            <w:r>
              <w:rPr>
                <w:rFonts w:ascii="仿宋_GB2312" w:hAnsi="仿宋_GB2312" w:cs="仿宋_GB2312" w:eastAsia="仿宋_GB2312"/>
                <w:sz w:val="21"/>
              </w:rPr>
              <w:t>/</w:t>
            </w:r>
            <w:r>
              <w:rPr>
                <w:rFonts w:ascii="仿宋_GB2312" w:hAnsi="仿宋_GB2312" w:cs="仿宋_GB2312" w:eastAsia="仿宋_GB2312"/>
                <w:sz w:val="21"/>
              </w:rPr>
              <w:t>加严</w:t>
            </w:r>
            <w:r>
              <w:rPr>
                <w:rFonts w:ascii="仿宋_GB2312" w:hAnsi="仿宋_GB2312" w:cs="仿宋_GB2312" w:eastAsia="仿宋_GB2312"/>
                <w:sz w:val="21"/>
              </w:rPr>
              <w:t>/</w:t>
            </w:r>
            <w:r>
              <w:rPr>
                <w:rFonts w:ascii="仿宋_GB2312" w:hAnsi="仿宋_GB2312" w:cs="仿宋_GB2312" w:eastAsia="仿宋_GB2312"/>
                <w:sz w:val="21"/>
              </w:rPr>
              <w:t>应急管控措施，综合利用走航</w:t>
            </w:r>
            <w:r>
              <w:rPr>
                <w:rFonts w:ascii="仿宋_GB2312" w:hAnsi="仿宋_GB2312" w:cs="仿宋_GB2312" w:eastAsia="仿宋_GB2312"/>
                <w:sz w:val="21"/>
              </w:rPr>
              <w:t>/</w:t>
            </w:r>
            <w:r>
              <w:rPr>
                <w:rFonts w:ascii="仿宋_GB2312" w:hAnsi="仿宋_GB2312" w:cs="仿宋_GB2312" w:eastAsia="仿宋_GB2312"/>
                <w:sz w:val="21"/>
              </w:rPr>
              <w:t>定点</w:t>
            </w:r>
            <w:r>
              <w:rPr>
                <w:rFonts w:ascii="仿宋_GB2312" w:hAnsi="仿宋_GB2312" w:cs="仿宋_GB2312" w:eastAsia="仿宋_GB2312"/>
                <w:sz w:val="21"/>
              </w:rPr>
              <w:t>/</w:t>
            </w:r>
            <w:r>
              <w:rPr>
                <w:rFonts w:ascii="仿宋_GB2312" w:hAnsi="仿宋_GB2312" w:cs="仿宋_GB2312" w:eastAsia="仿宋_GB2312"/>
                <w:sz w:val="21"/>
              </w:rPr>
              <w:t>现场溯源等综合手段，要求企业认真落实好污染防治主体责任的情况下，减少重点区域点、面源影响，并基于历史工作情况动态总结出有效管控条例措施。</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高值区域“一对一”专项帮扶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合各区县实际情况，针对重点区域内存在的突出问题（如指标偏高等问题）开展“一对一”专项帮扶，集中现有的人力和科技装备，深入现场，从时间和空间多维度进行分析溯源，并基于分析溯源结果制定“一站一策”管控方案。</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专家会服务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邀请资深行业专家，与铜川市政府及大气环境管理部门联合组织大气污染防控研讨会，双方利用研讨工作模式进行深入的交流。专家就铜川市目前存在的突出问题，就一体推进产业、能源、城市供热、交通运输等结构调整，强化科技支撑，统筹推动减污降碳协同增效等工作提出合理的针对性建议，重点解决制约空气质量改善结构性、根源性问题，为铜川市大气污染防治工作建言献策。</w:t>
            </w:r>
          </w:p>
          <w:p>
            <w:pPr>
              <w:pStyle w:val="null3"/>
              <w:jc w:val="both"/>
            </w:pPr>
            <w:r>
              <w:rPr>
                <w:rFonts w:ascii="仿宋_GB2312" w:hAnsi="仿宋_GB2312" w:cs="仿宋_GB2312" w:eastAsia="仿宋_GB2312"/>
                <w:sz w:val="21"/>
              </w:rPr>
              <w:t>五、项目实施期限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项目实施期限为一年。</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达到国家及行业规定、以及采购人要求的合格标准。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进度款，合同，达到付款条件起20个工作日内，支付合同总金额的45.0%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进度款，项目投运实施6个月后，达到付款条件起15个工作日内，支付合同总金额的35.0%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进度款，项目完成验收后，达到付款条件起15个工作日内，支付合同总金额的20.0%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1.乙方不履行合同或履行该合同不符合合同任何一项约定，应向甲方支付合同总额10%的违约金，且在乙方改正之前甲方有权停止支付后续合同款项。 2.乙方给甲方造成的实际损失高于违约金的，对高出违约金的部分乙方应予以继续赔偿。 3.乙方应按合同约定时间保质保量交付其服务工作内容，每迟交一天，按合同总金额的千分之五支付违约金，逾期超过30日，甲方有权解除合同，乙方应向甲方承担合同总价款10%的违约金并赔偿由此给甲方造成的一切损失。乙方若出现违约行为，每次应按合同总金额千分之五支付违约金。 4.乙方迟延履行合同、不完全履行合同，除支付本条第1款中的违约金外，乙方仍应按甲方要求继续实际履行合同:不履行或履行合同不符合合同任何一项约定，甲方均有权选择解除合同并就乙方违约给甲方造成的损失及违约金向乙方索赔。本合同中约定的违约金及实际损失，甲方有权从乙方的合同款中直接扣除。 5.其它未尽事宜，以《中华人民共和国民法典》和其它有关法律、法规规定为准，无相关规定的，双方协商解决。 6.本合同项下，乙方违约金或损失赔偿，甲方均有权从合同总价款中直接扣除，乙方对此无异议。 7.守约方为实现本合同项下的合法权益所支出的相关费用等由违约方承担。 争议的解决方式 1.在解释或者执行本合同的过程中出现疑问或发生争议时，双方应通过协商方式解决。 2.经协商不能解决的争议，可向甲方所在地有管辖权的人民法院提起诉讼。 3.除有争议部分外,本合同其他部分应按合同条款继续履行。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供应商必须按照磋商⽂件的规定和要求在响应⽂件中指定的⻚⾯落款处加盖公章或由法定代表⼈或授权⼈签名（或盖章），其余⻚⾯逐⻚盖公章，否则将作为⽆效响应⽂件处理。招标⽂件凡是要求法定代表⼈签名或盖章之处，⾮法⼈单位的负责⼈参照执⾏。</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法定代表人身份证明书.docx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响应⽂件所有报价未超过采购限额。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 服务方案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应满⾜磋商⽂件中规定的90天。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一、评审因素 根据响应文件中提供的服务方案进行评审，包括但不限于以下内容①工作目标及思路；②工作原则；③技术路线；④工作步骤与计划；⑤主要工作内容；⑥关键点及难点分析等。 二、评审标准:⽅案各部分内容全⾯详细、阐述条理清晰详尽、符合本项⽬采购需求得12分;评审内容每缺⼀项扣2分；评审内容有⼀处缺陷（缺陷是指：内容粗略、逻辑混乱、描述过于简单、 与项⽬特点不匹配、凭空编造、逻辑漏洞、出现常识性错误、存在不适⽤项⽬实际情况的情形或只有标题没有实质性内容等）扣1分，扣完为止。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一、评审因素 根据响应文件中提供的工作进度安排进行评审，包括但不限于①总体框架；②阶段性任务安排；③计划及进度安排；④保障措施。二、评审标准:⽅案各部分内容全⾯详细、阐述条理清晰详尽、符合本项⽬采购需求得8分;评审内容每缺⼀项扣2分；评审内容有⼀处缺陷（缺陷是指：内容粗略、逻辑混乱、描述过于简单、与项⽬特点不匹配、凭空编造、逻辑漏洞、出现常识性错误、存在不适⽤项⽬实际情况的情形或只有标题没有实质性内容等）扣1分 ，扣完为⽌。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一、评审因素根据响应文件中提供的质量保障措施及应急预案进行评审，包括但不限于①项目质量保障措施②项目实施中存在的重大问题而提出的应急解决方案等。 二、评审标准:⽅案各部分内容全⾯详细、阐述条理清晰详尽、符合本项⽬采购需求得6分;评审内容每缺⼀项扣3分；评审内容有⼀处缺陷（缺陷是指：内容粗略、逻辑混乱、描述过于简单、与项⽬特点不匹配、凭空编造、逻辑漏洞、出现常识性错误、存在不适⽤项⽬实际情况的情形或只有标题没有实质性内容等）扣1分 ，扣完为⽌。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一、评审因素根据响应文件中提供的服务承诺进行评审，包括但不限于①服务及时响应的承诺；②项目质量保证的承诺；③后续协调及服务的承诺；④特殊情形问题处理的承诺等。 二、评审标准:⽅案各部分内容全⾯详细、阐述条理清晰详尽、符合本项⽬采购需求得8分;评审内容每缺⼀项扣2分；评审内容有⼀处缺陷（缺陷是指：内容粗略、逻辑混乱、描述过于简单、与项⽬特点不匹配、凭空编造、逻辑漏洞、出现常识性错误、存在不适⽤项⽬实际情况的情形或只有标题没有实质性内容等）扣1分，扣完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一、评审因素根据响应文件中提供的项目团队配置进行评审，包括但不限于①针对本项目的服务团队，架构完善，分工明确；②人员岗位分工及职责任务（具体的项目组成员名单等）；③组织架构保障措施等。 二、评审标准:⽅案各部分内容全⾯详细、阐述条理清晰详尽、符合本项⽬采购需求得6分;评审内容每缺⼀项扣2分；评审内容有⼀处缺陷（缺陷是指： 内容粗略、逻辑混乱、描述过于简单、与项⽬特点不匹配、凭空编造、逻辑漏洞、出现常识性错误、存在不适⽤项⽬实际情况的情形或只有标题没有实质性内容等）扣1分 ，扣完为⽌。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项目负责人职称（学位)</w:t>
            </w:r>
          </w:p>
        </w:tc>
        <w:tc>
          <w:tcPr>
            <w:tcW w:type="dxa" w:w="2492"/>
          </w:tcPr>
          <w:p>
            <w:pPr>
              <w:pStyle w:val="null3"/>
            </w:pPr>
            <w:r>
              <w:rPr>
                <w:rFonts w:ascii="仿宋_GB2312" w:hAnsi="仿宋_GB2312" w:cs="仿宋_GB2312" w:eastAsia="仿宋_GB2312"/>
              </w:rPr>
              <w:t>项目负责人具有环境、化学等相关专业高级及以上职称或博士学位的得5分；具有环境、化学等相关专业中级职称或硕士学位的得2分，其余不得分。（以磋商响应文件中项目负责人身份证、职称证书或学位证明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曾参加具有大气污染防治研究等相关或类似项目研究的得5分，不提供不得分。以供应商拟派项目负责人业绩证明（包括体现项目负责人姓名的合同或成果文件或验收报告或甲方出具盖公章的其他证明资料等）扫描件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供应商配备人员（不包括项目负责人）具有高级及以上职称证书得，每提供1人得3分，最高12分；具有中级职称证书的，每提供1人得1.5分,满分3分。其他不得分。 （以磋商响应文件中项目组配备技术人员身份证、职称证书等相关证明资料扫描件为准，未提供不得分）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年（2023年1月1日至今，以签订合同时间为准）具有大气污染防治研究等相关或类似项目，每提供一个得3分，最高得15分。以磋商响应文件中合同或合同关键页（必须含项目名称、签订内容、签订时间、盖章签字页等信息）扫描件为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效供应商的（落实政府采购政策进行价格调整的，以调整后的价格计算）最终报价的最低值为基准价得满分，其他各供应商的最终报价得分按下列公式计算：（基准价/最终报价）×分值。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