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版本号：SXGLZFCG-2026-2320260805001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铜川市印台区精神障碍社区康复服务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SXGLZFCG-2026-23</w:t>
      </w:r>
      <w:r>
        <w:br/>
      </w:r>
      <w:r>
        <w:br/>
      </w:r>
      <w:r>
        <w:br/>
      </w:r>
    </w:p>
    <w:p>
      <w:pPr>
        <w:pStyle w:val="null3"/>
        <w:jc w:val="center"/>
        <w:outlineLvl w:val="2"/>
      </w:pPr>
      <w:r>
        <w:rPr>
          <w:rFonts w:ascii="仿宋_GB2312" w:hAnsi="仿宋_GB2312" w:cs="仿宋_GB2312" w:eastAsia="仿宋_GB2312"/>
          <w:sz w:val="28"/>
          <w:b/>
        </w:rPr>
        <w:t>铜川市印台区民政局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铜川市印台区民政局</w:t>
      </w:r>
      <w:r>
        <w:rPr>
          <w:rFonts w:ascii="仿宋_GB2312" w:hAnsi="仿宋_GB2312" w:cs="仿宋_GB2312" w:eastAsia="仿宋_GB2312"/>
        </w:rPr>
        <w:t>委托，拟对</w:t>
      </w:r>
      <w:r>
        <w:rPr>
          <w:rFonts w:ascii="仿宋_GB2312" w:hAnsi="仿宋_GB2312" w:cs="仿宋_GB2312" w:eastAsia="仿宋_GB2312"/>
        </w:rPr>
        <w:t>铜川市印台区精神障碍社区康复服务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铜川市印台区精神障碍社区康复服务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印台区民政局关于精神障碍社区康复服务实施方案》（以下简称《实施方案》），为辖区内符合条件的严重精神障碍患者及其家庭提供系统化、专业化的社区康复服务。帮助严重精神障碍患者恢复生活自理能力和社会适应能力，改善和提高其生活质量，促进患者回归和融入社会，营造理解、尊重、接纳、帮扶的社会友好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或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铜川市印台区停车场2楼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13992902079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马新生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13359195803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铜川市印台区民政局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服务成果知识产权归属：本项目实施过程中所形成的全部服务成果（包括但不限于服务方案、需求调研报告、服务档案、个案记录、小组活动资料、康复评估报告、结项报告、培训课件、宣传材料等）的知识产权（包括著作权、专利申请权等）归采购人所有。供应商为履行本合同所开发或提供的任何与服务项目相关的文档、资料，均应按照本款约定确定权利归属。 （2）供应商背景知识产权：供应商在本项目签订前已拥有的、独立于本项目之外的自有知识产权（如既有的评估量表、培训课程体系等），其所有权仍归供应商所有。但供应商应授予采购人针对本项目交付成果的永久性、免费、不可撤销的使用权，以确保采购人能够持续使用和推广项目成果。 （3）保密义务与资料管理：涉及服务对象个人信息、健康状况、家庭情况等专业服务资料，双方应依据《中华人民共和国精神卫生法》及相关保密制度严格保密。未经双方书面同意，任何一方不得将上述资料提供给其他第三方使用。项目结束后，供应商应将与本项目有关的服务资料移交采购人保管；涉及服务对象个案、小组服务记录等过程性资料，采购人可随时依据保密制度流程进行查阅，供应商不得无理由拒绝。 （4）第三方知识产权担保：供应商应保证本项目所提供的服务内容及其任何一部分均不会侵犯任何第三方的专利权、商标权、著作权或其他知识产权。如因第三方提出知识产权侵权之诉，一切法律责任由供应商承担；如采购人因此对外承担赔偿责任，采购人有权向供应商全额追偿。 （5）长期有效：本条款中的保密义务、知识产权归属约定在合同终止、无效或被撤销后继续有效。</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按照政府采购相关规定及签订合同为准。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联系人：傅兆麟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地址：陕西省铜川市新区朝阳路鸿翔逸境1号楼1-4层商业区三楼304室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辖区内符合条件的严重精神障碍患者及其家庭提供系统化、专业化的社区康复服务。帮助严重精神障碍患者恢复生活自理能力和社会适应能力，改善和提高其生活质量，促进患者回归和融入社会，营造理解、尊重、接纳、帮扶的社会友好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铜川市印台区精神障碍社区康复服务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标的名称：铜川市印台区精神障碍社区康复服务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依据《</w:t>
            </w:r>
            <w:r>
              <w:rPr>
                <w:rFonts w:ascii="仿宋_GB2312" w:hAnsi="仿宋_GB2312" w:cs="仿宋_GB2312" w:eastAsia="仿宋_GB2312"/>
                <w:sz w:val="28"/>
              </w:rPr>
              <w:t>印台</w:t>
            </w:r>
            <w:r>
              <w:rPr>
                <w:rFonts w:ascii="仿宋_GB2312" w:hAnsi="仿宋_GB2312" w:cs="仿宋_GB2312" w:eastAsia="仿宋_GB2312"/>
                <w:sz w:val="28"/>
              </w:rPr>
              <w:t>区民政局关于精神障碍社区康复服务实施方案》（以下简称《实施方案》），为辖区内符合条件的严重精神障碍患者及其家庭提供系统化、专业化的社区康复服务。帮助严重精神障碍患者恢复生活自理能力和社会适应能力，改善和提高其生活质量，促进患者回归和融入社会，营造理解、尊重、接纳、帮扶的社会友好环境</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服务对象与筛选确认机制</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服务对象来源：中标供应商须严格依据采购单位协调各镇（街道）摸排登记后统一提供的《服务对象信息台账》开展工作。服务对象不限定是否持证残疾人，不限定家庭经济状况，实行自愿申请原则。</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准入评估与确认：</w:t>
            </w:r>
          </w:p>
          <w:p>
            <w:pPr>
              <w:pStyle w:val="null3"/>
              <w:ind w:firstLine="560"/>
              <w:jc w:val="both"/>
            </w:pPr>
            <w:r>
              <w:rPr>
                <w:rFonts w:ascii="仿宋_GB2312" w:hAnsi="仿宋_GB2312" w:cs="仿宋_GB2312" w:eastAsia="仿宋_GB2312"/>
                <w:sz w:val="28"/>
              </w:rPr>
              <w:t>评估内容：对《台账》内人员进行一对一专业评估，判断其是否处于非急性期且适合接受社区康复服务。评估须使用标准化专业工具（如社会功能缺陷筛选量表</w:t>
            </w:r>
            <w:r>
              <w:rPr>
                <w:rFonts w:ascii="仿宋_GB2312" w:hAnsi="仿宋_GB2312" w:cs="仿宋_GB2312" w:eastAsia="仿宋_GB2312"/>
                <w:sz w:val="28"/>
              </w:rPr>
              <w:t>SDSS等），评估内容包括生理、心理、社会功能等方面。</w:t>
            </w:r>
          </w:p>
          <w:p>
            <w:pPr>
              <w:pStyle w:val="null3"/>
              <w:ind w:firstLine="560"/>
              <w:jc w:val="both"/>
            </w:pPr>
            <w:r>
              <w:rPr>
                <w:rFonts w:ascii="仿宋_GB2312" w:hAnsi="仿宋_GB2312" w:cs="仿宋_GB2312" w:eastAsia="仿宋_GB2312"/>
                <w:sz w:val="28"/>
              </w:rPr>
              <w:t>最终名单确认：根据评估结果，筛选出适合并自愿接受服务的对象，建立最终《康复服务对象确认名单》</w:t>
            </w:r>
          </w:p>
          <w:p>
            <w:pPr>
              <w:pStyle w:val="null3"/>
              <w:ind w:firstLine="562"/>
              <w:jc w:val="both"/>
            </w:pPr>
            <w:r>
              <w:rPr>
                <w:rFonts w:ascii="仿宋_GB2312" w:hAnsi="仿宋_GB2312" w:cs="仿宋_GB2312" w:eastAsia="仿宋_GB2312"/>
                <w:sz w:val="28"/>
                <w:b/>
              </w:rPr>
              <w:t>三、服务内容</w:t>
            </w:r>
          </w:p>
          <w:p>
            <w:pPr>
              <w:pStyle w:val="null3"/>
              <w:ind w:firstLine="562"/>
              <w:jc w:val="both"/>
            </w:pPr>
            <w:r>
              <w:rPr>
                <w:rFonts w:ascii="仿宋_GB2312" w:hAnsi="仿宋_GB2312" w:cs="仿宋_GB2312" w:eastAsia="仿宋_GB2312"/>
                <w:sz w:val="28"/>
                <w:b/>
              </w:rPr>
              <w:t>（一）</w:t>
            </w:r>
            <w:r>
              <w:rPr>
                <w:rFonts w:ascii="仿宋_GB2312" w:hAnsi="仿宋_GB2312" w:cs="仿宋_GB2312" w:eastAsia="仿宋_GB2312"/>
                <w:sz w:val="28"/>
                <w:b/>
              </w:rPr>
              <w:t>康复训练服务</w:t>
            </w:r>
            <w:r>
              <w:rPr>
                <w:rFonts w:ascii="仿宋_GB2312" w:hAnsi="仿宋_GB2312" w:cs="仿宋_GB2312" w:eastAsia="仿宋_GB2312"/>
                <w:sz w:val="28"/>
                <w:b/>
              </w:rPr>
              <w:t>：</w:t>
            </w:r>
            <w:r>
              <w:rPr>
                <w:rFonts w:ascii="仿宋_GB2312" w:hAnsi="仿宋_GB2312" w:cs="仿宋_GB2312" w:eastAsia="仿宋_GB2312"/>
                <w:sz w:val="28"/>
              </w:rPr>
              <w:t>为康复对象提供系统化、个性化康复训练服务，主要包括</w:t>
            </w:r>
            <w:r>
              <w:rPr>
                <w:rFonts w:ascii="仿宋_GB2312" w:hAnsi="仿宋_GB2312" w:cs="仿宋_GB2312" w:eastAsia="仿宋_GB2312"/>
                <w:sz w:val="28"/>
              </w:rPr>
              <w:t>:服药训练，指导患者正确认识药物、规律服药;预防复发训练，帮助识别复发征兆、掌握应对策略;躯体管理训练，开展适宜体育锻炼，改善身体机能;生活技能训练，培养日常生活自理能力;社交能力训练，改善沟通技巧，建立良好人际关系，增强自信心;心理康复，提供心理疏导与情绪调适服务;同伴支持，搭建患者互助交流平台;日间照料，为有需求的患者提供日间照护服务。通过多维度康复训练，帮助患者逐步恢复社会功能，提升生活质量，顺利融入社会。</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辅助性支持服务</w:t>
            </w:r>
            <w:r>
              <w:rPr>
                <w:rFonts w:ascii="仿宋_GB2312" w:hAnsi="仿宋_GB2312" w:cs="仿宋_GB2312" w:eastAsia="仿宋_GB2312"/>
                <w:sz w:val="28"/>
              </w:rPr>
              <w:t>：</w:t>
            </w:r>
            <w:r>
              <w:rPr>
                <w:rFonts w:ascii="仿宋_GB2312" w:hAnsi="仿宋_GB2312" w:cs="仿宋_GB2312" w:eastAsia="仿宋_GB2312"/>
                <w:sz w:val="28"/>
              </w:rPr>
              <w:t>一是对患者家庭的支持。提供社会救助、社会福利政策及专业康复资源链接服务，帮助家庭了解精神障碍康复知识。开展家庭照料技能培训，提供家庭喘息服务，举办精神障碍患者监护陪伴、照护知识讲座及家属支持小组活动，教授家属专业照护方法。实施家庭支持计划，建立患者家庭同伴支持网络，疏导家属心理情绪，缓解照护压力，提高家庭照护水平和居家康复效果，有效减少</w:t>
            </w:r>
            <w:r>
              <w:rPr>
                <w:rFonts w:ascii="仿宋_GB2312" w:hAnsi="仿宋_GB2312" w:cs="仿宋_GB2312" w:eastAsia="仿宋_GB2312"/>
                <w:sz w:val="28"/>
              </w:rPr>
              <w:t>“治疗一缓解一反复”的旋转门现象。二是对村(社区)的支持。强化基层工作人员业务培训，重点提升精神障碍患者症状识别、评估鉴别、应急处置、报告转介、上门服务、风险评估与自我保护等能力。开展精神卫生法律法规和政策宣传，加强精神障碍、抑郁症、孤独症(自闭症)等知识普及，号召全社会共同关注、关心、关爱精神障碍患者，营造理解、尊重、接纳、帮扶患者及其家庭的社会氛围。组织开展系列社区融合活动，鼓励引导社区普通居民与康复对象及其家属共同参与，创建精神障碍社区康复友好环境。</w:t>
            </w:r>
          </w:p>
          <w:p>
            <w:pPr>
              <w:pStyle w:val="null3"/>
              <w:ind w:firstLine="562"/>
              <w:jc w:val="both"/>
            </w:pPr>
            <w:r>
              <w:rPr>
                <w:rFonts w:ascii="仿宋_GB2312" w:hAnsi="仿宋_GB2312" w:cs="仿宋_GB2312" w:eastAsia="仿宋_GB2312"/>
                <w:sz w:val="28"/>
                <w:b/>
              </w:rPr>
              <w:t>四、服务人数及服务期要求</w:t>
            </w:r>
          </w:p>
          <w:p>
            <w:pPr>
              <w:pStyle w:val="null3"/>
              <w:ind w:firstLine="560"/>
              <w:jc w:val="both"/>
            </w:pPr>
            <w:r>
              <w:rPr>
                <w:rFonts w:ascii="仿宋_GB2312" w:hAnsi="仿宋_GB2312" w:cs="仿宋_GB2312" w:eastAsia="仿宋_GB2312"/>
                <w:sz w:val="28"/>
              </w:rPr>
              <w:t>（一）服务人</w:t>
            </w:r>
            <w:r>
              <w:rPr>
                <w:rFonts w:ascii="仿宋_GB2312" w:hAnsi="仿宋_GB2312" w:cs="仿宋_GB2312" w:eastAsia="仿宋_GB2312"/>
                <w:sz w:val="28"/>
              </w:rPr>
              <w:t>数及要求</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在服务期内，基础服务与入户服务中标供应商须对采购单位协调各镇（街道）摸排登记后统一提供的《服务对象信息台账》中所列全部人员，逐一提供服务，实现服务对象全覆盖</w:t>
            </w:r>
            <w:r>
              <w:rPr>
                <w:rFonts w:ascii="仿宋_GB2312" w:hAnsi="仿宋_GB2312" w:cs="仿宋_GB2312" w:eastAsia="仿宋_GB2312"/>
                <w:sz w:val="28"/>
              </w:rPr>
              <w:t>；</w:t>
            </w:r>
            <w:r>
              <w:rPr>
                <w:rFonts w:ascii="仿宋_GB2312" w:hAnsi="仿宋_GB2312" w:cs="仿宋_GB2312" w:eastAsia="仿宋_GB2312"/>
                <w:sz w:val="28"/>
              </w:rPr>
              <w:t>康复训练</w:t>
            </w:r>
            <w:r>
              <w:rPr>
                <w:rFonts w:ascii="仿宋_GB2312" w:hAnsi="仿宋_GB2312" w:cs="仿宋_GB2312" w:eastAsia="仿宋_GB2312"/>
                <w:sz w:val="28"/>
              </w:rPr>
              <w:t>经评估筛选出适合且自愿参加的康复对象，提供系统化康复训练，总数不少于</w:t>
            </w:r>
            <w:r>
              <w:rPr>
                <w:rFonts w:ascii="仿宋_GB2312" w:hAnsi="仿宋_GB2312" w:cs="仿宋_GB2312" w:eastAsia="仿宋_GB2312"/>
                <w:sz w:val="28"/>
              </w:rPr>
              <w:t>50人</w:t>
            </w:r>
            <w:r>
              <w:rPr>
                <w:rFonts w:ascii="仿宋_GB2312" w:hAnsi="仿宋_GB2312" w:cs="仿宋_GB2312" w:eastAsia="仿宋_GB2312"/>
                <w:sz w:val="28"/>
              </w:rPr>
              <w:t>；同时，面向社区工作人员开展不少于</w:t>
            </w:r>
            <w:r>
              <w:rPr>
                <w:rFonts w:ascii="仿宋_GB2312" w:hAnsi="仿宋_GB2312" w:cs="仿宋_GB2312" w:eastAsia="仿宋_GB2312"/>
                <w:sz w:val="28"/>
              </w:rPr>
              <w:t>2次专题培训，面向患者及家属在服务期内组织不少于24次培训，</w:t>
            </w:r>
            <w:r>
              <w:rPr>
                <w:rFonts w:ascii="仿宋_GB2312" w:hAnsi="仿宋_GB2312" w:cs="仿宋_GB2312" w:eastAsia="仿宋_GB2312"/>
                <w:sz w:val="28"/>
              </w:rPr>
              <w:t>培训人数需满足采购方要求。</w:t>
            </w:r>
            <w:r>
              <w:rPr>
                <w:rFonts w:ascii="仿宋_GB2312" w:hAnsi="仿宋_GB2312" w:cs="仿宋_GB2312" w:eastAsia="仿宋_GB2312"/>
                <w:sz w:val="28"/>
              </w:rPr>
              <w:t>单次培训人数不作硬性规定，可结合印台区地域特点，灵活采取集中授课或分散指导相结合的方式，切实保障培训的覆盖面和实际成效。</w:t>
            </w:r>
          </w:p>
          <w:p>
            <w:pPr>
              <w:pStyle w:val="null3"/>
              <w:ind w:firstLine="560"/>
              <w:jc w:val="both"/>
            </w:pPr>
            <w:r>
              <w:rPr>
                <w:rFonts w:ascii="仿宋_GB2312" w:hAnsi="仿宋_GB2312" w:cs="仿宋_GB2312" w:eastAsia="仿宋_GB2312"/>
                <w:sz w:val="28"/>
              </w:rPr>
              <w:t>2、供应商须为每名服务对象建立独立完整的康复服务档案，档案内容满足采购方要求。</w:t>
            </w:r>
          </w:p>
          <w:p>
            <w:pPr>
              <w:pStyle w:val="null3"/>
              <w:ind w:firstLine="560"/>
              <w:jc w:val="both"/>
            </w:pPr>
            <w:r>
              <w:rPr>
                <w:rFonts w:ascii="仿宋_GB2312" w:hAnsi="仿宋_GB2312" w:cs="仿宋_GB2312" w:eastAsia="仿宋_GB2312"/>
                <w:sz w:val="28"/>
              </w:rPr>
              <w:t>（二）服务期：自合同签订之日起</w:t>
            </w:r>
            <w:r>
              <w:rPr>
                <w:rFonts w:ascii="仿宋_GB2312" w:hAnsi="仿宋_GB2312" w:cs="仿宋_GB2312" w:eastAsia="仿宋_GB2312"/>
                <w:sz w:val="28"/>
              </w:rPr>
              <w:t>半</w:t>
            </w:r>
            <w:r>
              <w:rPr>
                <w:rFonts w:ascii="仿宋_GB2312" w:hAnsi="仿宋_GB2312" w:cs="仿宋_GB2312" w:eastAsia="仿宋_GB2312"/>
                <w:sz w:val="28"/>
              </w:rPr>
              <w:t>年。</w:t>
            </w:r>
          </w:p>
          <w:p>
            <w:pPr>
              <w:pStyle w:val="null3"/>
              <w:ind w:firstLine="562"/>
              <w:jc w:val="both"/>
            </w:pPr>
            <w:r>
              <w:rPr>
                <w:rFonts w:ascii="仿宋_GB2312" w:hAnsi="仿宋_GB2312" w:cs="仿宋_GB2312" w:eastAsia="仿宋_GB2312"/>
                <w:sz w:val="28"/>
                <w:b/>
              </w:rPr>
              <w:t>五、服务标准要求</w:t>
            </w:r>
          </w:p>
          <w:tbl>
            <w:tblPr>
              <w:tblInd w:type="dxa" w:w="120"/>
              <w:tblBorders>
                <w:top w:val="none" w:color="000000" w:sz="4"/>
                <w:left w:val="none" w:color="000000" w:sz="4"/>
                <w:bottom w:val="none" w:color="000000" w:sz="4"/>
                <w:right w:val="none" w:color="000000" w:sz="4"/>
                <w:insideH w:val="none"/>
                <w:insideV w:val="none"/>
              </w:tblBorders>
            </w:tblPr>
            <w:tblGrid>
              <w:gridCol w:w="235"/>
              <w:gridCol w:w="474"/>
              <w:gridCol w:w="1034"/>
              <w:gridCol w:w="799"/>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w:t>
                  </w:r>
                </w:p>
                <w:p>
                  <w:pPr>
                    <w:pStyle w:val="null3"/>
                    <w:jc w:val="center"/>
                  </w:pPr>
                  <w:r>
                    <w:rPr>
                      <w:rFonts w:ascii="仿宋_GB2312" w:hAnsi="仿宋_GB2312" w:cs="仿宋_GB2312" w:eastAsia="仿宋_GB2312"/>
                      <w:sz w:val="28"/>
                    </w:rPr>
                    <w:t>类别</w:t>
                  </w:r>
                </w:p>
              </w:tc>
              <w:tc>
                <w:tcPr>
                  <w:tcW w:type="dxa" w:w="1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服务内容</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参考时长</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w:t>
                  </w:r>
                </w:p>
                <w:p>
                  <w:pPr>
                    <w:pStyle w:val="null3"/>
                    <w:jc w:val="center"/>
                  </w:pPr>
                  <w:r>
                    <w:rPr>
                      <w:rFonts w:ascii="仿宋_GB2312" w:hAnsi="仿宋_GB2312" w:cs="仿宋_GB2312" w:eastAsia="仿宋_GB2312"/>
                      <w:sz w:val="28"/>
                    </w:rPr>
                    <w:t>服务</w:t>
                  </w:r>
                </w:p>
                <w:p>
                  <w:pPr>
                    <w:pStyle w:val="null3"/>
                    <w:jc w:val="center"/>
                  </w:pP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对意愿患者进行</w:t>
                  </w:r>
                  <w:r>
                    <w:rPr>
                      <w:rFonts w:ascii="仿宋_GB2312" w:hAnsi="仿宋_GB2312" w:cs="仿宋_GB2312" w:eastAsia="仿宋_GB2312"/>
                      <w:sz w:val="28"/>
                    </w:rPr>
                    <w:t>“登记建档”及“基线评估”；对服务患者开展“过程评估”</w:t>
                  </w:r>
                  <w:r>
                    <w:rPr>
                      <w:rFonts w:ascii="仿宋_GB2312" w:hAnsi="仿宋_GB2312" w:cs="仿宋_GB2312" w:eastAsia="仿宋_GB2312"/>
                      <w:sz w:val="28"/>
                    </w:rPr>
                    <w:t>等</w:t>
                  </w:r>
                  <w:r>
                    <w:rPr>
                      <w:rFonts w:ascii="仿宋_GB2312" w:hAnsi="仿宋_GB2312" w:cs="仿宋_GB2312" w:eastAsia="仿宋_GB2312"/>
                      <w:sz w:val="28"/>
                    </w:rPr>
                    <w: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 小时/次</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康复</w:t>
                  </w:r>
                </w:p>
                <w:p>
                  <w:pPr>
                    <w:pStyle w:val="null3"/>
                    <w:jc w:val="center"/>
                  </w:pPr>
                  <w:r>
                    <w:rPr>
                      <w:rFonts w:ascii="仿宋_GB2312" w:hAnsi="仿宋_GB2312" w:cs="仿宋_GB2312" w:eastAsia="仿宋_GB2312"/>
                      <w:sz w:val="28"/>
                    </w:rPr>
                    <w:t>训练</w:t>
                  </w:r>
                </w:p>
                <w:p>
                  <w:pPr>
                    <w:pStyle w:val="null3"/>
                    <w:jc w:val="center"/>
                  </w:pP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对患者开展服药训练、躯体管理训练、生活技能训练、社交技能训练、同伴支持、职业康复训练、心理治疗等</w:t>
                  </w:r>
                </w:p>
                <w:p>
                  <w:pPr>
                    <w:pStyle w:val="null3"/>
                    <w:jc w:val="center"/>
                  </w:p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训练活动</w:t>
                  </w:r>
                  <w:r>
                    <w:rPr>
                      <w:rFonts w:ascii="仿宋_GB2312" w:hAnsi="仿宋_GB2312" w:cs="仿宋_GB2312" w:eastAsia="仿宋_GB2312"/>
                      <w:sz w:val="28"/>
                    </w:rPr>
                    <w:t>1小时/次；职业康复</w:t>
                  </w:r>
                  <w:r>
                    <w:rPr>
                      <w:rFonts w:ascii="仿宋_GB2312" w:hAnsi="仿宋_GB2312" w:cs="仿宋_GB2312" w:eastAsia="仿宋_GB2312"/>
                      <w:sz w:val="28"/>
                    </w:rPr>
                    <w:t>1</w:t>
                  </w:r>
                  <w:r>
                    <w:rPr>
                      <w:rFonts w:ascii="仿宋_GB2312" w:hAnsi="仿宋_GB2312" w:cs="仿宋_GB2312" w:eastAsia="仿宋_GB2312"/>
                      <w:sz w:val="28"/>
                    </w:rPr>
                    <w:t>小时</w:t>
                  </w:r>
                  <w:r>
                    <w:rPr>
                      <w:rFonts w:ascii="仿宋_GB2312" w:hAnsi="仿宋_GB2312" w:cs="仿宋_GB2312" w:eastAsia="仿宋_GB2312"/>
                      <w:sz w:val="28"/>
                    </w:rPr>
                    <w:t>/次；心理治疗1小时/次。</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培训</w:t>
                  </w:r>
                </w:p>
                <w:p>
                  <w:pPr>
                    <w:pStyle w:val="null3"/>
                    <w:jc w:val="center"/>
                  </w:pPr>
                  <w:r>
                    <w:rPr>
                      <w:rFonts w:ascii="仿宋_GB2312" w:hAnsi="仿宋_GB2312" w:cs="仿宋_GB2312" w:eastAsia="仿宋_GB2312"/>
                      <w:sz w:val="28"/>
                    </w:rPr>
                    <w:t>授课</w:t>
                  </w:r>
                </w:p>
                <w:p>
                  <w:pPr>
                    <w:pStyle w:val="null3"/>
                    <w:jc w:val="center"/>
                  </w:pP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对患者开展药物知识培训、社交理论培训、工作基本技能培训；对患者家属开展预防复发培训、指导用药培训、家庭支持等</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2小时/场次</w:t>
                  </w:r>
                </w:p>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入户</w:t>
                  </w:r>
                </w:p>
                <w:p>
                  <w:pPr>
                    <w:pStyle w:val="null3"/>
                    <w:jc w:val="center"/>
                  </w:pPr>
                  <w:r>
                    <w:rPr>
                      <w:rFonts w:ascii="仿宋_GB2312" w:hAnsi="仿宋_GB2312" w:cs="仿宋_GB2312" w:eastAsia="仿宋_GB2312"/>
                      <w:sz w:val="28"/>
                    </w:rPr>
                    <w:t>服务</w:t>
                  </w:r>
                </w:p>
                <w:p>
                  <w:pPr>
                    <w:pStyle w:val="null3"/>
                    <w:jc w:val="center"/>
                  </w:pP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入户为患者开展家庭指导训练、政策链接，深入掌握患者家庭情况，开展情感链接、困难帮扶。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 小时/户/ 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配置至少1名精神科医生担任精神医学督导</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半年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1.由采购人实施验收。2.验收依据：验收须以合同、磋商文件、响应文件、澄清、及国家相应的文件、规范等为依据。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预付款，合同签订后（以最终签订合同为准），达到付款条件起10个工作日内，支付合同总金额的30.0%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进度款，满三个月（以最终签订合同为准），达到付款条件起10个工作日内，支付合同总金额的50.0%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进度款，服务期满后（以最终签订合同为准），达到付款条件起10个工作日内，支付合同总金额的20.0%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合同争议解决的方式 本合同在履行过程中发生的争议，由甲、乙双方当事人协商解决，协商不成的按下列第（一）种方式解决：（一）提交铜川仲裁委员会仲裁；（二）依法向甲方所在地法院起诉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或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针对本项目提出适用于本项目的服务方案，方案包括：①基础服务内容及服务方案②康复训练内容及服务方案③培训授课内容及培训方案④入户服务内容及服务方案。二、 评审标准：各项内容全面，条理清晰，阐述合理，能有效保障本项目的开展实施。每项满分为4分，每缺1项当项不得分，每有一处内容存在缺陷或瑕疵，扣0.5分，扣完为止。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一、评审内容：针对本项目有完整的管理制度，①员工管理制度 ②人员培训制度 ③档案管理制度： ④内控制度及信息反馈制度。二、 评审标准：各项内容全面，条理清晰，阐述合理，能有效保障本项目的开展实施。每项满分为3分，每缺1项当项不得分，每有一处内容存在缺陷或瑕疵，扣0.5分，扣完为止。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针对供应商提供的保证措施进行评审，评审内容包括：①人员及服务内容质量保证措施②安全保证措施。 二、评审标准：各项内容全面，条理清晰，阐述合理，能有效保障本项目的开展实施。每项满分为3分，每缺1项当项不得分，每有一处内容存在缺陷或瑕疵，扣0.5分，扣完为止。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根据供应商针对本项目提出适用于本项目的方案内容包括：①项目实施进度目标分析②项目进度保障措施二、评审标准：各项内容全面，条理清晰，阐述合理，能有效保障本项目的开展实施。每项满分为3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服务团队：搭建由精神科医师、心理咨询、治疗师等专业技术人员的专业服务团队，在服务期内保持人员相对稳定。服务团队工作人员应当具有相应工作岗位所匹配的资质资格。①配置至少1名精神科医生担任精神医学督导得2分；②配备1名心理咨询师得2分；③配备1名心理治疗师得2分；④每配备1名精神科执业医师，得2分，最多6分；⑤每配备1名护理人员的，得2分，最多4分。需提供人员资格证书复印件并加盖公章；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一、评审内容：供应商须对以下至少三个方面的重难点进行分析： ① 服务对象病情反复、病情不稳定带来的管理难点及应对措施； ② 服务对象沟通障碍、表达能力受限带来的服务实施难点及应对措施； ③ 服务对象行为不可预测性（如突发情绪失控、自伤、攻击行为）或家庭支持系统薄弱或社会污名化与社区融入困难等本项目特有的其他难点及应对措施。 二、评审标准： 供应商对上述①、②、③三个方面均进行分析并提供针对性应对措施的，得9分； 仅对上述三个方面中的任意两个方面进行分析并提供应对措施的，得6分； 仅对上述三个方面中的任意一个方面进行分析并提供应对措施的，得3分； 未提供上述任何内容，或所有内容与本项目服务对象无关的，得0分。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w:t>
            </w:r>
          </w:p>
        </w:tc>
        <w:tc>
          <w:tcPr>
            <w:tcW w:type="dxa" w:w="2492"/>
          </w:tcPr>
          <w:p>
            <w:pPr>
              <w:pStyle w:val="null3"/>
            </w:pPr>
            <w:r>
              <w:rPr>
                <w:rFonts w:ascii="仿宋_GB2312" w:hAnsi="仿宋_GB2312" w:cs="仿宋_GB2312" w:eastAsia="仿宋_GB2312"/>
              </w:rPr>
              <w:t>一、评审内容：供应商须对以下至少三个方面的风险进行预测并提出应对方案： ① 服务对象突发疾病/病情加重（如癫痫发作、急性精神症状发作）的现场应急处置方案； ② 服务对象走失/擅自脱离监管的预防措施及紧急搜寻方案； ③ 服务对象情绪失控、自伤或攻击他人等行为安全风险的预防及干预方案。 二、评审标准： 供应商对上述①、②、③三个方面均进行分析并提供针对性应急处置方案的，得9分； 仅对上述三个方面中的任意两个方面进行分析并提供应急处置方案的，得6分； 仅对上述三个方面中的任意一个方面进行分析并提供应急处置方案的，得3分； 未提供上述任何内容的，得0分。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一、评审内容：供应商须对以下至少三个方面的服务事项作出明确承诺： ① 承诺服务响应时效：明确服务人员在接到服务需求后到达现场的时间（须承诺具体时限，如30分钟/1小时/2小时等），并承诺如超时未达的处理法； ② 承诺服务质量不达标时的无条件整改或重新提供服务，并明确整改时限及验收标准； ③ 承诺服务对象投诉渠道畅通（如公布投诉电话、邮箱等），并承诺投诉受理响应时限（须承诺具体时限，如24小时内响应/48小时内处理完毕等）及处理结果反馈机制。 二、评审标准： 供应商对上述①、②、③三个方面均作出明确承诺（含具体时限或具体措施）的，得3分； 仅对上述三个方面中的任意两个方面作出明确承诺的，得2分； 仅对上述三个方面中的任意一个方面作出明确承诺的，得1分； 未对上述任何内容作出承诺，或承诺内容仅为"按采购人要求执行"等无实质性内容的，得0分。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1、供应商提供2023年1月1日至今（以合同签订时间或服务起始时间为准）承担的同类项目业绩； 2、同类业绩指：精神障碍患者社区康复服务、智力残疾人员托养/康复服务、残疾人辅助性就业服务、社区精神卫生服务等相关项目 3、证明材料要求：（服务合同或协议或服务成效佐证任选其一） （1）.服务合同或协议（必须提供）：与采购方（政府单位、街道/社区、医疗机构、公益基金会等）签订的正式合同或服务协议，复印件加盖供应商公章。 （2）.服务成效佐证：（以下三类材料提供任意一类即可） ① 采购方（甲方）出具的验收合格证明或满意度评价表（加盖甲方公章）； ② 项目服务期内的结算凭证（如发票及对应的银行收款流水，能证明项目已实际执行）； ③ 服务对象的康复记录/诊断证明/服务档案摘要（能证明服务已实际开展，关键隐私信息可脱敏处理）。 4、每提供1份得1分，最高3分。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CDATA[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全部通过符合性审查供应商投标（响应）报价平均值×65%。 （2）投标（响应）报价低于通过符合性审查且报价次低供应商投标（响应）报价65%的，即投标（响应）报价<通过符合性审查且报价次低供应商投标（响应）报价×65%。 （3）投标（响应）报价低于最高限价65%的，即投标（响应）报价<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 （2）投标（响应）报价低于通过符合性审查且报价次低供应商投标（响应）报价50%的，即投标（响应）报价<通过符合性审查且报价次低供应商投标（响应）报价×50%。 （3）投标（响应）报价低于最高限价45%的，即投标（响应）报价<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