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4"/>
        <w:keepNext w:val="0"/>
        <w:keepLines w:val="0"/>
        <w:pageBreakBefore w:val="0"/>
        <w:kinsoku/>
        <w:wordWrap/>
        <w:overflowPunct/>
        <w:topLinePunct w:val="0"/>
        <w:autoSpaceDE/>
        <w:autoSpaceDN/>
        <w:bidi w:val="0"/>
        <w:snapToGrid/>
        <w:spacing w:line="360" w:lineRule="auto"/>
        <w:jc w:val="center"/>
        <w:outlineLvl w:val="1"/>
        <w:rPr>
          <w:rFonts w:hint="eastAsia" w:ascii="宋体" w:hAnsi="宋体" w:eastAsia="宋体" w:cs="宋体"/>
          <w:sz w:val="32"/>
          <w:szCs w:val="32"/>
          <w:highlight w:val="none"/>
        </w:rPr>
      </w:pPr>
      <w:r>
        <w:rPr>
          <w:rFonts w:hint="eastAsia" w:ascii="宋体" w:hAnsi="宋体" w:eastAsia="宋体" w:cs="宋体"/>
          <w:b/>
          <w:sz w:val="32"/>
          <w:szCs w:val="32"/>
          <w:highlight w:val="none"/>
        </w:rPr>
        <w:t>拟签订采购合同文本</w:t>
      </w:r>
    </w:p>
    <w:p w14:paraId="6920C532">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合同编号： </w:t>
      </w:r>
    </w:p>
    <w:p w14:paraId="7CD0DB0B">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签订地点： </w:t>
      </w:r>
    </w:p>
    <w:p w14:paraId="1DB7F74D">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签订时间: </w:t>
      </w:r>
    </w:p>
    <w:p w14:paraId="0567940F">
      <w:pPr>
        <w:pStyle w:val="12"/>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是否为专门面向中小企业的采购项目：</w:t>
      </w:r>
      <w:r>
        <w:rPr>
          <w:rFonts w:hint="eastAsia" w:ascii="宋体" w:hAnsi="宋体" w:cs="宋体"/>
          <w:sz w:val="24"/>
          <w:szCs w:val="24"/>
          <w:highlight w:val="none"/>
          <w:lang w:val="en-US" w:eastAsia="zh-CN"/>
        </w:rPr>
        <w:t>否</w:t>
      </w:r>
    </w:p>
    <w:p w14:paraId="6BFD5609">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采购人（甲方）：</w:t>
      </w:r>
    </w:p>
    <w:p w14:paraId="660EF41F">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rPr>
        <w:t>供应商（乙方）：</w:t>
      </w:r>
    </w:p>
    <w:p w14:paraId="32169DF0">
      <w:pPr>
        <w:pStyle w:val="12"/>
        <w:keepNext w:val="0"/>
        <w:keepLines w:val="0"/>
        <w:pageBreakBefore w:val="0"/>
        <w:kinsoku/>
        <w:wordWrap/>
        <w:overflowPunct/>
        <w:topLinePunct w:val="0"/>
        <w:autoSpaceDE/>
        <w:autoSpaceDN/>
        <w:bidi w:val="0"/>
        <w:spacing w:line="360" w:lineRule="auto"/>
        <w:ind w:firstLine="480"/>
        <w:rPr>
          <w:color w:val="000000"/>
          <w:highlight w:val="none"/>
        </w:rPr>
      </w:pPr>
      <w:r>
        <w:rPr>
          <w:rFonts w:hint="eastAsia"/>
          <w:color w:val="000000"/>
          <w:highlight w:val="none"/>
        </w:rPr>
        <w:t>根据《中华人民共和国政府采购法》及实施条例、《中华人民共和国民法典》和甲方</w:t>
      </w:r>
      <w:r>
        <w:rPr>
          <w:rFonts w:hint="eastAsia"/>
          <w:color w:val="000000"/>
          <w:highlight w:val="none"/>
          <w:u w:val="single"/>
        </w:rPr>
        <w:t xml:space="preserve">             </w:t>
      </w:r>
      <w:r>
        <w:rPr>
          <w:rFonts w:hint="eastAsia"/>
          <w:color w:val="000000"/>
          <w:highlight w:val="none"/>
        </w:rPr>
        <w:t xml:space="preserve"> 采购项目（采购项目编号：</w:t>
      </w:r>
      <w:r>
        <w:rPr>
          <w:rFonts w:hint="eastAsia"/>
          <w:color w:val="000000"/>
          <w:highlight w:val="none"/>
          <w:u w:val="single"/>
        </w:rPr>
        <w:t xml:space="preserve">       </w:t>
      </w:r>
      <w:r>
        <w:rPr>
          <w:rFonts w:hint="eastAsia"/>
          <w:color w:val="000000"/>
          <w:highlight w:val="none"/>
        </w:rPr>
        <w:t>）的采购文件、响应文件等有关规定，为确保甲方采购项目的顺利实施，甲、乙双方在平等自愿原则下签订本合同，并共同遵守如下条款，其主要要求如下：</w:t>
      </w:r>
    </w:p>
    <w:p w14:paraId="38EBD8DB">
      <w:pPr>
        <w:keepNext w:val="0"/>
        <w:keepLines w:val="0"/>
        <w:pageBreakBefore w:val="0"/>
        <w:kinsoku/>
        <w:wordWrap/>
        <w:overflowPunct/>
        <w:topLinePunct w:val="0"/>
        <w:autoSpaceDE/>
        <w:autoSpaceDN/>
        <w:bidi w:val="0"/>
        <w:spacing w:line="360" w:lineRule="auto"/>
        <w:ind w:left="425"/>
        <w:rPr>
          <w:rFonts w:hAnsi="宋体"/>
          <w:b/>
          <w:color w:val="000000"/>
          <w:highlight w:val="none"/>
        </w:rPr>
      </w:pPr>
      <w:r>
        <w:rPr>
          <w:rFonts w:hint="eastAsia" w:hAnsi="宋体"/>
          <w:b/>
          <w:color w:val="000000"/>
          <w:highlight w:val="none"/>
        </w:rPr>
        <w:t>第一条   项目基本情况</w:t>
      </w:r>
    </w:p>
    <w:p w14:paraId="13E542E0">
      <w:pPr>
        <w:keepNext w:val="0"/>
        <w:keepLines w:val="0"/>
        <w:pageBreakBefore w:val="0"/>
        <w:kinsoku/>
        <w:wordWrap/>
        <w:overflowPunct/>
        <w:topLinePunct w:val="0"/>
        <w:autoSpaceDE/>
        <w:autoSpaceDN/>
        <w:bidi w:val="0"/>
        <w:spacing w:line="360" w:lineRule="auto"/>
        <w:ind w:firstLine="480" w:firstLineChars="200"/>
        <w:rPr>
          <w:rFonts w:hint="eastAsia" w:hAnsi="宋体" w:cs="宋体"/>
          <w:color w:val="000000"/>
          <w:highlight w:val="none"/>
          <w:u w:val="none"/>
          <w:lang w:eastAsia="zh-CN"/>
        </w:rPr>
      </w:pPr>
      <w:r>
        <w:rPr>
          <w:rFonts w:hint="eastAsia" w:hAnsi="宋体" w:cs="宋体"/>
          <w:color w:val="000000"/>
          <w:highlight w:val="none"/>
          <w:u w:val="none"/>
          <w:lang w:eastAsia="zh-CN"/>
        </w:rPr>
        <w:t>依据《印台区民政局关于精神障碍社区康复服务实施方案》（以下简称《实施方案》），为辖区内符合条件的严重精神障碍患者及其家庭提供系统化、专业化的社区康复服务。帮助严重精神障碍患者恢复生活自理能力和社会适应能力，改善和提高其生活质量，促进患者回归和融入社会，营造理解、尊重、接纳、帮扶的社会友好环境。</w:t>
      </w:r>
    </w:p>
    <w:p w14:paraId="743FA379">
      <w:pPr>
        <w:keepNext w:val="0"/>
        <w:keepLines w:val="0"/>
        <w:pageBreakBefore w:val="0"/>
        <w:kinsoku/>
        <w:wordWrap/>
        <w:overflowPunct/>
        <w:topLinePunct w:val="0"/>
        <w:autoSpaceDE/>
        <w:autoSpaceDN/>
        <w:bidi w:val="0"/>
        <w:spacing w:line="360" w:lineRule="auto"/>
        <w:ind w:left="425"/>
        <w:rPr>
          <w:rFonts w:hint="eastAsia" w:ascii="宋体" w:hAnsi="宋体" w:eastAsia="宋体" w:cs="Times New Roman"/>
          <w:b/>
          <w:color w:val="000000"/>
          <w:highlight w:val="none"/>
        </w:rPr>
      </w:pPr>
      <w:r>
        <w:rPr>
          <w:rFonts w:hint="eastAsia" w:ascii="宋体" w:hAnsi="宋体" w:eastAsia="宋体" w:cs="Times New Roman"/>
          <w:b/>
          <w:color w:val="000000"/>
          <w:highlight w:val="none"/>
          <w:lang w:val="en-US" w:eastAsia="zh-CN"/>
        </w:rPr>
        <w:t>第二条</w:t>
      </w:r>
      <w:r>
        <w:rPr>
          <w:rFonts w:hint="eastAsia" w:ascii="宋体" w:hAnsi="宋体" w:eastAsia="宋体" w:cs="Times New Roman"/>
          <w:b/>
          <w:color w:val="000000"/>
          <w:highlight w:val="none"/>
        </w:rPr>
        <w:t xml:space="preserve">  服务期限</w:t>
      </w:r>
    </w:p>
    <w:p w14:paraId="0ED40CB1">
      <w:pPr>
        <w:pStyle w:val="12"/>
        <w:keepNext w:val="0"/>
        <w:keepLines w:val="0"/>
        <w:pageBreakBefore w:val="0"/>
        <w:kinsoku/>
        <w:wordWrap/>
        <w:overflowPunct/>
        <w:topLinePunct w:val="0"/>
        <w:autoSpaceDE/>
        <w:autoSpaceDN/>
        <w:bidi w:val="0"/>
        <w:spacing w:line="360" w:lineRule="auto"/>
        <w:ind w:firstLine="480"/>
        <w:rPr>
          <w:rFonts w:hint="eastAsia" w:cs="宋体"/>
          <w:color w:val="000000"/>
          <w:highlight w:val="none"/>
          <w:u w:val="single"/>
          <w:lang w:val="en-US" w:eastAsia="zh-CN"/>
        </w:rPr>
      </w:pPr>
      <w:r>
        <w:rPr>
          <w:rFonts w:hint="eastAsia" w:ascii="宋体" w:hAnsi="Times New Roman" w:eastAsia="宋体" w:cs="宋体"/>
          <w:color w:val="000000"/>
          <w:highlight w:val="none"/>
          <w:lang w:val="en-US" w:eastAsia="zh-CN"/>
        </w:rPr>
        <w:t>服务期限：</w:t>
      </w:r>
      <w:r>
        <w:rPr>
          <w:rFonts w:hint="eastAsia" w:cs="宋体"/>
          <w:color w:val="000000"/>
          <w:highlight w:val="none"/>
          <w:u w:val="single"/>
          <w:lang w:val="en-US" w:eastAsia="zh-CN"/>
        </w:rPr>
        <w:t xml:space="preserve"> 自合同签订之日起半年。</w:t>
      </w:r>
    </w:p>
    <w:p w14:paraId="7FC6D1DA">
      <w:pPr>
        <w:keepNext w:val="0"/>
        <w:keepLines w:val="0"/>
        <w:pageBreakBefore w:val="0"/>
        <w:kinsoku/>
        <w:wordWrap/>
        <w:overflowPunct/>
        <w:topLinePunct w:val="0"/>
        <w:autoSpaceDE/>
        <w:autoSpaceDN/>
        <w:bidi w:val="0"/>
        <w:spacing w:line="360" w:lineRule="auto"/>
        <w:ind w:left="425"/>
        <w:rPr>
          <w:rFonts w:hAnsi="宋体"/>
          <w:b/>
          <w:color w:val="000000"/>
          <w:highlight w:val="none"/>
        </w:rPr>
      </w:pPr>
      <w:bookmarkStart w:id="0" w:name="_Toc241833903"/>
      <w:bookmarkStart w:id="1" w:name="_Toc286993786"/>
      <w:bookmarkStart w:id="2" w:name="_Toc282696226"/>
      <w:bookmarkStart w:id="3" w:name="_Toc185395249"/>
      <w:bookmarkStart w:id="4" w:name="_Toc225654644"/>
      <w:bookmarkStart w:id="5" w:name="_Toc225244852"/>
      <w:bookmarkStart w:id="6" w:name="_Toc247334841"/>
      <w:bookmarkStart w:id="7" w:name="_Toc239233914"/>
      <w:bookmarkStart w:id="8" w:name="_Toc239568418"/>
      <w:bookmarkStart w:id="9" w:name="_Toc238984975"/>
      <w:bookmarkStart w:id="10" w:name="_Toc251768862"/>
      <w:bookmarkStart w:id="11" w:name="_Toc232492928"/>
      <w:bookmarkStart w:id="12" w:name="_Toc212019594"/>
      <w:bookmarkStart w:id="13" w:name="_Toc283019214"/>
      <w:bookmarkStart w:id="14" w:name="_Toc211854449"/>
      <w:bookmarkStart w:id="15" w:name="_Toc225670751"/>
      <w:bookmarkStart w:id="16" w:name="_Toc237145406"/>
      <w:bookmarkStart w:id="17" w:name="_Toc211911348"/>
      <w:r>
        <w:rPr>
          <w:rFonts w:hint="eastAsia" w:hAnsi="宋体"/>
          <w:b/>
          <w:color w:val="000000"/>
          <w:highlight w:val="none"/>
        </w:rPr>
        <w:t>第三条   服务内容</w:t>
      </w:r>
    </w:p>
    <w:p w14:paraId="770962C7">
      <w:pPr>
        <w:keepNext w:val="0"/>
        <w:keepLines w:val="0"/>
        <w:pageBreakBefore w:val="0"/>
        <w:widowControl/>
        <w:kinsoku/>
        <w:wordWrap/>
        <w:overflowPunct/>
        <w:topLinePunct w:val="0"/>
        <w:autoSpaceDE/>
        <w:autoSpaceDN/>
        <w:bidi w:val="0"/>
        <w:snapToGrid/>
        <w:spacing w:line="360" w:lineRule="auto"/>
        <w:ind w:firstLine="480" w:firstLineChars="200"/>
        <w:jc w:val="left"/>
        <w:outlineLvl w:val="1"/>
        <w:rPr>
          <w:rFonts w:hint="eastAsia" w:ascii="宋体" w:hAnsi="宋体" w:eastAsia="宋体" w:cs="宋体"/>
          <w:b w:val="0"/>
          <w:bCs/>
          <w:sz w:val="24"/>
          <w:szCs w:val="24"/>
          <w:highlight w:val="none"/>
          <w:lang w:val="en-US" w:eastAsia="zh-CN"/>
        </w:rPr>
      </w:pPr>
      <w:bookmarkStart w:id="18" w:name="_Toc20078"/>
      <w:r>
        <w:rPr>
          <w:rFonts w:hint="eastAsia" w:ascii="宋体" w:hAnsi="宋体" w:eastAsia="宋体" w:cs="宋体"/>
          <w:b w:val="0"/>
          <w:bCs/>
          <w:sz w:val="24"/>
          <w:szCs w:val="24"/>
          <w:highlight w:val="none"/>
          <w:lang w:val="en-US" w:eastAsia="zh-CN"/>
        </w:rPr>
        <w:t>1、在服务期内，基础服务与入户服务中标供应商须对采购单位协调各镇（街道）摸排登记后统一提供的《服务对象信息台账》中所列全部人员，逐一提供服务，实现服务对象全覆盖；康复训练经评估筛选出适合且自愿参加的康复对象，提供系统化康复训练，总数不少于50人；同时，面向社区工作人员开展不少于2次专题培训，面向患者及家属在服务期内组织不少于24次培训，培训人数需满足采购方要求。单次培训人数不作硬性规定，可结合印台区地域特点，灵活采取集中授课或分散指导相结合的方式，切实保障培训的覆盖面和实际成效。</w:t>
      </w:r>
    </w:p>
    <w:p w14:paraId="7C25CCF3">
      <w:pPr>
        <w:keepNext w:val="0"/>
        <w:keepLines w:val="0"/>
        <w:pageBreakBefore w:val="0"/>
        <w:widowControl/>
        <w:kinsoku/>
        <w:wordWrap/>
        <w:overflowPunct/>
        <w:topLinePunct w:val="0"/>
        <w:autoSpaceDE/>
        <w:autoSpaceDN/>
        <w:bidi w:val="0"/>
        <w:snapToGrid/>
        <w:spacing w:line="360" w:lineRule="auto"/>
        <w:ind w:firstLine="480" w:firstLineChars="200"/>
        <w:jc w:val="left"/>
        <w:outlineLvl w:val="1"/>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2、供应商须为每名服务对象建立独立完整的康复服务档案，档案内容满足采购方要求：</w:t>
      </w:r>
    </w:p>
    <w:p w14:paraId="6509944D">
      <w:pPr>
        <w:keepNext w:val="0"/>
        <w:keepLines w:val="0"/>
        <w:pageBreakBefore w:val="0"/>
        <w:widowControl/>
        <w:kinsoku/>
        <w:wordWrap/>
        <w:overflowPunct/>
        <w:topLinePunct w:val="0"/>
        <w:autoSpaceDE/>
        <w:autoSpaceDN/>
        <w:bidi w:val="0"/>
        <w:snapToGrid/>
        <w:spacing w:line="360" w:lineRule="auto"/>
        <w:ind w:firstLine="480" w:firstLineChars="200"/>
        <w:jc w:val="left"/>
        <w:outlineLvl w:val="1"/>
        <w:rPr>
          <w:rFonts w:hint="eastAsia" w:ascii="宋体" w:hAnsi="宋体" w:eastAsia="宋体" w:cs="宋体"/>
          <w:b w:val="0"/>
          <w:bCs/>
          <w:sz w:val="24"/>
          <w:szCs w:val="24"/>
          <w:highlight w:val="none"/>
          <w:lang w:val="en-US" w:eastAsia="zh-CN"/>
        </w:rPr>
      </w:pPr>
    </w:p>
    <w:tbl>
      <w:tblPr>
        <w:tblStyle w:val="9"/>
        <w:tblW w:w="8958" w:type="dxa"/>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0"/>
        <w:gridCol w:w="1676"/>
        <w:gridCol w:w="3643"/>
        <w:gridCol w:w="2809"/>
      </w:tblGrid>
      <w:tr w14:paraId="1C37C5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8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B30D9B1">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序号</w:t>
            </w:r>
          </w:p>
        </w:tc>
        <w:tc>
          <w:tcPr>
            <w:tcW w:w="16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4852F11">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服务</w:t>
            </w:r>
          </w:p>
          <w:p w14:paraId="4EF83B15">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类别</w:t>
            </w:r>
          </w:p>
        </w:tc>
        <w:tc>
          <w:tcPr>
            <w:tcW w:w="364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1BF08F9">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服务内容</w:t>
            </w:r>
          </w:p>
        </w:tc>
        <w:tc>
          <w:tcPr>
            <w:tcW w:w="280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18600EB">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参考时长</w:t>
            </w:r>
          </w:p>
        </w:tc>
      </w:tr>
      <w:tr w14:paraId="22CA92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54" w:hRule="atLeast"/>
        </w:trPr>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75C28DD">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w:t>
            </w:r>
          </w:p>
        </w:tc>
        <w:tc>
          <w:tcPr>
            <w:tcW w:w="16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22D9B0C">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基础</w:t>
            </w:r>
          </w:p>
          <w:p w14:paraId="394189BA">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服务</w:t>
            </w:r>
          </w:p>
          <w:p w14:paraId="3106B81D">
            <w:pPr>
              <w:pStyle w:val="14"/>
              <w:jc w:val="center"/>
              <w:rPr>
                <w:rFonts w:hint="eastAsia" w:ascii="宋体" w:hAnsi="宋体" w:eastAsia="宋体" w:cs="宋体"/>
                <w:b w:val="0"/>
                <w:bCs/>
                <w:sz w:val="24"/>
                <w:szCs w:val="24"/>
                <w:highlight w:val="none"/>
                <w:lang w:val="en-US" w:eastAsia="zh-CN" w:bidi="ar-SA"/>
              </w:rPr>
            </w:pPr>
          </w:p>
        </w:tc>
        <w:tc>
          <w:tcPr>
            <w:tcW w:w="36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6745423">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对意愿患者进行“登记建档”及“基线评估”；对服务患者开展“过程评估”等。</w:t>
            </w:r>
          </w:p>
        </w:tc>
        <w:tc>
          <w:tcPr>
            <w:tcW w:w="28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40E9320">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1.5 小时/次</w:t>
            </w:r>
          </w:p>
        </w:tc>
      </w:tr>
      <w:tr w14:paraId="782EAB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6DCE100">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2</w:t>
            </w:r>
          </w:p>
        </w:tc>
        <w:tc>
          <w:tcPr>
            <w:tcW w:w="16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DEDE7CD">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康复</w:t>
            </w:r>
          </w:p>
          <w:p w14:paraId="167D1619">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训练</w:t>
            </w:r>
          </w:p>
          <w:p w14:paraId="21F45D0A">
            <w:pPr>
              <w:pStyle w:val="14"/>
              <w:jc w:val="center"/>
              <w:rPr>
                <w:rFonts w:hint="eastAsia" w:ascii="宋体" w:hAnsi="宋体" w:eastAsia="宋体" w:cs="宋体"/>
                <w:b w:val="0"/>
                <w:bCs/>
                <w:sz w:val="24"/>
                <w:szCs w:val="24"/>
                <w:highlight w:val="none"/>
                <w:lang w:val="en-US" w:eastAsia="zh-CN" w:bidi="ar-SA"/>
              </w:rPr>
            </w:pPr>
          </w:p>
        </w:tc>
        <w:tc>
          <w:tcPr>
            <w:tcW w:w="36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B88F029">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对患者开展服药训练、躯体管理训练、生活技能训练、社交技能训练、同伴支持、职业康复训练、心理治疗等</w:t>
            </w:r>
          </w:p>
          <w:p w14:paraId="1F90ACFF">
            <w:pPr>
              <w:pStyle w:val="14"/>
              <w:jc w:val="center"/>
              <w:rPr>
                <w:rFonts w:hint="eastAsia" w:ascii="宋体" w:hAnsi="宋体" w:eastAsia="宋体" w:cs="宋体"/>
                <w:b w:val="0"/>
                <w:bCs/>
                <w:sz w:val="24"/>
                <w:szCs w:val="24"/>
                <w:highlight w:val="none"/>
                <w:lang w:val="en-US" w:eastAsia="zh-CN" w:bidi="ar-SA"/>
              </w:rPr>
            </w:pPr>
          </w:p>
        </w:tc>
        <w:tc>
          <w:tcPr>
            <w:tcW w:w="28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C277262">
            <w:pPr>
              <w:pStyle w:val="14"/>
              <w:jc w:val="both"/>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训练活动1小时/次；职业康复1小时/次；心理治疗1小时/次。</w:t>
            </w:r>
          </w:p>
        </w:tc>
      </w:tr>
      <w:tr w14:paraId="0C5BC9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966" w:hRule="atLeast"/>
        </w:trPr>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48B9B45">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3</w:t>
            </w:r>
          </w:p>
        </w:tc>
        <w:tc>
          <w:tcPr>
            <w:tcW w:w="16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FF939A0">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培训</w:t>
            </w:r>
          </w:p>
          <w:p w14:paraId="0AF921C7">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授课</w:t>
            </w:r>
          </w:p>
          <w:p w14:paraId="66002E38">
            <w:pPr>
              <w:pStyle w:val="14"/>
              <w:jc w:val="center"/>
              <w:rPr>
                <w:rFonts w:hint="eastAsia" w:ascii="宋体" w:hAnsi="宋体" w:eastAsia="宋体" w:cs="宋体"/>
                <w:b w:val="0"/>
                <w:bCs/>
                <w:sz w:val="24"/>
                <w:szCs w:val="24"/>
                <w:highlight w:val="none"/>
                <w:lang w:val="en-US" w:eastAsia="zh-CN" w:bidi="ar-SA"/>
              </w:rPr>
            </w:pPr>
          </w:p>
        </w:tc>
        <w:tc>
          <w:tcPr>
            <w:tcW w:w="36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AB9A255">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对患者开展药物知识培训、社交理论培训、工作基本技能培训；对患者家属开展预防复发培训、指导用药培训、家庭支持等</w:t>
            </w:r>
          </w:p>
        </w:tc>
        <w:tc>
          <w:tcPr>
            <w:tcW w:w="28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D4FE9D1">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2小时/场次</w:t>
            </w:r>
          </w:p>
          <w:p w14:paraId="72120A6B">
            <w:pPr>
              <w:pStyle w:val="14"/>
              <w:jc w:val="center"/>
              <w:rPr>
                <w:rFonts w:hint="eastAsia" w:ascii="宋体" w:hAnsi="宋体" w:eastAsia="宋体" w:cs="宋体"/>
                <w:b w:val="0"/>
                <w:bCs/>
                <w:sz w:val="24"/>
                <w:szCs w:val="24"/>
                <w:highlight w:val="none"/>
                <w:lang w:val="en-US" w:eastAsia="zh-CN" w:bidi="ar-SA"/>
              </w:rPr>
            </w:pPr>
          </w:p>
        </w:tc>
      </w:tr>
      <w:tr w14:paraId="642892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581" w:hRule="atLeast"/>
        </w:trPr>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BE5000B">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4</w:t>
            </w:r>
          </w:p>
        </w:tc>
        <w:tc>
          <w:tcPr>
            <w:tcW w:w="167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FA5699">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入户</w:t>
            </w:r>
          </w:p>
          <w:p w14:paraId="67F39D77">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服务</w:t>
            </w:r>
          </w:p>
          <w:p w14:paraId="1CEB87CF">
            <w:pPr>
              <w:pStyle w:val="14"/>
              <w:jc w:val="center"/>
              <w:rPr>
                <w:rFonts w:hint="eastAsia" w:ascii="宋体" w:hAnsi="宋体" w:eastAsia="宋体" w:cs="宋体"/>
                <w:b w:val="0"/>
                <w:bCs/>
                <w:sz w:val="24"/>
                <w:szCs w:val="24"/>
                <w:highlight w:val="none"/>
                <w:lang w:val="en-US" w:eastAsia="zh-CN" w:bidi="ar-SA"/>
              </w:rPr>
            </w:pPr>
          </w:p>
        </w:tc>
        <w:tc>
          <w:tcPr>
            <w:tcW w:w="36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0021053">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入户为患者开展家庭指导训练、政策链接，深入掌握患者家庭情况，开展情感链接、困难帮扶。</w:t>
            </w:r>
          </w:p>
        </w:tc>
        <w:tc>
          <w:tcPr>
            <w:tcW w:w="28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4CB7EE3">
            <w:pPr>
              <w:pStyle w:val="14"/>
              <w:jc w:val="center"/>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lang w:val="en-US" w:eastAsia="zh-CN" w:bidi="ar-SA"/>
              </w:rPr>
              <w:t>2 小时/户/ 次</w:t>
            </w:r>
          </w:p>
        </w:tc>
      </w:tr>
    </w:tbl>
    <w:p w14:paraId="35041741">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服务费用及支付方式</w:t>
      </w:r>
      <w:bookmarkEnd w:id="18"/>
    </w:p>
    <w:p w14:paraId="63E66C96">
      <w:pPr>
        <w:pStyle w:val="2"/>
        <w:keepNext w:val="0"/>
        <w:keepLines w:val="0"/>
        <w:pageBreakBefore w:val="0"/>
        <w:widowControl w:val="0"/>
        <w:kinsoku/>
        <w:wordWrap/>
        <w:overflowPunct/>
        <w:topLinePunct w:val="0"/>
        <w:autoSpaceDE/>
        <w:autoSpaceDN/>
        <w:bidi w:val="0"/>
        <w:adjustRightInd/>
        <w:snapToGrid/>
        <w:spacing w:before="0" w:line="360" w:lineRule="auto"/>
        <w:ind w:left="859" w:leftChars="200" w:hanging="379" w:hangingChars="158"/>
        <w:textAlignment w:val="auto"/>
        <w:rPr>
          <w:rFonts w:hint="eastAsia" w:ascii="宋体" w:hAnsi="宋体" w:eastAsia="宋体" w:cs="宋体"/>
          <w:b w:val="0"/>
          <w:bCs w:val="0"/>
          <w:i w:val="0"/>
          <w:iCs w:val="0"/>
          <w:caps w:val="0"/>
          <w:spacing w:val="0"/>
          <w:sz w:val="24"/>
          <w:szCs w:val="24"/>
          <w:highlight w:val="none"/>
          <w:shd w:val="clear" w:color="auto" w:fill="FFFFFF"/>
        </w:rPr>
      </w:pPr>
      <w:r>
        <w:rPr>
          <w:rFonts w:hint="eastAsia" w:ascii="宋体" w:hAnsi="宋体" w:eastAsia="宋体" w:cs="宋体"/>
          <w:b w:val="0"/>
          <w:bCs w:val="0"/>
          <w:sz w:val="24"/>
          <w:szCs w:val="24"/>
          <w:highlight w:val="none"/>
          <w:lang w:val="en-US" w:eastAsia="zh-CN"/>
        </w:rPr>
        <w:t>1</w:t>
      </w:r>
      <w:r>
        <w:rPr>
          <w:rFonts w:hint="eastAsia" w:ascii="宋体" w:hAnsi="宋体" w:eastAsia="宋体" w:cs="宋体"/>
          <w:bCs/>
          <w:color w:val="auto"/>
          <w:sz w:val="24"/>
          <w:szCs w:val="24"/>
          <w:highlight w:val="none"/>
        </w:rPr>
        <w:t>.</w:t>
      </w:r>
      <w:r>
        <w:rPr>
          <w:rFonts w:hint="eastAsia" w:ascii="宋体" w:hAnsi="宋体" w:eastAsia="宋体" w:cs="宋体"/>
          <w:b w:val="0"/>
          <w:bCs w:val="0"/>
          <w:sz w:val="24"/>
          <w:szCs w:val="24"/>
          <w:highlight w:val="none"/>
          <w:lang w:val="en-US" w:eastAsia="zh-CN"/>
        </w:rPr>
        <w:t>服务费</w:t>
      </w:r>
      <w:r>
        <w:rPr>
          <w:rFonts w:hint="eastAsia" w:ascii="宋体" w:hAnsi="宋体" w:eastAsia="宋体" w:cs="宋体"/>
          <w:b w:val="0"/>
          <w:bCs w:val="0"/>
          <w:i w:val="0"/>
          <w:iCs w:val="0"/>
          <w:caps w:val="0"/>
          <w:spacing w:val="0"/>
          <w:sz w:val="24"/>
          <w:szCs w:val="24"/>
          <w:highlight w:val="none"/>
          <w:shd w:val="clear" w:color="auto" w:fill="FFFFFF"/>
        </w:rPr>
        <w:t>总费用为人民币（大写）：</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元，￥</w:t>
      </w:r>
      <w:r>
        <w:rPr>
          <w:rFonts w:hint="eastAsia" w:ascii="宋体" w:hAnsi="宋体" w:eastAsia="宋体" w:cs="宋体"/>
          <w:b w:val="0"/>
          <w:bCs w:val="0"/>
          <w:i w:val="0"/>
          <w:iCs w:val="0"/>
          <w:caps w:val="0"/>
          <w:spacing w:val="0"/>
          <w:sz w:val="24"/>
          <w:szCs w:val="24"/>
          <w:highlight w:val="none"/>
          <w:u w:val="single"/>
          <w:shd w:val="clear" w:color="auto" w:fill="FFFFFF"/>
        </w:rPr>
        <w:t xml:space="preserve"> </w:t>
      </w:r>
      <w:r>
        <w:rPr>
          <w:rFonts w:hint="eastAsia" w:ascii="宋体" w:hAnsi="宋体" w:eastAsia="宋体" w:cs="宋体"/>
          <w:b w:val="0"/>
          <w:bCs w:val="0"/>
          <w:i w:val="0"/>
          <w:iCs w:val="0"/>
          <w:caps w:val="0"/>
          <w:spacing w:val="0"/>
          <w:sz w:val="24"/>
          <w:szCs w:val="24"/>
          <w:highlight w:val="none"/>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highlight w:val="none"/>
          <w:shd w:val="clear" w:color="auto" w:fill="FFFFFF"/>
        </w:rPr>
        <w:t>。</w:t>
      </w:r>
    </w:p>
    <w:p w14:paraId="074FBA34">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w:t>
      </w:r>
      <w:r>
        <w:rPr>
          <w:rFonts w:hint="eastAsia" w:ascii="宋体" w:hAnsi="宋体" w:eastAsia="宋体" w:cs="宋体"/>
          <w:bCs/>
          <w:color w:val="auto"/>
          <w:sz w:val="24"/>
          <w:szCs w:val="24"/>
          <w:highlight w:val="none"/>
        </w:rPr>
        <w:t>.</w:t>
      </w:r>
      <w:r>
        <w:rPr>
          <w:rFonts w:hint="eastAsia" w:ascii="宋体" w:hAnsi="宋体" w:eastAsia="宋体" w:cs="宋体"/>
          <w:color w:val="auto"/>
          <w:kern w:val="0"/>
          <w:sz w:val="24"/>
          <w:szCs w:val="24"/>
          <w:highlight w:val="none"/>
          <w:lang w:val="en-US" w:eastAsia="zh-CN"/>
        </w:rPr>
        <w:t>支付方式：</w:t>
      </w:r>
    </w:p>
    <w:p w14:paraId="2FA51837">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（1）合同签订后，达到付款条件起10日，支付合同总金额的30%。</w:t>
      </w:r>
    </w:p>
    <w:p w14:paraId="03390939">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（2）合同签订后，满三个月，达到付款条件起10日，支付合同总金额的50%。</w:t>
      </w:r>
    </w:p>
    <w:p w14:paraId="0E325314">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（3）服务期满后，达到付款条件起10日，支付合同总金额的20%。</w:t>
      </w:r>
    </w:p>
    <w:p w14:paraId="3FE3FAE2">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（4）乙方应于甲方每次付款前提供等额正规发票。最后一次付款时应提供剩余款项全额正规发票。</w:t>
      </w:r>
    </w:p>
    <w:p w14:paraId="76791383">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注：具体条款以签订合同为准，实际资金到账及支付时间以财政部门最终审批拨付结果为准。因财政部门资金审批、拨付的正常行政流程导致的款项支付延迟，采购人不承担违约责任。</w:t>
      </w:r>
    </w:p>
    <w:p w14:paraId="76508DC3">
      <w:pPr>
        <w:pStyle w:val="2"/>
        <w:keepNext w:val="0"/>
        <w:keepLines w:val="0"/>
        <w:pageBreakBefore w:val="0"/>
        <w:widowControl w:val="0"/>
        <w:numPr>
          <w:ilvl w:val="0"/>
          <w:numId w:val="0"/>
        </w:numPr>
        <w:kinsoku/>
        <w:wordWrap/>
        <w:overflowPunct/>
        <w:topLinePunct w:val="0"/>
        <w:autoSpaceDE/>
        <w:autoSpaceDN/>
        <w:bidi w:val="0"/>
        <w:adjustRightInd/>
        <w:snapToGrid/>
        <w:spacing w:before="0" w:line="360" w:lineRule="auto"/>
        <w:ind w:leftChars="200"/>
        <w:textAlignment w:val="auto"/>
        <w:rPr>
          <w:rFonts w:hint="eastAsia" w:ascii="宋体" w:hAnsi="宋体" w:eastAsia="宋体" w:cs="宋体"/>
          <w:b w:val="0"/>
          <w:bCs w:val="0"/>
          <w:kern w:val="0"/>
          <w:sz w:val="24"/>
          <w:szCs w:val="24"/>
          <w:highlight w:val="none"/>
          <w:lang w:val="en-US" w:eastAsia="zh-CN" w:bidi="ar-SA"/>
        </w:rPr>
      </w:pPr>
      <w:r>
        <w:rPr>
          <w:rFonts w:hint="eastAsia" w:ascii="宋体" w:hAnsi="宋体" w:cs="宋体"/>
          <w:b w:val="0"/>
          <w:bCs w:val="0"/>
          <w:kern w:val="0"/>
          <w:sz w:val="24"/>
          <w:szCs w:val="24"/>
          <w:highlight w:val="none"/>
          <w:lang w:val="en-US" w:eastAsia="zh-CN" w:bidi="ar-SA"/>
        </w:rPr>
        <w:t>3</w:t>
      </w:r>
      <w:r>
        <w:rPr>
          <w:rFonts w:hint="eastAsia" w:ascii="宋体" w:hAnsi="宋体" w:eastAsia="宋体" w:cs="宋体"/>
          <w:bCs/>
          <w:color w:val="auto"/>
          <w:sz w:val="24"/>
          <w:szCs w:val="24"/>
          <w:highlight w:val="none"/>
        </w:rPr>
        <w:t>.</w:t>
      </w:r>
      <w:r>
        <w:rPr>
          <w:rFonts w:hint="eastAsia" w:ascii="宋体" w:hAnsi="宋体" w:eastAsia="宋体" w:cs="宋体"/>
          <w:b w:val="0"/>
          <w:bCs w:val="0"/>
          <w:kern w:val="0"/>
          <w:sz w:val="24"/>
          <w:szCs w:val="24"/>
          <w:highlight w:val="none"/>
          <w:lang w:val="en-US" w:eastAsia="zh-CN" w:bidi="ar-SA"/>
        </w:rPr>
        <w:t>结算方式：银行转账</w:t>
      </w:r>
    </w:p>
    <w:p w14:paraId="21CC473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hAnsi="宋体" w:cs="宋体"/>
          <w:kern w:val="0"/>
          <w:sz w:val="24"/>
          <w:szCs w:val="24"/>
          <w:highlight w:val="none"/>
          <w:lang w:val="en-US" w:eastAsia="zh-CN"/>
        </w:rPr>
        <w:t>4</w:t>
      </w:r>
      <w:r>
        <w:rPr>
          <w:rFonts w:hint="eastAsia" w:ascii="宋体" w:hAnsi="宋体" w:eastAsia="宋体" w:cs="宋体"/>
          <w:bCs/>
          <w:color w:val="auto"/>
          <w:sz w:val="24"/>
          <w:szCs w:val="24"/>
          <w:highlight w:val="none"/>
        </w:rPr>
        <w:t>.</w:t>
      </w:r>
      <w:r>
        <w:rPr>
          <w:rFonts w:hint="eastAsia" w:ascii="宋体" w:hAnsi="宋体" w:eastAsia="宋体" w:cs="宋体"/>
          <w:kern w:val="0"/>
          <w:sz w:val="24"/>
          <w:szCs w:val="24"/>
          <w:highlight w:val="none"/>
        </w:rPr>
        <w:t>乙方收款账户</w:t>
      </w:r>
    </w:p>
    <w:p w14:paraId="34AFEE6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账户名称：                 </w:t>
      </w:r>
    </w:p>
    <w:p w14:paraId="4B1E0B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开户银行：                  </w:t>
      </w:r>
    </w:p>
    <w:p w14:paraId="2D34CF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rPr>
        <w:t>银行账号：</w:t>
      </w:r>
      <w:r>
        <w:rPr>
          <w:rFonts w:hint="eastAsia" w:ascii="宋体" w:hAnsi="宋体" w:eastAsia="宋体" w:cs="宋体"/>
          <w:kern w:val="0"/>
          <w:sz w:val="24"/>
          <w:szCs w:val="24"/>
          <w:highlight w:val="none"/>
          <w:lang w:val="en-US" w:eastAsia="zh-CN"/>
        </w:rPr>
        <w:t xml:space="preserve">                  </w:t>
      </w:r>
    </w:p>
    <w:p w14:paraId="33C43B1B">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19" w:name="_Toc22959"/>
      <w:r>
        <w:rPr>
          <w:rFonts w:hint="eastAsia" w:ascii="宋体" w:hAnsi="宋体" w:eastAsia="宋体" w:cs="宋体"/>
          <w:b/>
          <w:color w:val="auto"/>
          <w:sz w:val="24"/>
          <w:szCs w:val="24"/>
          <w:highlight w:val="none"/>
        </w:rPr>
        <w:t>第五条  知识产权（若有）</w:t>
      </w:r>
      <w:bookmarkEnd w:id="19"/>
    </w:p>
    <w:p w14:paraId="2027956E">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napToGrid/>
        <w:spacing w:line="360" w:lineRule="auto"/>
        <w:ind w:firstLine="482" w:firstLineChars="200"/>
        <w:outlineLvl w:val="1"/>
        <w:rPr>
          <w:rFonts w:hint="eastAsia" w:ascii="宋体" w:hAnsi="宋体" w:eastAsia="宋体" w:cs="宋体"/>
          <w:b/>
          <w:color w:val="auto"/>
          <w:sz w:val="24"/>
          <w:szCs w:val="24"/>
          <w:highlight w:val="none"/>
        </w:rPr>
      </w:pPr>
      <w:bookmarkStart w:id="20" w:name="_Toc31647"/>
      <w:r>
        <w:rPr>
          <w:rFonts w:hint="eastAsia" w:ascii="宋体" w:hAnsi="宋体" w:eastAsia="宋体" w:cs="宋体"/>
          <w:b/>
          <w:color w:val="auto"/>
          <w:sz w:val="24"/>
          <w:szCs w:val="24"/>
          <w:highlight w:val="none"/>
        </w:rPr>
        <w:t>第六条  无产权瑕疵条款（如有）</w:t>
      </w:r>
      <w:bookmarkEnd w:id="20"/>
    </w:p>
    <w:p w14:paraId="25ABA474">
      <w:pPr>
        <w:keepNext w:val="0"/>
        <w:keepLines w:val="0"/>
        <w:pageBreakBefore w:val="0"/>
        <w:tabs>
          <w:tab w:val="left" w:pos="1440"/>
        </w:tabs>
        <w:kinsoku/>
        <w:wordWrap/>
        <w:overflowPunct/>
        <w:topLinePunct w:val="0"/>
        <w:autoSpaceDE/>
        <w:autoSpaceDN/>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52864232">
      <w:pPr>
        <w:keepNext w:val="0"/>
        <w:keepLines w:val="0"/>
        <w:pageBreakBefore w:val="0"/>
        <w:kinsoku/>
        <w:wordWrap/>
        <w:overflowPunct/>
        <w:topLinePunct w:val="0"/>
        <w:autoSpaceDE/>
        <w:autoSpaceDN/>
        <w:bidi w:val="0"/>
        <w:spacing w:line="360" w:lineRule="auto"/>
        <w:ind w:left="426"/>
        <w:rPr>
          <w:rFonts w:hint="eastAsia" w:hAnsi="宋体"/>
          <w:b/>
          <w:color w:val="000000"/>
          <w:highlight w:val="none"/>
        </w:rPr>
      </w:pPr>
      <w:r>
        <w:rPr>
          <w:rFonts w:hint="eastAsia" w:hAnsi="宋体"/>
          <w:b/>
          <w:color w:val="000000"/>
          <w:highlight w:val="none"/>
        </w:rPr>
        <w:t>第七条   履约保证金</w:t>
      </w:r>
    </w:p>
    <w:p w14:paraId="09E59831">
      <w:pPr>
        <w:keepNext w:val="0"/>
        <w:keepLines w:val="0"/>
        <w:pageBreakBefore w:val="0"/>
        <w:kinsoku/>
        <w:wordWrap/>
        <w:overflowPunct/>
        <w:topLinePunct w:val="0"/>
        <w:autoSpaceDE/>
        <w:autoSpaceDN/>
        <w:bidi w:val="0"/>
        <w:spacing w:line="360" w:lineRule="auto"/>
        <w:ind w:left="426"/>
        <w:rPr>
          <w:rFonts w:hint="eastAsia" w:hAnsi="宋体"/>
          <w:color w:val="000000"/>
          <w:highlight w:val="none"/>
        </w:rPr>
      </w:pPr>
      <w:r>
        <w:rPr>
          <w:rFonts w:hint="eastAsia" w:hAnsi="宋体"/>
          <w:color w:val="000000"/>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FF33D5B">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1" w:name="_Toc16162"/>
      <w:r>
        <w:rPr>
          <w:rFonts w:hint="eastAsia" w:ascii="宋体" w:hAnsi="宋体" w:eastAsia="宋体" w:cs="宋体"/>
          <w:b/>
          <w:color w:val="auto"/>
          <w:sz w:val="24"/>
          <w:szCs w:val="24"/>
          <w:highlight w:val="none"/>
        </w:rPr>
        <w:t>第八条  甲方的权利和义务</w:t>
      </w:r>
      <w:bookmarkEnd w:id="21"/>
    </w:p>
    <w:p w14:paraId="47861C3A">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3.根据本合同规定，按时向乙方支付应付服务费用。</w:t>
      </w:r>
    </w:p>
    <w:p w14:paraId="29CDC53C">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4.国家法律、法规所规定由甲方承担的其它责任。</w:t>
      </w:r>
    </w:p>
    <w:p w14:paraId="13DD6CDA">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2" w:name="_Toc27740"/>
      <w:r>
        <w:rPr>
          <w:rFonts w:hint="eastAsia" w:ascii="宋体" w:hAnsi="宋体" w:eastAsia="宋体" w:cs="宋体"/>
          <w:b/>
          <w:color w:val="auto"/>
          <w:sz w:val="24"/>
          <w:szCs w:val="24"/>
          <w:highlight w:val="none"/>
        </w:rPr>
        <w:t>第九条  乙方的权利和义务</w:t>
      </w:r>
      <w:bookmarkEnd w:id="22"/>
    </w:p>
    <w:p w14:paraId="324921E0">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Cs/>
          <w:color w:val="auto"/>
          <w:sz w:val="24"/>
          <w:szCs w:val="24"/>
          <w:highlight w:val="none"/>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5.国家法律、法规所规定由乙方承担的其它责任。</w:t>
      </w:r>
    </w:p>
    <w:p w14:paraId="3CD13FB8">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color w:val="auto"/>
          <w:sz w:val="24"/>
          <w:szCs w:val="24"/>
          <w:highlight w:val="none"/>
        </w:rPr>
      </w:pPr>
      <w:bookmarkStart w:id="23" w:name="_Toc25988"/>
      <w:r>
        <w:rPr>
          <w:rFonts w:hint="eastAsia" w:ascii="宋体" w:hAnsi="宋体" w:eastAsia="宋体" w:cs="宋体"/>
          <w:b/>
          <w:color w:val="auto"/>
          <w:sz w:val="24"/>
          <w:szCs w:val="24"/>
          <w:highlight w:val="none"/>
        </w:rPr>
        <w:t>第十条  违约责任</w:t>
      </w:r>
      <w:bookmarkEnd w:id="23"/>
    </w:p>
    <w:p w14:paraId="592D9418">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napToGrid/>
        <w:spacing w:line="360" w:lineRule="auto"/>
        <w:ind w:firstLine="480" w:firstLineChars="200"/>
        <w:jc w:val="lef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24" w:name="_Toc26448"/>
      <w:bookmarkStart w:id="25" w:name="_Toc211911353"/>
      <w:bookmarkStart w:id="26" w:name="_Toc211854454"/>
      <w:bookmarkStart w:id="27" w:name="_Toc225654649"/>
      <w:bookmarkStart w:id="28" w:name="_Toc239568423"/>
      <w:bookmarkStart w:id="29" w:name="_Toc237145411"/>
      <w:bookmarkStart w:id="30" w:name="_Toc238984980"/>
      <w:bookmarkStart w:id="31" w:name="_Toc212019599"/>
      <w:bookmarkStart w:id="32" w:name="_Toc241833908"/>
      <w:bookmarkStart w:id="33" w:name="_Toc239233919"/>
      <w:bookmarkStart w:id="34" w:name="_Toc232492933"/>
      <w:bookmarkStart w:id="35" w:name="_Toc247334846"/>
      <w:bookmarkStart w:id="36" w:name="_Toc251768867"/>
      <w:bookmarkStart w:id="37" w:name="_Toc185395254"/>
      <w:bookmarkStart w:id="38" w:name="_Toc286993792"/>
      <w:bookmarkStart w:id="39" w:name="_Toc225670756"/>
      <w:bookmarkStart w:id="40" w:name="_Toc225244857"/>
      <w:r>
        <w:rPr>
          <w:rFonts w:hint="eastAsia" w:ascii="宋体" w:hAnsi="宋体" w:eastAsia="宋体" w:cs="宋体"/>
          <w:b/>
          <w:sz w:val="24"/>
          <w:szCs w:val="24"/>
          <w:highlight w:val="none"/>
        </w:rPr>
        <w:t>第十一条  不可抗力事件处理</w:t>
      </w:r>
      <w:bookmarkEnd w:id="24"/>
    </w:p>
    <w:p w14:paraId="23CADF6C">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3.不可抗力事件延续</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天以上，双方应通过友好协商，确定是否继续履行合同。</w:t>
      </w:r>
    </w:p>
    <w:p w14:paraId="150CD1EA">
      <w:pPr>
        <w:keepNext w:val="0"/>
        <w:keepLines w:val="0"/>
        <w:pageBreakBefore w:val="0"/>
        <w:widowControl/>
        <w:kinsoku/>
        <w:wordWrap/>
        <w:overflowPunct/>
        <w:topLinePunct w:val="0"/>
        <w:autoSpaceDE/>
        <w:autoSpaceDN/>
        <w:bidi w:val="0"/>
        <w:snapToGrid/>
        <w:spacing w:line="360" w:lineRule="auto"/>
        <w:ind w:firstLine="482" w:firstLineChars="200"/>
        <w:jc w:val="left"/>
        <w:outlineLvl w:val="1"/>
        <w:rPr>
          <w:rFonts w:hint="eastAsia" w:ascii="宋体" w:hAnsi="宋体" w:eastAsia="宋体" w:cs="宋体"/>
          <w:kern w:val="0"/>
          <w:sz w:val="24"/>
          <w:szCs w:val="24"/>
          <w:highlight w:val="none"/>
        </w:rPr>
      </w:pPr>
      <w:bookmarkStart w:id="41" w:name="_Toc20448"/>
      <w:r>
        <w:rPr>
          <w:rFonts w:hint="eastAsia" w:ascii="宋体" w:hAnsi="宋体" w:eastAsia="宋体" w:cs="宋体"/>
          <w:b/>
          <w:sz w:val="24"/>
          <w:szCs w:val="24"/>
          <w:highlight w:val="none"/>
        </w:rPr>
        <w:t xml:space="preserve">第十二条  </w:t>
      </w:r>
      <w:r>
        <w:rPr>
          <w:rFonts w:hint="eastAsia" w:ascii="宋体" w:hAnsi="宋体" w:eastAsia="宋体" w:cs="宋体"/>
          <w:b/>
          <w:kern w:val="0"/>
          <w:sz w:val="24"/>
          <w:szCs w:val="24"/>
          <w:highlight w:val="none"/>
        </w:rPr>
        <w:t>合同的变更和终止</w:t>
      </w:r>
      <w:bookmarkEnd w:id="41"/>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1D77086">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bookmarkStart w:id="42" w:name="_Toc239568424"/>
      <w:bookmarkStart w:id="43" w:name="_Toc286993793"/>
      <w:bookmarkStart w:id="44" w:name="_Toc282696231"/>
      <w:bookmarkStart w:id="45" w:name="_Toc283019219"/>
      <w:bookmarkStart w:id="46" w:name="_Toc211854455"/>
      <w:bookmarkStart w:id="47" w:name="_Toc232492934"/>
      <w:bookmarkStart w:id="48" w:name="_Toc225244858"/>
      <w:bookmarkStart w:id="49" w:name="_Toc225670757"/>
      <w:bookmarkStart w:id="50" w:name="_Toc237145412"/>
      <w:bookmarkStart w:id="51" w:name="_Toc239233920"/>
      <w:bookmarkStart w:id="52" w:name="_Toc247334847"/>
      <w:bookmarkStart w:id="53" w:name="_Toc251768868"/>
      <w:bookmarkStart w:id="54" w:name="_Toc225654650"/>
      <w:bookmarkStart w:id="55" w:name="_Toc241833909"/>
      <w:bookmarkStart w:id="56" w:name="_Toc211911354"/>
      <w:bookmarkStart w:id="57" w:name="_Toc238984981"/>
      <w:bookmarkStart w:id="58" w:name="_Toc185395255"/>
      <w:bookmarkStart w:id="59" w:name="_Toc212019600"/>
      <w:r>
        <w:rPr>
          <w:rFonts w:hint="eastAsia" w:hAnsi="宋体" w:cs="宋体"/>
          <w:kern w:val="0"/>
          <w:sz w:val="24"/>
          <w:szCs w:val="24"/>
          <w:highlight w:val="none"/>
          <w:lang w:val="en-US" w:eastAsia="zh-CN"/>
        </w:rPr>
        <w:t>1.</w:t>
      </w:r>
      <w:r>
        <w:rPr>
          <w:rFonts w:hint="eastAsia" w:ascii="宋体" w:hAnsi="宋体" w:eastAsia="宋体" w:cs="宋体"/>
          <w:kern w:val="0"/>
          <w:sz w:val="24"/>
          <w:szCs w:val="24"/>
          <w:highlight w:val="none"/>
        </w:rPr>
        <w:t>出现下列情形之一的，甲方有权单方解除本合同，并要求乙方承担相应的违约责任：</w:t>
      </w:r>
    </w:p>
    <w:p w14:paraId="4FD7EABA">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1</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服务质量重大失误：乙方提供的服务不符合合同附件约定的服务质量标准，出现重大责任事故 （如服务过程中导致老人摔伤、走失、食用不适食品导致健康受损等），经认定乙方应承担主要或全部责任的。</w:t>
      </w:r>
    </w:p>
    <w:p w14:paraId="74091BD6">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2</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负面舆情：因乙方或其员工的行为，在公共媒体、网络平台等引发重大负面舆情，对甲方或本项目的声誉造成严重损害，且乙方未能采取有效措施消除负面影响或给出令甲方满意的解释与解决方案的。</w:t>
      </w:r>
    </w:p>
    <w:p w14:paraId="352C43E9">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3</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违反法律法规：乙方在履行合同期间违反国家相关法律、法规，被行政机关处罚，影响本合同继续履行的。</w:t>
      </w:r>
    </w:p>
    <w:p w14:paraId="437D46C9">
      <w:pPr>
        <w:keepNext w:val="0"/>
        <w:keepLines w:val="0"/>
        <w:pageBreakBefore w:val="0"/>
        <w:widowControl/>
        <w:kinsoku/>
        <w:wordWrap/>
        <w:overflowPunct/>
        <w:topLinePunct w:val="0"/>
        <w:autoSpaceDE/>
        <w:autoSpaceDN/>
        <w:bidi w:val="0"/>
        <w:snapToGrid/>
        <w:spacing w:line="360" w:lineRule="auto"/>
        <w:ind w:left="480" w:leftChars="200" w:firstLine="0" w:firstLineChars="0"/>
        <w:jc w:val="left"/>
        <w:rPr>
          <w:rFonts w:hint="eastAsia" w:hAnsi="宋体" w:cs="宋体"/>
          <w:kern w:val="0"/>
          <w:sz w:val="24"/>
          <w:szCs w:val="24"/>
          <w:highlight w:val="none"/>
          <w:lang w:eastAsia="zh-CN"/>
        </w:rPr>
      </w:pPr>
      <w:r>
        <w:rPr>
          <w:rFonts w:hint="eastAsia" w:hAnsi="宋体" w:cs="宋体"/>
          <w:kern w:val="0"/>
          <w:sz w:val="24"/>
          <w:szCs w:val="24"/>
          <w:highlight w:val="none"/>
          <w:lang w:eastAsia="zh-CN"/>
        </w:rPr>
        <w:t>（</w:t>
      </w:r>
      <w:r>
        <w:rPr>
          <w:rFonts w:hint="eastAsia" w:hAnsi="宋体" w:cs="宋体"/>
          <w:kern w:val="0"/>
          <w:sz w:val="24"/>
          <w:szCs w:val="24"/>
          <w:highlight w:val="none"/>
          <w:lang w:val="en-US" w:eastAsia="zh-CN"/>
        </w:rPr>
        <w:t>4</w:t>
      </w:r>
      <w:r>
        <w:rPr>
          <w:rFonts w:hint="eastAsia" w:hAnsi="宋体" w:cs="宋体"/>
          <w:kern w:val="0"/>
          <w:sz w:val="24"/>
          <w:szCs w:val="24"/>
          <w:highlight w:val="none"/>
          <w:lang w:eastAsia="zh-CN"/>
        </w:rPr>
        <w:t>）</w:t>
      </w:r>
      <w:r>
        <w:rPr>
          <w:rFonts w:hint="eastAsia" w:ascii="宋体" w:hAnsi="宋体" w:eastAsia="宋体" w:cs="宋体"/>
          <w:kern w:val="0"/>
          <w:sz w:val="24"/>
          <w:szCs w:val="24"/>
          <w:highlight w:val="none"/>
        </w:rPr>
        <w:t>其他情形：经甲方考核或研判，乙方提供的服务不满足约定的服务质量标准的</w:t>
      </w:r>
      <w:r>
        <w:rPr>
          <w:rFonts w:hint="eastAsia" w:hAnsi="宋体" w:cs="宋体"/>
          <w:kern w:val="0"/>
          <w:sz w:val="24"/>
          <w:szCs w:val="24"/>
          <w:highlight w:val="none"/>
          <w:lang w:eastAsia="zh-CN"/>
        </w:rPr>
        <w:t>。</w:t>
      </w:r>
    </w:p>
    <w:p w14:paraId="3153C664">
      <w:pPr>
        <w:keepNext w:val="0"/>
        <w:keepLines w:val="0"/>
        <w:pageBreakBefore w:val="0"/>
        <w:widowControl/>
        <w:kinsoku/>
        <w:wordWrap/>
        <w:overflowPunct/>
        <w:topLinePunct w:val="0"/>
        <w:autoSpaceDE/>
        <w:autoSpaceDN/>
        <w:bidi w:val="0"/>
        <w:snapToGrid/>
        <w:spacing w:line="360" w:lineRule="auto"/>
        <w:ind w:firstLine="480" w:firstLineChars="200"/>
        <w:jc w:val="left"/>
        <w:rPr>
          <w:rFonts w:hint="eastAsia" w:ascii="宋体" w:hAnsi="宋体" w:eastAsia="宋体" w:cs="宋体"/>
          <w:kern w:val="0"/>
          <w:sz w:val="24"/>
          <w:szCs w:val="24"/>
          <w:highlight w:val="none"/>
        </w:rPr>
      </w:pPr>
      <w:r>
        <w:rPr>
          <w:rFonts w:hint="eastAsia" w:hAnsi="宋体" w:cs="宋体"/>
          <w:kern w:val="0"/>
          <w:sz w:val="24"/>
          <w:szCs w:val="24"/>
          <w:highlight w:val="none"/>
          <w:lang w:val="en-US" w:eastAsia="zh-CN"/>
        </w:rPr>
        <w:t>2.</w:t>
      </w:r>
      <w:r>
        <w:rPr>
          <w:rFonts w:hint="eastAsia" w:ascii="宋体" w:hAnsi="宋体" w:eastAsia="宋体" w:cs="宋体"/>
          <w:kern w:val="0"/>
          <w:sz w:val="24"/>
          <w:szCs w:val="24"/>
          <w:highlight w:val="none"/>
        </w:rPr>
        <w:t>除</w:t>
      </w:r>
      <w:r>
        <w:rPr>
          <w:rFonts w:hint="eastAsia" w:hAnsi="宋体" w:cs="宋体"/>
          <w:kern w:val="0"/>
          <w:sz w:val="24"/>
          <w:szCs w:val="24"/>
          <w:highlight w:val="none"/>
          <w:lang w:val="en-US" w:eastAsia="zh-CN"/>
        </w:rPr>
        <w:t>以上内容及</w:t>
      </w:r>
      <w:r>
        <w:rPr>
          <w:rFonts w:hint="eastAsia" w:ascii="宋体" w:hAnsi="宋体" w:eastAsia="宋体" w:cs="宋体"/>
          <w:kern w:val="0"/>
          <w:sz w:val="24"/>
          <w:szCs w:val="24"/>
          <w:highlight w:val="none"/>
        </w:rPr>
        <w:t>《中华人民共和国政府采购法》第49条、第50条第二款规定的情形外，本合同一经签订，甲乙双方不得擅自变更、中止或终止合同。</w:t>
      </w:r>
    </w:p>
    <w:p w14:paraId="54DAE590">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0" w:name="_Toc32004"/>
      <w:r>
        <w:rPr>
          <w:rFonts w:hint="eastAsia" w:ascii="宋体" w:hAnsi="宋体" w:eastAsia="宋体" w:cs="宋体"/>
          <w:b/>
          <w:sz w:val="24"/>
          <w:szCs w:val="24"/>
          <w:highlight w:val="none"/>
        </w:rPr>
        <w:t>第十三条  解决合同纠纷的方式</w:t>
      </w:r>
      <w:bookmarkEnd w:id="60"/>
    </w:p>
    <w:p w14:paraId="4FE3AE9E">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1</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在执行本合同中发生的或与本合同有关的争端，双方应通过友好协商解决，经协商在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天内不能达成协议时，</w:t>
      </w:r>
      <w:r>
        <w:rPr>
          <w:rFonts w:hint="eastAsia" w:ascii="宋体" w:hAnsi="宋体" w:eastAsia="宋体" w:cs="宋体"/>
          <w:kern w:val="0"/>
          <w:sz w:val="24"/>
          <w:szCs w:val="24"/>
          <w:highlight w:val="none"/>
        </w:rPr>
        <w:t>则采取以下第</w:t>
      </w:r>
      <w:r>
        <w:rPr>
          <w:rFonts w:hint="eastAsia" w:ascii="宋体" w:hAnsi="宋体" w:eastAsia="宋体" w:cs="宋体"/>
          <w:kern w:val="0"/>
          <w:sz w:val="24"/>
          <w:szCs w:val="24"/>
          <w:highlight w:val="none"/>
          <w:u w:val="single"/>
        </w:rPr>
        <w:t xml:space="preserve"> 1 </w:t>
      </w:r>
      <w:r>
        <w:rPr>
          <w:rFonts w:hint="eastAsia" w:ascii="宋体" w:hAnsi="宋体" w:eastAsia="宋体" w:cs="宋体"/>
          <w:kern w:val="0"/>
          <w:sz w:val="24"/>
          <w:szCs w:val="24"/>
          <w:highlight w:val="none"/>
        </w:rPr>
        <w:t>种方式解决争议：</w:t>
      </w:r>
    </w:p>
    <w:p w14:paraId="7C2DBC09">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（1）向甲方所在地有管辖权的人民法院提起诉讼；</w:t>
      </w:r>
    </w:p>
    <w:p w14:paraId="0A570BB4">
      <w:pPr>
        <w:pStyle w:val="12"/>
        <w:keepNext w:val="0"/>
        <w:keepLines w:val="0"/>
        <w:pageBreakBefore w:val="0"/>
        <w:kinsoku/>
        <w:wordWrap/>
        <w:overflowPunct/>
        <w:topLinePunct w:val="0"/>
        <w:autoSpaceDE/>
        <w:autoSpaceDN/>
        <w:bidi w:val="0"/>
        <w:snapToGrid/>
        <w:spacing w:line="360" w:lineRule="auto"/>
        <w:ind w:firstLine="42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仲裁委员会按其仲裁规则申请仲裁。</w:t>
      </w:r>
    </w:p>
    <w:p w14:paraId="139B969D">
      <w:pPr>
        <w:keepNext w:val="0"/>
        <w:keepLines w:val="0"/>
        <w:pageBreakBefore w:val="0"/>
        <w:tabs>
          <w:tab w:val="left" w:pos="0"/>
        </w:tabs>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Cs/>
          <w:color w:val="auto"/>
          <w:sz w:val="24"/>
          <w:szCs w:val="24"/>
          <w:highlight w:val="none"/>
        </w:rPr>
        <w:t>.</w:t>
      </w:r>
      <w:r>
        <w:rPr>
          <w:rFonts w:hint="eastAsia" w:ascii="宋体" w:hAnsi="宋体" w:eastAsia="宋体" w:cs="宋体"/>
          <w:kern w:val="0"/>
          <w:sz w:val="24"/>
          <w:szCs w:val="24"/>
          <w:highlight w:val="none"/>
        </w:rPr>
        <w:t>在仲裁期间，本合同应继续履行。</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9274063">
      <w:pPr>
        <w:keepNext w:val="0"/>
        <w:keepLines w:val="0"/>
        <w:pageBreakBefore w:val="0"/>
        <w:kinsoku/>
        <w:wordWrap/>
        <w:overflowPunct/>
        <w:topLinePunct w:val="0"/>
        <w:autoSpaceDE/>
        <w:autoSpaceDN/>
        <w:bidi w:val="0"/>
        <w:snapToGrid/>
        <w:spacing w:line="360" w:lineRule="auto"/>
        <w:ind w:left="426"/>
        <w:outlineLvl w:val="1"/>
        <w:rPr>
          <w:rFonts w:hint="eastAsia" w:ascii="宋体" w:hAnsi="宋体" w:eastAsia="宋体" w:cs="宋体"/>
          <w:b/>
          <w:sz w:val="24"/>
          <w:szCs w:val="24"/>
          <w:highlight w:val="none"/>
        </w:rPr>
      </w:pPr>
      <w:bookmarkStart w:id="61" w:name="_Toc28433"/>
      <w:r>
        <w:rPr>
          <w:rFonts w:hint="eastAsia" w:ascii="宋体" w:hAnsi="宋体" w:eastAsia="宋体" w:cs="宋体"/>
          <w:b/>
          <w:sz w:val="24"/>
          <w:szCs w:val="24"/>
          <w:highlight w:val="none"/>
        </w:rPr>
        <w:t>第十四条  合同生效及其他</w:t>
      </w:r>
      <w:bookmarkEnd w:id="61"/>
    </w:p>
    <w:p w14:paraId="185BB2B4">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合同经双方法定代表人（单位负责人）或授权委托代理人签字并加盖单位公章并由采购代理机构盖章后生效。</w:t>
      </w:r>
    </w:p>
    <w:p w14:paraId="7F00FA07">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合同执行中涉及采购资金和采购内容修改或补充的，须经政府采购监管部门审批，并签书面补充协议报政府采购监督管理部门备案，方可作为主合同不可分割的一部分。</w:t>
      </w:r>
    </w:p>
    <w:p w14:paraId="2967F43E">
      <w:pPr>
        <w:pStyle w:val="13"/>
        <w:keepNext w:val="0"/>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bCs/>
          <w:color w:val="auto"/>
          <w:sz w:val="24"/>
          <w:szCs w:val="24"/>
          <w:highlight w:val="none"/>
        </w:rPr>
        <w:t>.</w:t>
      </w: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cs="宋体"/>
          <w:sz w:val="24"/>
          <w:szCs w:val="24"/>
          <w:highlight w:val="none"/>
          <w:lang w:val="en-US" w:eastAsia="zh-CN"/>
        </w:rPr>
        <w:t>叁</w:t>
      </w:r>
      <w:r>
        <w:rPr>
          <w:rFonts w:hint="eastAsia" w:ascii="宋体" w:hAnsi="宋体" w:eastAsia="宋体" w:cs="宋体"/>
          <w:sz w:val="24"/>
          <w:szCs w:val="24"/>
          <w:highlight w:val="none"/>
        </w:rPr>
        <w:t>份，乙方</w:t>
      </w:r>
      <w:r>
        <w:rPr>
          <w:rFonts w:hint="eastAsia" w:ascii="宋体" w:hAnsi="宋体" w:cs="宋体"/>
          <w:sz w:val="24"/>
          <w:szCs w:val="24"/>
          <w:highlight w:val="none"/>
          <w:lang w:val="en-US" w:eastAsia="zh-CN"/>
        </w:rPr>
        <w:t>叁</w:t>
      </w:r>
      <w:bookmarkStart w:id="62" w:name="_GoBack"/>
      <w:bookmarkEnd w:id="62"/>
      <w:r>
        <w:rPr>
          <w:rFonts w:hint="eastAsia" w:ascii="宋体" w:hAnsi="宋体" w:eastAsia="宋体" w:cs="宋体"/>
          <w:sz w:val="24"/>
          <w:szCs w:val="24"/>
          <w:highlight w:val="none"/>
        </w:rPr>
        <w:t>份，具有同等法律效力。</w:t>
      </w:r>
    </w:p>
    <w:p w14:paraId="7EECCDA8">
      <w:pPr>
        <w:keepNext w:val="0"/>
        <w:keepLines w:val="0"/>
        <w:pageBreakBefore w:val="0"/>
        <w:kinsoku/>
        <w:wordWrap/>
        <w:overflowPunct/>
        <w:topLinePunct w:val="0"/>
        <w:autoSpaceDE/>
        <w:autoSpaceDN/>
        <w:bidi w:val="0"/>
        <w:spacing w:line="360" w:lineRule="auto"/>
        <w:rPr>
          <w:rFonts w:hint="eastAsia" w:hAnsi="宋体"/>
          <w:b/>
          <w:bCs/>
          <w:color w:val="000000"/>
          <w:kern w:val="2"/>
          <w:sz w:val="36"/>
          <w:szCs w:val="36"/>
          <w:highlight w:val="none"/>
          <w:lang w:val="en-US" w:eastAsia="zh-CN"/>
        </w:rPr>
      </w:pPr>
    </w:p>
    <w:p w14:paraId="491CF86B">
      <w:pPr>
        <w:pStyle w:val="13"/>
        <w:keepNext w:val="0"/>
        <w:keepLines w:val="0"/>
        <w:pageBreakBefore w:val="0"/>
        <w:kinsoku/>
        <w:wordWrap/>
        <w:overflowPunct/>
        <w:topLinePunct w:val="0"/>
        <w:autoSpaceDE/>
        <w:autoSpaceDN/>
        <w:bidi w:val="0"/>
        <w:snapToGrid/>
        <w:spacing w:line="360" w:lineRule="auto"/>
        <w:ind w:left="0"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（以下无正文）</w:t>
      </w:r>
    </w:p>
    <w:p w14:paraId="14F98BB1">
      <w:pPr>
        <w:pStyle w:val="4"/>
        <w:keepNext w:val="0"/>
        <w:keepLines w:val="0"/>
        <w:pageBreakBefore w:val="0"/>
        <w:kinsoku/>
        <w:wordWrap/>
        <w:overflowPunct/>
        <w:topLinePunct w:val="0"/>
        <w:autoSpaceDE/>
        <w:autoSpaceDN/>
        <w:bidi w:val="0"/>
        <w:spacing w:line="360" w:lineRule="auto"/>
        <w:rPr>
          <w:rFonts w:hint="eastAsia" w:hAnsi="宋体"/>
          <w:b/>
          <w:bCs/>
          <w:color w:val="000000"/>
          <w:sz w:val="36"/>
          <w:szCs w:val="36"/>
          <w:highlight w:val="none"/>
        </w:rPr>
      </w:pPr>
    </w:p>
    <w:p w14:paraId="5E0AFCAD">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甲方：   （盖章）</w:t>
      </w:r>
      <w:r>
        <w:rPr>
          <w:rFonts w:hAnsi="宋体"/>
          <w:color w:val="000000"/>
          <w:highlight w:val="none"/>
        </w:rPr>
        <w:t xml:space="preserve">   </w:t>
      </w:r>
      <w:r>
        <w:rPr>
          <w:rFonts w:hAnsi="宋体"/>
          <w:color w:val="000000"/>
          <w:highlight w:val="none"/>
        </w:rPr>
        <w:tab/>
      </w:r>
      <w:r>
        <w:rPr>
          <w:rFonts w:hAnsi="宋体"/>
          <w:color w:val="000000"/>
          <w:highlight w:val="none"/>
        </w:rPr>
        <w:tab/>
      </w:r>
      <w:r>
        <w:rPr>
          <w:rFonts w:hAnsi="宋体"/>
          <w:color w:val="000000"/>
          <w:highlight w:val="none"/>
        </w:rPr>
        <w:tab/>
      </w:r>
      <w:r>
        <w:rPr>
          <w:rFonts w:hAnsi="宋体"/>
          <w:color w:val="000000"/>
          <w:highlight w:val="none"/>
        </w:rPr>
        <w:t xml:space="preserve">    </w:t>
      </w:r>
      <w:r>
        <w:rPr>
          <w:rFonts w:hint="eastAsia" w:hAnsi="宋体"/>
          <w:color w:val="000000"/>
          <w:highlight w:val="none"/>
        </w:rPr>
        <w:t xml:space="preserve">       </w:t>
      </w:r>
      <w:r>
        <w:rPr>
          <w:rFonts w:hint="eastAsia" w:hAnsi="宋体"/>
          <w:color w:val="000000"/>
          <w:highlight w:val="none"/>
          <w:lang w:val="en-US" w:eastAsia="zh-CN"/>
        </w:rPr>
        <w:t xml:space="preserve"> </w:t>
      </w:r>
      <w:r>
        <w:rPr>
          <w:rFonts w:hint="eastAsia" w:hAnsi="宋体"/>
          <w:color w:val="000000"/>
          <w:highlight w:val="none"/>
        </w:rPr>
        <w:t>乙方：</w:t>
      </w:r>
      <w:r>
        <w:rPr>
          <w:rFonts w:hAnsi="宋体"/>
          <w:color w:val="000000"/>
          <w:highlight w:val="none"/>
        </w:rPr>
        <w:t xml:space="preserve">   </w:t>
      </w:r>
      <w:r>
        <w:rPr>
          <w:rFonts w:hint="eastAsia" w:hAnsi="宋体"/>
          <w:color w:val="000000"/>
          <w:highlight w:val="none"/>
        </w:rPr>
        <w:t>（盖章）</w:t>
      </w:r>
    </w:p>
    <w:p w14:paraId="3FD2669F">
      <w:pPr>
        <w:keepNext w:val="0"/>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法定代表人（单位负责人）：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法定代表人（单位负责人）：</w:t>
      </w:r>
    </w:p>
    <w:p w14:paraId="4B37190B">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地</w:t>
      </w:r>
      <w:r>
        <w:rPr>
          <w:rFonts w:hAnsi="宋体"/>
          <w:color w:val="000000"/>
          <w:highlight w:val="none"/>
        </w:rPr>
        <w:t xml:space="preserve">    </w:t>
      </w:r>
      <w:r>
        <w:rPr>
          <w:rFonts w:hint="eastAsia" w:hAnsi="宋体"/>
          <w:color w:val="000000"/>
          <w:highlight w:val="none"/>
        </w:rPr>
        <w:t>址：</w:t>
      </w:r>
      <w:r>
        <w:rPr>
          <w:rFonts w:hAnsi="宋体"/>
          <w:color w:val="000000"/>
          <w:highlight w:val="none"/>
        </w:rPr>
        <w:t xml:space="preserve">                         </w:t>
      </w:r>
      <w:r>
        <w:rPr>
          <w:rFonts w:hint="eastAsia" w:hAnsi="宋体"/>
          <w:color w:val="000000"/>
          <w:highlight w:val="none"/>
        </w:rPr>
        <w:t xml:space="preserve">    地</w:t>
      </w:r>
      <w:r>
        <w:rPr>
          <w:rFonts w:hAnsi="宋体"/>
          <w:color w:val="000000"/>
          <w:highlight w:val="none"/>
        </w:rPr>
        <w:t xml:space="preserve">    </w:t>
      </w:r>
      <w:r>
        <w:rPr>
          <w:rFonts w:hint="eastAsia" w:hAnsi="宋体"/>
          <w:color w:val="000000"/>
          <w:highlight w:val="none"/>
        </w:rPr>
        <w:t>址：</w:t>
      </w:r>
    </w:p>
    <w:p w14:paraId="48134B19">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开户银行：</w:t>
      </w:r>
      <w:r>
        <w:rPr>
          <w:rFonts w:hAnsi="宋体"/>
          <w:color w:val="000000"/>
          <w:highlight w:val="none"/>
        </w:rPr>
        <w:t xml:space="preserve">                         </w:t>
      </w:r>
      <w:r>
        <w:rPr>
          <w:rFonts w:hint="eastAsia" w:hAnsi="宋体"/>
          <w:color w:val="000000"/>
          <w:highlight w:val="none"/>
        </w:rPr>
        <w:t xml:space="preserve">    开户银行：</w:t>
      </w:r>
    </w:p>
    <w:p w14:paraId="4317F6EC">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账号：</w:t>
      </w:r>
      <w:r>
        <w:rPr>
          <w:rFonts w:hAnsi="宋体"/>
          <w:color w:val="000000"/>
          <w:highlight w:val="none"/>
        </w:rPr>
        <w:t xml:space="preserve">                             </w:t>
      </w:r>
      <w:r>
        <w:rPr>
          <w:rFonts w:hint="eastAsia" w:hAnsi="宋体"/>
          <w:color w:val="000000"/>
          <w:highlight w:val="none"/>
        </w:rPr>
        <w:t xml:space="preserve">    账号：</w:t>
      </w:r>
    </w:p>
    <w:p w14:paraId="454C7060">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电</w:t>
      </w:r>
      <w:r>
        <w:rPr>
          <w:rFonts w:hAnsi="宋体"/>
          <w:color w:val="000000"/>
          <w:highlight w:val="none"/>
        </w:rPr>
        <w:t xml:space="preserve">    </w:t>
      </w:r>
      <w:r>
        <w:rPr>
          <w:rFonts w:hint="eastAsia" w:hAnsi="宋体"/>
          <w:color w:val="000000"/>
          <w:highlight w:val="none"/>
        </w:rPr>
        <w:t>话：</w:t>
      </w:r>
      <w:r>
        <w:rPr>
          <w:rFonts w:hAnsi="宋体"/>
          <w:color w:val="000000"/>
          <w:highlight w:val="none"/>
        </w:rPr>
        <w:t xml:space="preserve">                        </w:t>
      </w:r>
      <w:r>
        <w:rPr>
          <w:rFonts w:hint="eastAsia" w:hAnsi="宋体"/>
          <w:color w:val="000000"/>
          <w:highlight w:val="none"/>
        </w:rPr>
        <w:t xml:space="preserve">   </w:t>
      </w:r>
      <w:r>
        <w:rPr>
          <w:rFonts w:hAnsi="宋体"/>
          <w:color w:val="000000"/>
          <w:highlight w:val="none"/>
        </w:rPr>
        <w:t xml:space="preserve"> </w:t>
      </w:r>
      <w:r>
        <w:rPr>
          <w:rFonts w:hint="eastAsia" w:hAnsi="宋体"/>
          <w:color w:val="000000"/>
          <w:highlight w:val="none"/>
        </w:rPr>
        <w:t xml:space="preserve"> 电</w:t>
      </w:r>
      <w:r>
        <w:rPr>
          <w:rFonts w:hAnsi="宋体"/>
          <w:color w:val="000000"/>
          <w:highlight w:val="none"/>
        </w:rPr>
        <w:t xml:space="preserve">    </w:t>
      </w:r>
      <w:r>
        <w:rPr>
          <w:rFonts w:hint="eastAsia" w:hAnsi="宋体"/>
          <w:color w:val="000000"/>
          <w:highlight w:val="none"/>
        </w:rPr>
        <w:t>话：</w:t>
      </w:r>
    </w:p>
    <w:p w14:paraId="169AA972">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传</w:t>
      </w:r>
      <w:r>
        <w:rPr>
          <w:rFonts w:hAnsi="宋体"/>
          <w:color w:val="000000"/>
          <w:highlight w:val="none"/>
        </w:rPr>
        <w:t xml:space="preserve">    </w:t>
      </w:r>
      <w:r>
        <w:rPr>
          <w:rFonts w:hint="eastAsia" w:hAnsi="宋体"/>
          <w:color w:val="000000"/>
          <w:highlight w:val="none"/>
        </w:rPr>
        <w:t>真：</w:t>
      </w:r>
      <w:r>
        <w:rPr>
          <w:rFonts w:hAnsi="宋体"/>
          <w:color w:val="000000"/>
          <w:highlight w:val="none"/>
        </w:rPr>
        <w:t xml:space="preserve">                        </w:t>
      </w:r>
      <w:r>
        <w:rPr>
          <w:rFonts w:hint="eastAsia" w:hAnsi="宋体"/>
          <w:color w:val="000000"/>
          <w:highlight w:val="none"/>
        </w:rPr>
        <w:t xml:space="preserve">   </w:t>
      </w:r>
      <w:r>
        <w:rPr>
          <w:rFonts w:hAnsi="宋体"/>
          <w:color w:val="000000"/>
          <w:highlight w:val="none"/>
        </w:rPr>
        <w:t xml:space="preserve"> </w:t>
      </w:r>
      <w:r>
        <w:rPr>
          <w:rFonts w:hint="eastAsia" w:hAnsi="宋体"/>
          <w:color w:val="000000"/>
          <w:highlight w:val="none"/>
        </w:rPr>
        <w:t xml:space="preserve"> 传</w:t>
      </w:r>
      <w:r>
        <w:rPr>
          <w:rFonts w:hAnsi="宋体"/>
          <w:color w:val="000000"/>
          <w:highlight w:val="none"/>
        </w:rPr>
        <w:t xml:space="preserve">    </w:t>
      </w:r>
      <w:r>
        <w:rPr>
          <w:rFonts w:hint="eastAsia" w:hAnsi="宋体"/>
          <w:color w:val="000000"/>
          <w:highlight w:val="none"/>
        </w:rPr>
        <w:t>真：</w:t>
      </w:r>
    </w:p>
    <w:p w14:paraId="4EB536DE">
      <w:pPr>
        <w:keepNext w:val="0"/>
        <w:keepLines w:val="0"/>
        <w:pageBreakBefore w:val="0"/>
        <w:kinsoku/>
        <w:wordWrap/>
        <w:overflowPunct/>
        <w:topLinePunct w:val="0"/>
        <w:autoSpaceDE/>
        <w:autoSpaceDN/>
        <w:bidi w:val="0"/>
        <w:spacing w:line="360" w:lineRule="auto"/>
        <w:ind w:firstLine="480" w:firstLineChars="200"/>
        <w:rPr>
          <w:rFonts w:hAnsi="宋体"/>
          <w:color w:val="000000"/>
          <w:highlight w:val="none"/>
        </w:rPr>
      </w:pPr>
      <w:r>
        <w:rPr>
          <w:rFonts w:hint="eastAsia" w:hAnsi="宋体"/>
          <w:color w:val="000000"/>
          <w:highlight w:val="none"/>
        </w:rPr>
        <w:t>签约日期：  年   月  日</w:t>
      </w:r>
      <w:r>
        <w:rPr>
          <w:rFonts w:hAnsi="宋体"/>
          <w:color w:val="000000"/>
          <w:highlight w:val="none"/>
        </w:rPr>
        <w:t xml:space="preserve"> </w:t>
      </w:r>
      <w:r>
        <w:rPr>
          <w:rFonts w:hint="eastAsia" w:hAnsi="宋体"/>
          <w:color w:val="000000"/>
          <w:highlight w:val="none"/>
          <w:lang w:val="en-US" w:eastAsia="zh-CN"/>
        </w:rPr>
        <w:t xml:space="preserve">               </w:t>
      </w:r>
      <w:r>
        <w:rPr>
          <w:rFonts w:hint="eastAsia" w:hAnsi="宋体"/>
          <w:color w:val="000000"/>
          <w:highlight w:val="none"/>
        </w:rPr>
        <w:t>签约日期：  年   月  日</w:t>
      </w:r>
    </w:p>
    <w:p w14:paraId="261B3139">
      <w:pPr>
        <w:keepNext w:val="0"/>
        <w:keepLines w:val="0"/>
        <w:pageBreakBefore w:val="0"/>
        <w:kinsoku/>
        <w:wordWrap/>
        <w:overflowPunct/>
        <w:topLinePunct w:val="0"/>
        <w:autoSpaceDE/>
        <w:autoSpaceDN/>
        <w:bidi w:val="0"/>
        <w:spacing w:line="360" w:lineRule="auto"/>
        <w:rPr>
          <w:highlight w:val="none"/>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7901AAF"/>
    <w:rsid w:val="13654854"/>
    <w:rsid w:val="15F54073"/>
    <w:rsid w:val="183E4A6D"/>
    <w:rsid w:val="1B6B2203"/>
    <w:rsid w:val="1E0E6FAA"/>
    <w:rsid w:val="21D51C20"/>
    <w:rsid w:val="2B944ACD"/>
    <w:rsid w:val="34127DD9"/>
    <w:rsid w:val="37901AAF"/>
    <w:rsid w:val="3C6542D3"/>
    <w:rsid w:val="3EC41A91"/>
    <w:rsid w:val="41E1437B"/>
    <w:rsid w:val="493C0405"/>
    <w:rsid w:val="53F77456"/>
    <w:rsid w:val="551B6187"/>
    <w:rsid w:val="594251A5"/>
    <w:rsid w:val="5BD801C0"/>
    <w:rsid w:val="5FC54955"/>
    <w:rsid w:val="64617D51"/>
    <w:rsid w:val="6BCA581A"/>
    <w:rsid w:val="706F478E"/>
    <w:rsid w:val="7659369A"/>
    <w:rsid w:val="796C3F60"/>
    <w:rsid w:val="79F47C5A"/>
    <w:rsid w:val="7C87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toc 1"/>
    <w:basedOn w:val="1"/>
    <w:next w:val="1"/>
    <w:qFormat/>
    <w:uiPriority w:val="39"/>
  </w:style>
  <w:style w:type="paragraph" w:styleId="7">
    <w:name w:val="Normal (Web)"/>
    <w:basedOn w:val="1"/>
    <w:next w:val="5"/>
    <w:qFormat/>
    <w:uiPriority w:val="0"/>
    <w:pPr>
      <w:widowControl/>
      <w:spacing w:before="100" w:beforeAutospacing="1" w:after="100" w:afterAutospacing="1"/>
      <w:jc w:val="left"/>
    </w:pPr>
    <w:rPr>
      <w:rFonts w:hAnsi="宋体"/>
      <w:szCs w:val="24"/>
    </w:rPr>
  </w:style>
  <w:style w:type="paragraph" w:styleId="8">
    <w:name w:val="Body Text First Indent"/>
    <w:basedOn w:val="3"/>
    <w:qFormat/>
    <w:uiPriority w:val="0"/>
    <w:rPr>
      <w:rFonts w:hAnsi="宋体"/>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首行缩进:  2 字符"/>
    <w:basedOn w:val="1"/>
    <w:qFormat/>
    <w:uiPriority w:val="0"/>
    <w:pPr>
      <w:spacing w:line="400" w:lineRule="exact"/>
      <w:ind w:firstLine="200" w:firstLineChars="200"/>
    </w:pPr>
    <w:rPr>
      <w:rFonts w:cs="宋体"/>
      <w:sz w:val="24"/>
    </w:rPr>
  </w:style>
  <w:style w:type="paragraph" w:styleId="13">
    <w:name w:val="List Paragraph"/>
    <w:basedOn w:val="1"/>
    <w:qFormat/>
    <w:uiPriority w:val="34"/>
    <w:pPr>
      <w:ind w:firstLine="420" w:firstLineChars="200"/>
    </w:pPr>
    <w:rPr>
      <w:rFonts w:ascii="Calibri" w:hAnsi="Calibri"/>
      <w:kern w:val="2"/>
      <w:sz w:val="21"/>
      <w:szCs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2768</Words>
  <Characters>2808</Characters>
  <Lines>0</Lines>
  <Paragraphs>0</Paragraphs>
  <TotalTime>1</TotalTime>
  <ScaleCrop>false</ScaleCrop>
  <LinksUpToDate>false</LinksUpToDate>
  <CharactersWithSpaces>3186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2023-12-12T05:53:00Z</dcterms:created>
  <dc:creator>爽爽</dc:creator>
  <cp:lastModifiedBy> </cp:lastModifiedBy>
  <dcterms:modified xsi:type="dcterms:W3CDTF">2026-08-05T11:49:05Z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C9D8403BB9A7438396908D2B0FCEAAB3_11</vt:lpwstr>
  </property>
  <property fmtid="{D5CDD505-2E9C-101B-9397-08002B2CF9AE}" pid="4" name="KSOTemplateDocerSaveRecord">
    <vt:lpwstr>eyJoZGlkIjoiNGE3MmJlM2UwNjI3YTQ1NzNjMTJlZjY5MjllZjE0OTciLCJ1c2VySWQiOiI0NDI4MTA1MjgifQ==</vt:lpwstr>
  </property>
</Properties>
</file>