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AFACA2">
      <w:pPr>
        <w:spacing w:line="640" w:lineRule="exact"/>
        <w:jc w:val="center"/>
        <w:outlineLvl w:val="0"/>
        <w:rPr>
          <w:rFonts w:hint="eastAsia" w:ascii="仿宋" w:hAnsi="仿宋" w:eastAsia="仿宋" w:cs="仿宋"/>
          <w:color w:val="auto"/>
          <w:sz w:val="24"/>
        </w:rPr>
      </w:pPr>
      <w:r>
        <w:rPr>
          <w:rFonts w:hint="eastAsia" w:ascii="仿宋" w:hAnsi="仿宋" w:eastAsia="仿宋" w:cs="仿宋"/>
          <w:b/>
          <w:color w:val="auto"/>
          <w:kern w:val="0"/>
          <w:sz w:val="36"/>
          <w:szCs w:val="36"/>
          <w:lang w:eastAsia="zh-Hans"/>
        </w:rPr>
        <w:t>拟签订采购合同文本</w:t>
      </w:r>
    </w:p>
    <w:p w14:paraId="578276E1">
      <w:pPr>
        <w:spacing w:line="520" w:lineRule="exact"/>
        <w:jc w:val="center"/>
        <w:rPr>
          <w:rFonts w:ascii="方正公文小标宋" w:hAnsi="方正公文小标宋" w:eastAsia="方正公文小标宋" w:cs="方正公文小标宋"/>
          <w:b/>
          <w:bCs/>
          <w:sz w:val="44"/>
          <w:szCs w:val="44"/>
          <w:lang w:val="zh-CN"/>
        </w:rPr>
      </w:pPr>
    </w:p>
    <w:p w14:paraId="62699DE8">
      <w:pPr>
        <w:spacing w:line="360" w:lineRule="auto"/>
        <w:jc w:val="center"/>
        <w:rPr>
          <w:rFonts w:ascii="方正小标宋_GBK" w:hAnsi="方正小标宋_GBK" w:eastAsia="方正小标宋_GBK" w:cs="方正小标宋_GBK"/>
          <w:b/>
          <w:bCs/>
          <w:sz w:val="44"/>
          <w:szCs w:val="44"/>
        </w:rPr>
      </w:pPr>
      <w:r>
        <w:rPr>
          <w:rFonts w:hint="eastAsia" w:ascii="方正小标宋_GBK" w:hAnsi="方正小标宋_GBK" w:eastAsia="方正小标宋_GBK" w:cs="方正小标宋_GBK"/>
          <w:b/>
          <w:bCs/>
          <w:sz w:val="44"/>
          <w:szCs w:val="44"/>
          <w:lang w:bidi="ar"/>
        </w:rPr>
        <w:t>秦巴山区农林遥感与智能农机实验室</w:t>
      </w:r>
    </w:p>
    <w:p w14:paraId="3E59F50F">
      <w:pPr>
        <w:spacing w:line="360" w:lineRule="auto"/>
        <w:jc w:val="center"/>
        <w:rPr>
          <w:rFonts w:ascii="方正公文小标宋" w:hAnsi="方正公文小标宋" w:eastAsia="方正小标宋_GBK" w:cs="方正公文小标宋"/>
          <w:b/>
          <w:bCs/>
          <w:sz w:val="44"/>
          <w:szCs w:val="44"/>
        </w:rPr>
      </w:pPr>
      <w:r>
        <w:rPr>
          <w:rFonts w:hint="eastAsia" w:ascii="方正小标宋_GBK" w:hAnsi="方正小标宋_GBK" w:eastAsia="方正小标宋_GBK" w:cs="方正小标宋_GBK"/>
          <w:b/>
          <w:bCs/>
          <w:sz w:val="44"/>
          <w:szCs w:val="44"/>
          <w:lang w:bidi="ar"/>
        </w:rPr>
        <w:t>建设项目合同</w:t>
      </w:r>
    </w:p>
    <w:p w14:paraId="05557568">
      <w:pPr>
        <w:spacing w:line="360" w:lineRule="auto"/>
        <w:jc w:val="center"/>
        <w:rPr>
          <w:rFonts w:ascii="方正公文小标宋" w:hAnsi="方正公文小标宋" w:eastAsia="方正公文小标宋" w:cs="方正公文小标宋"/>
          <w:b/>
          <w:bCs/>
          <w:sz w:val="44"/>
          <w:szCs w:val="44"/>
        </w:rPr>
      </w:pPr>
      <w:r>
        <w:rPr>
          <w:rFonts w:hint="eastAsia" w:ascii="方正公文小标宋" w:hAnsi="方正公文小标宋" w:eastAsia="方正公文小标宋" w:cs="方正公文小标宋"/>
          <w:b/>
          <w:bCs/>
          <w:sz w:val="44"/>
          <w:szCs w:val="44"/>
          <w:lang w:bidi="ar"/>
        </w:rPr>
        <w:t xml:space="preserve"> </w:t>
      </w:r>
    </w:p>
    <w:p w14:paraId="56F9B26C">
      <w:pPr>
        <w:spacing w:line="360" w:lineRule="auto"/>
        <w:jc w:val="center"/>
        <w:rPr>
          <w:rFonts w:ascii="方正公文小标宋" w:hAnsi="方正公文小标宋" w:eastAsia="方正公文小标宋" w:cs="方正公文小标宋"/>
          <w:b/>
          <w:bCs/>
          <w:sz w:val="44"/>
          <w:szCs w:val="44"/>
        </w:rPr>
      </w:pPr>
    </w:p>
    <w:p w14:paraId="1EDCD796">
      <w:pPr>
        <w:spacing w:line="360" w:lineRule="auto"/>
        <w:jc w:val="center"/>
        <w:rPr>
          <w:rFonts w:ascii="方正公文小标宋" w:hAnsi="方正公文小标宋" w:eastAsia="方正公文小标宋" w:cs="方正公文小标宋"/>
          <w:b/>
          <w:bCs/>
          <w:sz w:val="44"/>
          <w:szCs w:val="44"/>
        </w:rPr>
      </w:pPr>
    </w:p>
    <w:p w14:paraId="572E4500">
      <w:pPr>
        <w:spacing w:line="360" w:lineRule="auto"/>
        <w:jc w:val="center"/>
        <w:rPr>
          <w:rFonts w:ascii="方正公文小标宋" w:hAnsi="方正公文小标宋" w:eastAsia="方正公文小标宋" w:cs="方正公文小标宋"/>
          <w:b/>
          <w:bCs/>
          <w:sz w:val="44"/>
          <w:szCs w:val="44"/>
        </w:rPr>
      </w:pPr>
    </w:p>
    <w:p w14:paraId="77F76F49">
      <w:pPr>
        <w:spacing w:line="360" w:lineRule="auto"/>
        <w:jc w:val="center"/>
        <w:rPr>
          <w:rFonts w:ascii="方正公文小标宋" w:hAnsi="方正公文小标宋" w:eastAsia="方正公文小标宋" w:cs="方正公文小标宋"/>
          <w:b/>
          <w:bCs/>
          <w:sz w:val="44"/>
          <w:szCs w:val="44"/>
        </w:rPr>
      </w:pPr>
    </w:p>
    <w:p w14:paraId="3B0DF03F">
      <w:pPr>
        <w:spacing w:line="360" w:lineRule="auto"/>
        <w:ind w:firstLine="1928" w:firstLineChars="600"/>
        <w:rPr>
          <w:rFonts w:ascii="仿宋" w:hAnsi="仿宋" w:eastAsia="仿宋" w:cs="仿宋"/>
          <w:b/>
          <w:bCs/>
          <w:sz w:val="32"/>
          <w:szCs w:val="32"/>
        </w:rPr>
      </w:pPr>
      <w:r>
        <w:rPr>
          <w:rFonts w:hint="eastAsia" w:ascii="仿宋" w:hAnsi="仿宋" w:eastAsia="仿宋" w:cs="仿宋"/>
          <w:b/>
          <w:bCs/>
          <w:sz w:val="32"/>
          <w:szCs w:val="32"/>
          <w:lang w:bidi="ar"/>
        </w:rPr>
        <w:t>甲方：</w:t>
      </w:r>
    </w:p>
    <w:p w14:paraId="095990D1">
      <w:pPr>
        <w:spacing w:line="360" w:lineRule="auto"/>
        <w:ind w:firstLine="1928" w:firstLineChars="600"/>
        <w:rPr>
          <w:rFonts w:ascii="仿宋" w:hAnsi="仿宋" w:eastAsia="仿宋" w:cs="仿宋"/>
          <w:b/>
          <w:bCs/>
          <w:sz w:val="32"/>
          <w:szCs w:val="32"/>
        </w:rPr>
      </w:pPr>
      <w:r>
        <w:rPr>
          <w:rFonts w:hint="eastAsia" w:ascii="仿宋" w:hAnsi="仿宋" w:eastAsia="仿宋" w:cs="仿宋"/>
          <w:b/>
          <w:bCs/>
          <w:sz w:val="32"/>
          <w:szCs w:val="32"/>
          <w:lang w:bidi="ar"/>
        </w:rPr>
        <w:t>乙方：</w:t>
      </w:r>
    </w:p>
    <w:p w14:paraId="06F62961">
      <w:pPr>
        <w:spacing w:line="360" w:lineRule="auto"/>
        <w:ind w:firstLine="1928" w:firstLineChars="600"/>
        <w:jc w:val="center"/>
        <w:rPr>
          <w:rFonts w:ascii="仿宋" w:hAnsi="仿宋" w:eastAsia="仿宋" w:cs="仿宋"/>
          <w:b/>
          <w:bCs/>
          <w:sz w:val="32"/>
          <w:szCs w:val="32"/>
        </w:rPr>
      </w:pPr>
    </w:p>
    <w:p w14:paraId="14B7B164">
      <w:pPr>
        <w:spacing w:line="360" w:lineRule="auto"/>
        <w:ind w:firstLine="1928" w:firstLineChars="600"/>
        <w:jc w:val="center"/>
        <w:rPr>
          <w:rFonts w:ascii="仿宋" w:hAnsi="仿宋" w:eastAsia="仿宋" w:cs="仿宋"/>
          <w:b/>
          <w:bCs/>
          <w:sz w:val="32"/>
          <w:szCs w:val="32"/>
        </w:rPr>
      </w:pPr>
    </w:p>
    <w:p w14:paraId="59150EB1">
      <w:pPr>
        <w:spacing w:line="360" w:lineRule="auto"/>
        <w:rPr>
          <w:rFonts w:ascii="仿宋" w:hAnsi="仿宋" w:eastAsia="仿宋" w:cs="仿宋"/>
          <w:b/>
          <w:bCs/>
          <w:sz w:val="32"/>
          <w:szCs w:val="32"/>
          <w:lang w:bidi="ar"/>
        </w:rPr>
        <w:sectPr>
          <w:footerReference r:id="rId3" w:type="default"/>
          <w:pgSz w:w="11906" w:h="16838"/>
          <w:pgMar w:top="1418" w:right="1276" w:bottom="1418" w:left="1559" w:header="992" w:footer="992" w:gutter="0"/>
          <w:cols w:space="425" w:num="1"/>
          <w:docGrid w:type="lines" w:linePitch="312" w:charSpace="0"/>
        </w:sectPr>
      </w:pPr>
    </w:p>
    <w:p w14:paraId="4AD52005">
      <w:pPr>
        <w:widowControl/>
        <w:shd w:val="clear" w:color="auto" w:fill="FFFFFF"/>
        <w:spacing w:beforeLines="0" w:afterLines="0" w:line="360" w:lineRule="auto"/>
        <w:jc w:val="center"/>
        <w:outlineLvl w:val="1"/>
        <w:rPr>
          <w:rFonts w:hint="eastAsia" w:ascii="仿宋" w:hAnsi="仿宋" w:eastAsia="仿宋" w:cs="仿宋"/>
          <w:b/>
          <w:color w:val="000000" w:themeColor="text1"/>
          <w:w w:val="80"/>
          <w:sz w:val="32"/>
          <w:szCs w:val="32"/>
          <w:highlight w:val="none"/>
          <w:shd w:val="clear" w:color="auto" w:fill="FFFFFF"/>
          <w14:textFill>
            <w14:solidFill>
              <w14:schemeClr w14:val="tx1"/>
            </w14:solidFill>
          </w14:textFill>
        </w:rPr>
      </w:pPr>
      <w:r>
        <w:rPr>
          <w:rFonts w:hint="eastAsia" w:ascii="仿宋" w:hAnsi="仿宋" w:eastAsia="仿宋" w:cs="仿宋"/>
          <w:b/>
          <w:color w:val="000000" w:themeColor="text1"/>
          <w:w w:val="80"/>
          <w:sz w:val="32"/>
          <w:szCs w:val="32"/>
          <w:highlight w:val="none"/>
          <w:shd w:val="clear" w:color="auto" w:fill="FFFFFF"/>
          <w14:textFill>
            <w14:solidFill>
              <w14:schemeClr w14:val="tx1"/>
            </w14:solidFill>
          </w14:textFill>
        </w:rPr>
        <w:t>拟签订合同文本</w:t>
      </w:r>
    </w:p>
    <w:p w14:paraId="49BB8C0C">
      <w:pPr>
        <w:spacing w:line="500" w:lineRule="exact"/>
        <w:jc w:val="center"/>
        <w:rPr>
          <w:rFonts w:hint="eastAsia" w:ascii="仿宋" w:hAnsi="仿宋" w:eastAsia="仿宋" w:cs="仿宋"/>
          <w:bCs/>
          <w:color w:val="FF0000"/>
          <w:highlight w:val="none"/>
          <w:lang w:eastAsia="zh-CN"/>
        </w:rPr>
      </w:pPr>
      <w:r>
        <w:rPr>
          <w:rFonts w:hint="eastAsia" w:ascii="仿宋" w:hAnsi="仿宋" w:eastAsia="仿宋" w:cs="仿宋"/>
          <w:color w:val="000000" w:themeColor="text1"/>
          <w:sz w:val="24"/>
          <w:szCs w:val="24"/>
          <w:highlight w:val="none"/>
          <w14:textFill>
            <w14:solidFill>
              <w14:schemeClr w14:val="tx1"/>
            </w14:solidFill>
          </w14:textFill>
        </w:rPr>
        <w:t>（此合同</w:t>
      </w:r>
      <w:r>
        <w:rPr>
          <w:rFonts w:hint="eastAsia" w:ascii="仿宋" w:hAnsi="仿宋" w:eastAsia="仿宋" w:cs="仿宋"/>
          <w:color w:val="000000" w:themeColor="text1"/>
          <w:sz w:val="24"/>
          <w:szCs w:val="24"/>
          <w:highlight w:val="none"/>
          <w:lang w:val="en-US" w:eastAsia="zh-CN"/>
          <w14:textFill>
            <w14:solidFill>
              <w14:schemeClr w14:val="tx1"/>
            </w14:solidFill>
          </w14:textFill>
        </w:rPr>
        <w:t>文本</w:t>
      </w:r>
      <w:r>
        <w:rPr>
          <w:rFonts w:hint="eastAsia" w:ascii="仿宋" w:hAnsi="仿宋" w:eastAsia="仿宋" w:cs="仿宋"/>
          <w:color w:val="000000" w:themeColor="text1"/>
          <w:sz w:val="24"/>
          <w:szCs w:val="24"/>
          <w:highlight w:val="none"/>
          <w14:textFill>
            <w14:solidFill>
              <w14:schemeClr w14:val="tx1"/>
            </w14:solidFill>
          </w14:textFill>
        </w:rPr>
        <w:t>仅供参考，具体内容根据实际需求修订</w:t>
      </w:r>
      <w:r>
        <w:rPr>
          <w:rFonts w:hint="eastAsia" w:ascii="仿宋" w:hAnsi="仿宋" w:eastAsia="仿宋" w:cs="仿宋"/>
          <w:color w:val="000000" w:themeColor="text1"/>
          <w:sz w:val="24"/>
          <w:szCs w:val="24"/>
          <w:highlight w:val="none"/>
          <w:lang w:eastAsia="zh-CN"/>
          <w14:textFill>
            <w14:solidFill>
              <w14:schemeClr w14:val="tx1"/>
            </w14:solidFill>
          </w14:textFill>
        </w:rPr>
        <w:t>）</w:t>
      </w:r>
    </w:p>
    <w:p w14:paraId="7966BB6D">
      <w:pPr>
        <w:spacing w:beforeLines="0" w:afterLines="0"/>
        <w:jc w:val="center"/>
        <w:rPr>
          <w:rFonts w:hint="eastAsia" w:ascii="仿宋" w:hAnsi="仿宋" w:eastAsia="仿宋" w:cs="仿宋"/>
          <w:color w:val="000000" w:themeColor="text1"/>
          <w:sz w:val="24"/>
          <w:szCs w:val="24"/>
          <w:highlight w:val="none"/>
          <w14:textFill>
            <w14:solidFill>
              <w14:schemeClr w14:val="tx1"/>
            </w14:solidFill>
          </w14:textFill>
        </w:rPr>
      </w:pPr>
    </w:p>
    <w:p w14:paraId="13EE20E9">
      <w:pPr>
        <w:spacing w:beforeLines="0" w:afterLines="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 xml:space="preserve">甲    方：  </w:t>
      </w:r>
    </w:p>
    <w:p w14:paraId="2ECC1566">
      <w:pPr>
        <w:spacing w:beforeLines="0" w:afterLines="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地    址：</w:t>
      </w:r>
    </w:p>
    <w:p w14:paraId="0494E84E">
      <w:pPr>
        <w:spacing w:beforeLines="0" w:afterLines="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电    话：</w:t>
      </w:r>
    </w:p>
    <w:p w14:paraId="1A7F2CC7">
      <w:pPr>
        <w:spacing w:beforeLines="0" w:afterLines="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邮    编：</w:t>
      </w:r>
    </w:p>
    <w:p w14:paraId="49B74C98">
      <w:pPr>
        <w:spacing w:beforeLines="0" w:afterLines="0"/>
        <w:rPr>
          <w:rFonts w:hint="eastAsia" w:ascii="仿宋" w:hAnsi="仿宋" w:eastAsia="仿宋" w:cs="仿宋"/>
          <w:color w:val="000000" w:themeColor="text1"/>
          <w:sz w:val="24"/>
          <w:szCs w:val="24"/>
          <w:highlight w:val="none"/>
          <w14:textFill>
            <w14:solidFill>
              <w14:schemeClr w14:val="tx1"/>
            </w14:solidFill>
          </w14:textFill>
        </w:rPr>
      </w:pPr>
    </w:p>
    <w:p w14:paraId="401517FE">
      <w:pPr>
        <w:spacing w:beforeLines="0" w:afterLines="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 xml:space="preserve">乙    方:           </w:t>
      </w:r>
    </w:p>
    <w:p w14:paraId="44CDE17A">
      <w:pPr>
        <w:spacing w:beforeLines="0" w:afterLines="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地    址：</w:t>
      </w:r>
    </w:p>
    <w:p w14:paraId="446745EB">
      <w:pPr>
        <w:spacing w:beforeLines="0" w:afterLines="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电    话：</w:t>
      </w:r>
    </w:p>
    <w:p w14:paraId="6D88A7CD">
      <w:pPr>
        <w:spacing w:beforeLines="0" w:afterLines="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 xml:space="preserve">邮    编：              </w:t>
      </w:r>
    </w:p>
    <w:p w14:paraId="2D694BAD">
      <w:pPr>
        <w:spacing w:beforeLines="0" w:afterLines="0" w:line="360" w:lineRule="auto"/>
        <w:rPr>
          <w:rFonts w:hint="eastAsia" w:ascii="仿宋" w:hAnsi="仿宋" w:eastAsia="仿宋" w:cs="仿宋"/>
          <w:color w:val="000000" w:themeColor="text1"/>
          <w:sz w:val="24"/>
          <w:szCs w:val="24"/>
          <w:highlight w:val="none"/>
          <w14:textFill>
            <w14:solidFill>
              <w14:schemeClr w14:val="tx1"/>
            </w14:solidFill>
          </w14:textFill>
        </w:rPr>
      </w:pPr>
    </w:p>
    <w:p w14:paraId="7D888B2B">
      <w:pPr>
        <w:spacing w:beforeLines="0" w:afterLines="0"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甲乙双方经协商同意，根据甲方设备购置要求，由乙方提供下表所列的各项设备，并完成设备安装和调试，双方对于合作重要事项订立如下条款：</w:t>
      </w:r>
    </w:p>
    <w:p w14:paraId="3E259B49">
      <w:pPr>
        <w:spacing w:beforeLines="0" w:afterLines="0" w:line="360" w:lineRule="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b/>
          <w:color w:val="000000" w:themeColor="text1"/>
          <w:sz w:val="24"/>
          <w:szCs w:val="24"/>
          <w:highlight w:val="none"/>
          <w14:textFill>
            <w14:solidFill>
              <w14:schemeClr w14:val="tx1"/>
            </w14:solidFill>
          </w14:textFill>
        </w:rPr>
        <w:t>一、设备名称及数量</w:t>
      </w:r>
    </w:p>
    <w:tbl>
      <w:tblPr>
        <w:tblStyle w:val="12"/>
        <w:tblW w:w="9087" w:type="dxa"/>
        <w:tblInd w:w="9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1560"/>
        <w:gridCol w:w="1290"/>
        <w:gridCol w:w="3119"/>
        <w:gridCol w:w="750"/>
        <w:gridCol w:w="791"/>
        <w:gridCol w:w="853"/>
      </w:tblGrid>
      <w:tr w14:paraId="44303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A7D763B">
            <w:pPr>
              <w:spacing w:beforeLines="0" w:afterLines="0"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序号</w:t>
            </w:r>
          </w:p>
        </w:tc>
        <w:tc>
          <w:tcPr>
            <w:tcW w:w="156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5F76697">
            <w:pPr>
              <w:spacing w:beforeLines="0" w:afterLines="0"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名称</w:t>
            </w:r>
          </w:p>
        </w:tc>
        <w:tc>
          <w:tcPr>
            <w:tcW w:w="129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B48818B">
            <w:pPr>
              <w:spacing w:beforeLines="0" w:afterLines="0"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制造商</w:t>
            </w:r>
          </w:p>
        </w:tc>
        <w:tc>
          <w:tcPr>
            <w:tcW w:w="311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2B35710">
            <w:pPr>
              <w:spacing w:beforeLines="0" w:afterLines="0"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品牌、型号</w:t>
            </w:r>
          </w:p>
        </w:tc>
        <w:tc>
          <w:tcPr>
            <w:tcW w:w="75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3FCAB66">
            <w:pPr>
              <w:spacing w:beforeLines="0" w:afterLines="0" w:line="360" w:lineRule="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数量</w:t>
            </w:r>
          </w:p>
        </w:tc>
        <w:tc>
          <w:tcPr>
            <w:tcW w:w="79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A132411">
            <w:pPr>
              <w:spacing w:beforeLines="0" w:afterLines="0" w:line="360" w:lineRule="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单价</w:t>
            </w:r>
          </w:p>
        </w:tc>
        <w:tc>
          <w:tcPr>
            <w:tcW w:w="85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3014D51">
            <w:pPr>
              <w:spacing w:beforeLines="0" w:afterLines="0" w:line="360" w:lineRule="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总价</w:t>
            </w:r>
          </w:p>
        </w:tc>
      </w:tr>
      <w:tr w14:paraId="57C5B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2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FE74CA6">
            <w:pPr>
              <w:spacing w:beforeLines="0" w:afterLines="0" w:line="360" w:lineRule="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w:t>
            </w:r>
          </w:p>
        </w:tc>
        <w:tc>
          <w:tcPr>
            <w:tcW w:w="156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42C7CA5">
            <w:pPr>
              <w:spacing w:beforeLines="0" w:afterLines="0"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XXX</w:t>
            </w:r>
          </w:p>
        </w:tc>
        <w:tc>
          <w:tcPr>
            <w:tcW w:w="129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57FE181">
            <w:pPr>
              <w:spacing w:beforeLines="0" w:afterLines="0"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XXX</w:t>
            </w:r>
          </w:p>
        </w:tc>
        <w:tc>
          <w:tcPr>
            <w:tcW w:w="311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CAD0E30">
            <w:pPr>
              <w:spacing w:beforeLines="0" w:afterLines="0"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75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0591D4C">
            <w:pPr>
              <w:spacing w:beforeLines="0" w:afterLines="0" w:line="360" w:lineRule="auto"/>
              <w:rPr>
                <w:rFonts w:hint="eastAsia" w:ascii="仿宋" w:hAnsi="仿宋" w:eastAsia="仿宋" w:cs="仿宋"/>
                <w:color w:val="000000" w:themeColor="text1"/>
                <w:sz w:val="24"/>
                <w:szCs w:val="24"/>
                <w:highlight w:val="none"/>
                <w14:textFill>
                  <w14:solidFill>
                    <w14:schemeClr w14:val="tx1"/>
                  </w14:solidFill>
                </w14:textFill>
              </w:rPr>
            </w:pPr>
          </w:p>
        </w:tc>
        <w:tc>
          <w:tcPr>
            <w:tcW w:w="79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512AE58">
            <w:pPr>
              <w:spacing w:beforeLines="0" w:afterLines="0" w:line="360" w:lineRule="auto"/>
              <w:rPr>
                <w:rFonts w:hint="eastAsia" w:ascii="仿宋" w:hAnsi="仿宋" w:eastAsia="仿宋" w:cs="仿宋"/>
                <w:color w:val="000000" w:themeColor="text1"/>
                <w:sz w:val="24"/>
                <w:szCs w:val="24"/>
                <w:highlight w:val="none"/>
                <w14:textFill>
                  <w14:solidFill>
                    <w14:schemeClr w14:val="tx1"/>
                  </w14:solidFill>
                </w14:textFill>
              </w:rPr>
            </w:pPr>
          </w:p>
        </w:tc>
        <w:tc>
          <w:tcPr>
            <w:tcW w:w="85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026B5E2">
            <w:pPr>
              <w:spacing w:beforeLines="0" w:afterLines="0" w:line="360" w:lineRule="auto"/>
              <w:rPr>
                <w:rFonts w:hint="eastAsia" w:ascii="仿宋" w:hAnsi="仿宋" w:eastAsia="仿宋" w:cs="仿宋"/>
                <w:color w:val="000000" w:themeColor="text1"/>
                <w:sz w:val="24"/>
                <w:szCs w:val="24"/>
                <w:highlight w:val="none"/>
                <w14:textFill>
                  <w14:solidFill>
                    <w14:schemeClr w14:val="tx1"/>
                  </w14:solidFill>
                </w14:textFill>
              </w:rPr>
            </w:pPr>
          </w:p>
        </w:tc>
      </w:tr>
      <w:tr w14:paraId="65B6A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2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DD9A22D">
            <w:pPr>
              <w:spacing w:beforeLines="0" w:afterLines="0" w:line="360" w:lineRule="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w:t>
            </w:r>
          </w:p>
        </w:tc>
        <w:tc>
          <w:tcPr>
            <w:tcW w:w="156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F25F52A">
            <w:pPr>
              <w:spacing w:beforeLines="0" w:afterLines="0"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29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D20AB2E">
            <w:pPr>
              <w:spacing w:beforeLines="0" w:afterLines="0"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311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B843611">
            <w:pPr>
              <w:spacing w:beforeLines="0" w:afterLines="0"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75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03D2595">
            <w:pPr>
              <w:spacing w:beforeLines="0" w:afterLines="0" w:line="360" w:lineRule="auto"/>
              <w:rPr>
                <w:rFonts w:hint="eastAsia" w:ascii="仿宋" w:hAnsi="仿宋" w:eastAsia="仿宋" w:cs="仿宋"/>
                <w:color w:val="000000" w:themeColor="text1"/>
                <w:sz w:val="24"/>
                <w:szCs w:val="24"/>
                <w:highlight w:val="none"/>
                <w14:textFill>
                  <w14:solidFill>
                    <w14:schemeClr w14:val="tx1"/>
                  </w14:solidFill>
                </w14:textFill>
              </w:rPr>
            </w:pPr>
          </w:p>
        </w:tc>
        <w:tc>
          <w:tcPr>
            <w:tcW w:w="79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9F32699">
            <w:pPr>
              <w:spacing w:beforeLines="0" w:afterLines="0" w:line="360" w:lineRule="auto"/>
              <w:rPr>
                <w:rFonts w:hint="eastAsia" w:ascii="仿宋" w:hAnsi="仿宋" w:eastAsia="仿宋" w:cs="仿宋"/>
                <w:color w:val="000000" w:themeColor="text1"/>
                <w:sz w:val="24"/>
                <w:szCs w:val="24"/>
                <w:highlight w:val="none"/>
                <w14:textFill>
                  <w14:solidFill>
                    <w14:schemeClr w14:val="tx1"/>
                  </w14:solidFill>
                </w14:textFill>
              </w:rPr>
            </w:pPr>
          </w:p>
        </w:tc>
        <w:tc>
          <w:tcPr>
            <w:tcW w:w="85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6F5D131">
            <w:pPr>
              <w:spacing w:beforeLines="0" w:afterLines="0" w:line="360" w:lineRule="auto"/>
              <w:rPr>
                <w:rFonts w:hint="eastAsia" w:ascii="仿宋" w:hAnsi="仿宋" w:eastAsia="仿宋" w:cs="仿宋"/>
                <w:color w:val="000000" w:themeColor="text1"/>
                <w:sz w:val="24"/>
                <w:szCs w:val="24"/>
                <w:highlight w:val="none"/>
                <w14:textFill>
                  <w14:solidFill>
                    <w14:schemeClr w14:val="tx1"/>
                  </w14:solidFill>
                </w14:textFill>
              </w:rPr>
            </w:pPr>
          </w:p>
        </w:tc>
      </w:tr>
      <w:tr w14:paraId="1012E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2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C984F11">
            <w:pPr>
              <w:spacing w:beforeLines="0" w:afterLines="0" w:line="360" w:lineRule="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w:t>
            </w:r>
          </w:p>
        </w:tc>
        <w:tc>
          <w:tcPr>
            <w:tcW w:w="156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12593B3">
            <w:pPr>
              <w:spacing w:beforeLines="0" w:afterLines="0"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w:t>
            </w:r>
          </w:p>
        </w:tc>
        <w:tc>
          <w:tcPr>
            <w:tcW w:w="129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139C390">
            <w:pPr>
              <w:spacing w:beforeLines="0" w:afterLines="0"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w:t>
            </w:r>
          </w:p>
        </w:tc>
        <w:tc>
          <w:tcPr>
            <w:tcW w:w="311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DF8ED45">
            <w:pPr>
              <w:spacing w:beforeLines="0" w:afterLines="0"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w:t>
            </w:r>
          </w:p>
        </w:tc>
        <w:tc>
          <w:tcPr>
            <w:tcW w:w="75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D9BB9AC">
            <w:pPr>
              <w:spacing w:beforeLines="0" w:afterLines="0" w:line="360" w:lineRule="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w:t>
            </w:r>
          </w:p>
        </w:tc>
        <w:tc>
          <w:tcPr>
            <w:tcW w:w="79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18B5A14">
            <w:pPr>
              <w:spacing w:beforeLines="0" w:afterLines="0" w:line="360" w:lineRule="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w:t>
            </w:r>
          </w:p>
        </w:tc>
        <w:tc>
          <w:tcPr>
            <w:tcW w:w="85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DA3143B">
            <w:pPr>
              <w:spacing w:beforeLines="0" w:afterLines="0" w:line="360" w:lineRule="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w:t>
            </w:r>
          </w:p>
        </w:tc>
      </w:tr>
      <w:tr w14:paraId="7E2F8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34" w:type="dxa"/>
            <w:gridSpan w:val="6"/>
            <w:tcBorders>
              <w:top w:val="single" w:color="auto" w:sz="4" w:space="0"/>
              <w:left w:val="single" w:color="auto" w:sz="4" w:space="0"/>
              <w:bottom w:val="single" w:color="auto" w:sz="4" w:space="0"/>
              <w:right w:val="single" w:color="auto" w:sz="4" w:space="0"/>
              <w:tl2br w:val="nil"/>
              <w:tr2bl w:val="nil"/>
            </w:tcBorders>
            <w:noWrap w:val="0"/>
            <w:vAlign w:val="center"/>
          </w:tcPr>
          <w:p w14:paraId="6AA9B4A5">
            <w:pPr>
              <w:spacing w:beforeLines="0" w:afterLines="0" w:line="360" w:lineRule="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b/>
                <w:color w:val="000000" w:themeColor="text1"/>
                <w:sz w:val="24"/>
                <w:szCs w:val="24"/>
                <w:highlight w:val="none"/>
                <w14:textFill>
                  <w14:solidFill>
                    <w14:schemeClr w14:val="tx1"/>
                  </w14:solidFill>
                </w14:textFill>
              </w:rPr>
              <w:t xml:space="preserve">合计: </w:t>
            </w:r>
          </w:p>
        </w:tc>
        <w:tc>
          <w:tcPr>
            <w:tcW w:w="85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BAF540A">
            <w:pPr>
              <w:spacing w:beforeLines="0" w:afterLines="0" w:line="360" w:lineRule="auto"/>
              <w:rPr>
                <w:rFonts w:hint="eastAsia" w:ascii="仿宋" w:hAnsi="仿宋" w:eastAsia="仿宋" w:cs="仿宋"/>
                <w:color w:val="000000" w:themeColor="text1"/>
                <w:sz w:val="24"/>
                <w:szCs w:val="24"/>
                <w:highlight w:val="none"/>
                <w14:textFill>
                  <w14:solidFill>
                    <w14:schemeClr w14:val="tx1"/>
                  </w14:solidFill>
                </w14:textFill>
              </w:rPr>
            </w:pPr>
          </w:p>
        </w:tc>
      </w:tr>
    </w:tbl>
    <w:p w14:paraId="3F69573E">
      <w:pPr>
        <w:spacing w:beforeLines="0" w:afterLines="0" w:line="360" w:lineRule="auto"/>
        <w:rPr>
          <w:rFonts w:hint="eastAsia" w:ascii="仿宋" w:hAnsi="仿宋" w:eastAsia="仿宋" w:cs="仿宋"/>
          <w:b/>
          <w:color w:val="000000" w:themeColor="text1"/>
          <w:sz w:val="24"/>
          <w:szCs w:val="24"/>
          <w:highlight w:val="none"/>
          <w14:textFill>
            <w14:solidFill>
              <w14:schemeClr w14:val="tx1"/>
            </w14:solidFill>
          </w14:textFill>
        </w:rPr>
      </w:pPr>
      <w:r>
        <w:rPr>
          <w:rFonts w:hint="eastAsia" w:ascii="仿宋" w:hAnsi="仿宋" w:eastAsia="仿宋" w:cs="仿宋"/>
          <w:b/>
          <w:color w:val="000000" w:themeColor="text1"/>
          <w:sz w:val="24"/>
          <w:szCs w:val="24"/>
          <w:highlight w:val="none"/>
          <w14:textFill>
            <w14:solidFill>
              <w14:schemeClr w14:val="tx1"/>
            </w14:solidFill>
          </w14:textFill>
        </w:rPr>
        <w:t>二、合同总额：</w:t>
      </w:r>
    </w:p>
    <w:p w14:paraId="74D533E4">
      <w:pPr>
        <w:spacing w:beforeLines="0" w:afterLines="0"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合计总金额（大写）:人民币</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 xml:space="preserve">元:  </w:t>
      </w:r>
    </w:p>
    <w:p w14:paraId="4C1E36D0">
      <w:pPr>
        <w:spacing w:beforeLines="0" w:afterLines="0"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（小写）：</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元。</w:t>
      </w:r>
    </w:p>
    <w:p w14:paraId="756FEF2A">
      <w:pPr>
        <w:spacing w:beforeLines="0" w:afterLines="0" w:line="360" w:lineRule="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b/>
          <w:color w:val="000000" w:themeColor="text1"/>
          <w:sz w:val="24"/>
          <w:szCs w:val="24"/>
          <w:highlight w:val="none"/>
          <w14:textFill>
            <w14:solidFill>
              <w14:schemeClr w14:val="tx1"/>
            </w14:solidFill>
          </w14:textFill>
        </w:rPr>
        <w:t>三、交货地点：</w:t>
      </w:r>
      <w:r>
        <w:rPr>
          <w:rFonts w:hint="eastAsia" w:ascii="仿宋" w:hAnsi="仿宋" w:eastAsia="仿宋" w:cs="仿宋"/>
          <w:color w:val="000000" w:themeColor="text1"/>
          <w:sz w:val="24"/>
          <w:szCs w:val="24"/>
          <w:highlight w:val="none"/>
          <w14:textFill>
            <w14:solidFill>
              <w14:schemeClr w14:val="tx1"/>
            </w14:solidFill>
          </w14:textFill>
        </w:rPr>
        <w:t>安康学院江北校区秦巴产教融合大楼</w:t>
      </w:r>
    </w:p>
    <w:p w14:paraId="1594D305">
      <w:pPr>
        <w:spacing w:beforeLines="0" w:afterLines="0" w:line="360" w:lineRule="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b/>
          <w:color w:val="000000" w:themeColor="text1"/>
          <w:sz w:val="24"/>
          <w:szCs w:val="24"/>
          <w:highlight w:val="none"/>
          <w14:textFill>
            <w14:solidFill>
              <w14:schemeClr w14:val="tx1"/>
            </w14:solidFill>
          </w14:textFill>
        </w:rPr>
        <w:t>四、交货日期：</w:t>
      </w:r>
      <w:r>
        <w:rPr>
          <w:rFonts w:hint="eastAsia" w:ascii="仿宋" w:hAnsi="仿宋" w:eastAsia="仿宋" w:cs="仿宋"/>
          <w:color w:val="000000" w:themeColor="text1"/>
          <w:sz w:val="24"/>
          <w:szCs w:val="24"/>
          <w:highlight w:val="none"/>
          <w14:textFill>
            <w14:solidFill>
              <w14:schemeClr w14:val="tx1"/>
            </w14:solidFill>
          </w14:textFill>
        </w:rPr>
        <w:t>自合同签订之日起30个日</w:t>
      </w:r>
      <w:bookmarkStart w:id="0" w:name="_GoBack"/>
      <w:bookmarkEnd w:id="0"/>
      <w:r>
        <w:rPr>
          <w:rFonts w:hint="eastAsia" w:ascii="仿宋" w:hAnsi="仿宋" w:eastAsia="仿宋" w:cs="仿宋"/>
          <w:color w:val="000000" w:themeColor="text1"/>
          <w:sz w:val="24"/>
          <w:szCs w:val="24"/>
          <w:highlight w:val="none"/>
          <w14:textFill>
            <w14:solidFill>
              <w14:schemeClr w14:val="tx1"/>
            </w14:solidFill>
          </w14:textFill>
        </w:rPr>
        <w:t>历日</w:t>
      </w:r>
    </w:p>
    <w:p w14:paraId="50A2DE3A">
      <w:pPr>
        <w:spacing w:beforeLines="0" w:afterLines="0" w:line="360" w:lineRule="auto"/>
        <w:rPr>
          <w:rFonts w:hint="eastAsia" w:ascii="仿宋" w:hAnsi="仿宋" w:eastAsia="仿宋_GB2312" w:cs="仿宋"/>
          <w:color w:val="000000" w:themeColor="text1"/>
          <w:sz w:val="24"/>
          <w:szCs w:val="24"/>
          <w:highlight w:val="none"/>
          <w:lang w:eastAsia="zh-CN"/>
          <w14:textFill>
            <w14:solidFill>
              <w14:schemeClr w14:val="tx1"/>
            </w14:solidFill>
          </w14:textFill>
        </w:rPr>
      </w:pPr>
      <w:r>
        <w:rPr>
          <w:rFonts w:hint="eastAsia" w:ascii="仿宋" w:hAnsi="仿宋" w:eastAsia="仿宋" w:cs="仿宋"/>
          <w:b/>
          <w:color w:val="000000" w:themeColor="text1"/>
          <w:sz w:val="24"/>
          <w:szCs w:val="24"/>
          <w:highlight w:val="none"/>
          <w14:textFill>
            <w14:solidFill>
              <w14:schemeClr w14:val="tx1"/>
            </w14:solidFill>
          </w14:textFill>
        </w:rPr>
        <w:t>五、付款方式：</w:t>
      </w:r>
      <w:r>
        <w:rPr>
          <w:rFonts w:hint="eastAsia" w:ascii="仿宋" w:hAnsi="仿宋" w:eastAsia="仿宋" w:cs="仿宋"/>
          <w:color w:val="000000" w:themeColor="text1"/>
          <w:sz w:val="24"/>
          <w:szCs w:val="24"/>
          <w:highlight w:val="none"/>
          <w14:textFill>
            <w14:solidFill>
              <w14:schemeClr w14:val="tx1"/>
            </w14:solidFill>
          </w14:textFill>
        </w:rPr>
        <w:t>分期付款</w:t>
      </w: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项目建设完成、</w:t>
      </w:r>
      <w:r>
        <w:rPr>
          <w:rFonts w:hint="eastAsia" w:ascii="仿宋" w:hAnsi="仿宋" w:eastAsia="仿宋" w:cs="仿宋"/>
          <w:color w:val="000000" w:themeColor="text1"/>
          <w:sz w:val="24"/>
          <w:szCs w:val="24"/>
          <w:highlight w:val="none"/>
          <w:lang w:val="en-US" w:eastAsia="zh-CN"/>
          <w14:textFill>
            <w14:solidFill>
              <w14:schemeClr w14:val="tx1"/>
            </w14:solidFill>
          </w14:textFill>
        </w:rPr>
        <w:t>工程改造合格且设备安装到位并终极验收合格后</w:t>
      </w:r>
      <w:r>
        <w:rPr>
          <w:rFonts w:hint="eastAsia" w:ascii="仿宋" w:hAnsi="仿宋" w:eastAsia="仿宋" w:cs="仿宋"/>
          <w:color w:val="000000" w:themeColor="text1"/>
          <w:sz w:val="24"/>
          <w:szCs w:val="24"/>
          <w:highlight w:val="none"/>
          <w14:textFill>
            <w14:solidFill>
              <w14:schemeClr w14:val="tx1"/>
            </w14:solidFill>
          </w14:textFill>
        </w:rPr>
        <w:t>，达到付款条件起30日内，支付合同总金额的</w:t>
      </w:r>
      <w:r>
        <w:rPr>
          <w:rFonts w:hint="eastAsia" w:ascii="仿宋" w:hAnsi="仿宋" w:eastAsia="仿宋" w:cs="仿宋"/>
          <w:color w:val="000000" w:themeColor="text1"/>
          <w:sz w:val="24"/>
          <w:szCs w:val="24"/>
          <w:highlight w:val="none"/>
          <w:lang w:val="en-US" w:eastAsia="zh-CN"/>
          <w14:textFill>
            <w14:solidFill>
              <w14:schemeClr w14:val="tx1"/>
            </w14:solidFill>
          </w14:textFill>
        </w:rPr>
        <w:t>8</w:t>
      </w:r>
      <w:r>
        <w:rPr>
          <w:rFonts w:hint="eastAsia" w:ascii="仿宋" w:hAnsi="仿宋" w:eastAsia="仿宋" w:cs="仿宋"/>
          <w:color w:val="000000" w:themeColor="text1"/>
          <w:sz w:val="24"/>
          <w:szCs w:val="24"/>
          <w:highlight w:val="none"/>
          <w14:textFill>
            <w14:solidFill>
              <w14:schemeClr w14:val="tx1"/>
            </w14:solidFill>
          </w14:textFill>
        </w:rPr>
        <w:t>0%</w:t>
      </w: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仪器稳定运行</w:t>
      </w:r>
      <w:r>
        <w:rPr>
          <w:rFonts w:hint="eastAsia" w:ascii="仿宋" w:hAnsi="仿宋" w:eastAsia="仿宋" w:cs="仿宋"/>
          <w:color w:val="000000" w:themeColor="text1"/>
          <w:sz w:val="24"/>
          <w:szCs w:val="24"/>
          <w:highlight w:val="none"/>
          <w:lang w:val="en-US" w:eastAsia="zh-CN"/>
          <w14:textFill>
            <w14:solidFill>
              <w14:schemeClr w14:val="tx1"/>
            </w14:solidFill>
          </w14:textFill>
        </w:rPr>
        <w:t>6</w:t>
      </w:r>
      <w:r>
        <w:rPr>
          <w:rFonts w:hint="eastAsia" w:ascii="仿宋" w:hAnsi="仿宋" w:eastAsia="仿宋" w:cs="仿宋"/>
          <w:color w:val="000000" w:themeColor="text1"/>
          <w:sz w:val="24"/>
          <w:szCs w:val="24"/>
          <w:highlight w:val="none"/>
          <w14:textFill>
            <w14:solidFill>
              <w14:schemeClr w14:val="tx1"/>
            </w14:solidFill>
          </w14:textFill>
        </w:rPr>
        <w:t>0个自然日后</w:t>
      </w:r>
      <w:r>
        <w:rPr>
          <w:rFonts w:hint="eastAsia" w:ascii="仿宋" w:hAnsi="仿宋" w:eastAsia="仿宋" w:cs="仿宋"/>
          <w:color w:val="000000" w:themeColor="text1"/>
          <w:sz w:val="24"/>
          <w:szCs w:val="24"/>
          <w:highlight w:val="none"/>
          <w:lang w:val="en-US" w:eastAsia="zh-CN"/>
          <w14:textFill>
            <w14:solidFill>
              <w14:schemeClr w14:val="tx1"/>
            </w14:solidFill>
          </w14:textFill>
        </w:rPr>
        <w:t>支付合同总金额20</w:t>
      </w:r>
      <w:r>
        <w:rPr>
          <w:rFonts w:hint="eastAsia" w:ascii="仿宋" w:hAnsi="仿宋" w:eastAsia="仿宋" w:cs="仿宋"/>
          <w:color w:val="000000" w:themeColor="text1"/>
          <w:sz w:val="24"/>
          <w:szCs w:val="24"/>
          <w:highlight w:val="none"/>
          <w14:textFill>
            <w14:solidFill>
              <w14:schemeClr w14:val="tx1"/>
            </w14:solidFill>
          </w14:textFill>
        </w:rPr>
        <w:t>%。</w:t>
      </w:r>
    </w:p>
    <w:p w14:paraId="2897C9E3">
      <w:pPr>
        <w:spacing w:beforeLines="0" w:afterLines="0" w:line="360" w:lineRule="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b/>
          <w:color w:val="000000" w:themeColor="text1"/>
          <w:sz w:val="24"/>
          <w:szCs w:val="24"/>
          <w:highlight w:val="none"/>
          <w14:textFill>
            <w14:solidFill>
              <w14:schemeClr w14:val="tx1"/>
            </w14:solidFill>
          </w14:textFill>
        </w:rPr>
        <w:t>六、验收交付标准和方法：</w:t>
      </w:r>
    </w:p>
    <w:p w14:paraId="7BE56BF7">
      <w:pPr>
        <w:pStyle w:val="14"/>
        <w:numPr>
          <w:ilvl w:val="0"/>
          <w:numId w:val="0"/>
        </w:numPr>
        <w:spacing w:line="360" w:lineRule="auto"/>
        <w:ind w:firstLine="480" w:firstLineChars="200"/>
        <w:rPr>
          <w:rFonts w:hint="eastAsia" w:ascii="仿宋" w:hAnsi="仿宋" w:eastAsia="仿宋" w:cs="仿宋"/>
          <w:color w:val="000000" w:themeColor="text1"/>
          <w:kern w:val="2"/>
          <w:sz w:val="24"/>
          <w:szCs w:val="24"/>
          <w:highlight w:val="none"/>
          <w:lang w:val="en-US" w:eastAsia="zh-CN" w:bidi="ar-SA"/>
          <w14:textFill>
            <w14:solidFill>
              <w14:schemeClr w14:val="tx1"/>
            </w14:solidFill>
          </w14:textFill>
        </w:rPr>
      </w:pPr>
      <w:r>
        <w:rPr>
          <w:rFonts w:hint="eastAsia" w:ascii="仿宋" w:hAnsi="仿宋" w:eastAsia="仿宋" w:cs="仿宋"/>
          <w:color w:val="000000" w:themeColor="text1"/>
          <w:kern w:val="2"/>
          <w:sz w:val="24"/>
          <w:szCs w:val="24"/>
          <w:highlight w:val="none"/>
          <w:lang w:val="en-US" w:eastAsia="zh-Hans" w:bidi="ar-SA"/>
          <w14:textFill>
            <w14:solidFill>
              <w14:schemeClr w14:val="tx1"/>
            </w14:solidFill>
          </w14:textFill>
        </w:rPr>
        <w:t>（1）</w:t>
      </w:r>
      <w:r>
        <w:rPr>
          <w:rFonts w:hint="eastAsia" w:ascii="仿宋" w:hAnsi="仿宋" w:eastAsia="仿宋" w:cs="仿宋"/>
          <w:color w:val="000000" w:themeColor="text1"/>
          <w:kern w:val="2"/>
          <w:sz w:val="24"/>
          <w:szCs w:val="24"/>
          <w:highlight w:val="none"/>
          <w:lang w:val="en-US" w:eastAsia="zh-CN" w:bidi="ar-SA"/>
          <w14:textFill>
            <w14:solidFill>
              <w14:schemeClr w14:val="tx1"/>
            </w14:solidFill>
          </w14:textFill>
        </w:rPr>
        <w:t>合同中所有采购的设备，以及相关配套软件。 验收标准：设备使用单位组成验收小组，验收小组对投标人提供的货物的品牌、名称、型号、配置、规格、外观、产地、生产厂商、技术性能、数量、服务承诺及结果等，对照政府采购合同、投标人投标（响应）文件、封存样品等逐项进行现场检验、核对和验收。</w:t>
      </w:r>
    </w:p>
    <w:p w14:paraId="62990545">
      <w:pPr>
        <w:pStyle w:val="14"/>
        <w:numPr>
          <w:ilvl w:val="0"/>
          <w:numId w:val="0"/>
        </w:numPr>
        <w:spacing w:line="360" w:lineRule="auto"/>
        <w:ind w:firstLine="480" w:firstLineChars="200"/>
        <w:rPr>
          <w:rFonts w:hint="eastAsia" w:ascii="仿宋" w:hAnsi="仿宋" w:eastAsia="仿宋" w:cs="仿宋"/>
          <w:color w:val="000000" w:themeColor="text1"/>
          <w:kern w:val="2"/>
          <w:sz w:val="24"/>
          <w:szCs w:val="24"/>
          <w:highlight w:val="none"/>
          <w:lang w:val="en-US" w:eastAsia="zh-CN" w:bidi="ar-SA"/>
          <w14:textFill>
            <w14:solidFill>
              <w14:schemeClr w14:val="tx1"/>
            </w14:solidFill>
          </w14:textFill>
        </w:rPr>
      </w:pPr>
      <w:r>
        <w:rPr>
          <w:rFonts w:hint="eastAsia" w:ascii="仿宋" w:hAnsi="仿宋" w:eastAsia="仿宋" w:cs="仿宋"/>
          <w:color w:val="000000" w:themeColor="text1"/>
          <w:kern w:val="2"/>
          <w:sz w:val="24"/>
          <w:szCs w:val="24"/>
          <w:highlight w:val="none"/>
          <w:lang w:val="en-US" w:eastAsia="zh-CN" w:bidi="ar-SA"/>
          <w14:textFill>
            <w14:solidFill>
              <w14:schemeClr w14:val="tx1"/>
            </w14:solidFill>
          </w14:textFill>
        </w:rPr>
        <w:t>验收流程为两级验收：使用单位初步验收合格后向国资处提交初验报告单，由国资处组织验收小组进行终验 。</w:t>
      </w:r>
    </w:p>
    <w:p w14:paraId="62105888">
      <w:pPr>
        <w:pStyle w:val="14"/>
        <w:numPr>
          <w:ilvl w:val="0"/>
          <w:numId w:val="0"/>
        </w:numPr>
        <w:spacing w:line="360" w:lineRule="auto"/>
        <w:ind w:firstLine="480" w:firstLineChars="200"/>
        <w:rPr>
          <w:rFonts w:hint="eastAsia" w:ascii="仿宋" w:hAnsi="仿宋" w:eastAsia="仿宋" w:cs="仿宋"/>
          <w:color w:val="000000" w:themeColor="text1"/>
          <w:kern w:val="2"/>
          <w:sz w:val="24"/>
          <w:szCs w:val="24"/>
          <w:highlight w:val="none"/>
          <w:lang w:val="en-US" w:eastAsia="zh-CN" w:bidi="ar-SA"/>
          <w14:textFill>
            <w14:solidFill>
              <w14:schemeClr w14:val="tx1"/>
            </w14:solidFill>
          </w14:textFill>
        </w:rPr>
      </w:pPr>
      <w:r>
        <w:rPr>
          <w:rFonts w:hint="eastAsia" w:ascii="仿宋" w:hAnsi="仿宋" w:eastAsia="仿宋" w:cs="仿宋"/>
          <w:color w:val="000000" w:themeColor="text1"/>
          <w:kern w:val="2"/>
          <w:sz w:val="24"/>
          <w:szCs w:val="24"/>
          <w:lang w:val="en-US" w:eastAsia="zh-CN" w:bidi="ar-SA"/>
          <w14:textFill>
            <w14:solidFill>
              <w14:schemeClr w14:val="tx1"/>
            </w14:solidFill>
          </w14:textFill>
        </w:rPr>
        <w:t>（2）</w:t>
      </w:r>
      <w:r>
        <w:rPr>
          <w:rFonts w:hint="eastAsia" w:ascii="仿宋" w:hAnsi="仿宋" w:eastAsia="仿宋" w:cs="仿宋"/>
          <w:color w:val="000000" w:themeColor="text1"/>
          <w:kern w:val="2"/>
          <w:sz w:val="24"/>
          <w:szCs w:val="24"/>
          <w:highlight w:val="none"/>
          <w:lang w:val="en-US" w:eastAsia="zh-CN" w:bidi="ar-SA"/>
          <w14:textFill>
            <w14:solidFill>
              <w14:schemeClr w14:val="tx1"/>
            </w14:solidFill>
          </w14:textFill>
        </w:rPr>
        <w:t>验收依据：招标文件、投标应文件、澄清表（函）；本合同及附件文本；合同签订时国家及行业现行的标准和技术规范。</w:t>
      </w:r>
    </w:p>
    <w:p w14:paraId="111A9A3C">
      <w:pPr>
        <w:spacing w:beforeLines="0" w:afterLines="0"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kern w:val="2"/>
          <w:sz w:val="24"/>
          <w:szCs w:val="24"/>
          <w:highlight w:val="none"/>
          <w:lang w:val="en-US" w:eastAsia="zh-CN" w:bidi="ar-SA"/>
          <w14:textFill>
            <w14:solidFill>
              <w14:schemeClr w14:val="tx1"/>
            </w14:solidFill>
          </w14:textFill>
        </w:rPr>
        <w:t>中标人应向采购人提交项目实施过程中的所有资料，以便采购人日后管理和维护。</w:t>
      </w:r>
    </w:p>
    <w:p w14:paraId="1A434262">
      <w:pPr>
        <w:spacing w:beforeLines="0" w:afterLines="0" w:line="360" w:lineRule="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b/>
          <w:color w:val="000000" w:themeColor="text1"/>
          <w:sz w:val="24"/>
          <w:szCs w:val="24"/>
          <w:highlight w:val="none"/>
          <w14:textFill>
            <w14:solidFill>
              <w14:schemeClr w14:val="tx1"/>
            </w14:solidFill>
          </w14:textFill>
        </w:rPr>
        <w:t>七、质量保修范围和保修期：</w:t>
      </w:r>
    </w:p>
    <w:p w14:paraId="4C8B1178">
      <w:pPr>
        <w:pStyle w:val="14"/>
        <w:numPr>
          <w:ilvl w:val="0"/>
          <w:numId w:val="0"/>
        </w:numPr>
        <w:spacing w:line="360" w:lineRule="auto"/>
        <w:ind w:firstLine="480" w:firstLineChars="200"/>
        <w:rPr>
          <w:rFonts w:hint="eastAsia" w:ascii="仿宋" w:hAnsi="仿宋" w:eastAsia="仿宋" w:cs="仿宋"/>
          <w:color w:val="000000" w:themeColor="text1"/>
          <w:kern w:val="2"/>
          <w:sz w:val="24"/>
          <w:szCs w:val="24"/>
          <w:highlight w:val="none"/>
          <w:lang w:val="en-US" w:eastAsia="zh-CN" w:bidi="ar-SA"/>
          <w14:textFill>
            <w14:solidFill>
              <w14:schemeClr w14:val="tx1"/>
            </w14:solidFill>
          </w14:textFill>
        </w:rPr>
      </w:pPr>
      <w:r>
        <w:rPr>
          <w:rFonts w:hint="eastAsia" w:ascii="仿宋" w:hAnsi="仿宋" w:eastAsia="仿宋" w:cs="仿宋"/>
          <w:color w:val="000000" w:themeColor="text1"/>
          <w:kern w:val="2"/>
          <w:sz w:val="24"/>
          <w:szCs w:val="24"/>
          <w:highlight w:val="none"/>
          <w:lang w:val="en-US" w:eastAsia="zh-CN" w:bidi="ar-SA"/>
          <w14:textFill>
            <w14:solidFill>
              <w14:schemeClr w14:val="tx1"/>
            </w14:solidFill>
          </w14:textFill>
        </w:rPr>
        <w:t>质保期3年，在质保期内乙方应提供本项目所有产品原制造厂商标准的售后服务并承担全部费用。在质保期外，乙方应提供终身的维修服务，维修所需的原材料费用由甲方承担，人工费由乙方承担 。</w:t>
      </w:r>
    </w:p>
    <w:p w14:paraId="69D7F6BF">
      <w:pPr>
        <w:spacing w:beforeLines="0" w:afterLines="0" w:line="360" w:lineRule="auto"/>
        <w:rPr>
          <w:rFonts w:hint="eastAsia" w:ascii="仿宋" w:hAnsi="仿宋" w:eastAsia="仿宋" w:cs="仿宋"/>
          <w:b/>
          <w:color w:val="000000" w:themeColor="text1"/>
          <w:sz w:val="24"/>
          <w:szCs w:val="24"/>
          <w:highlight w:val="none"/>
          <w14:textFill>
            <w14:solidFill>
              <w14:schemeClr w14:val="tx1"/>
            </w14:solidFill>
          </w14:textFill>
        </w:rPr>
      </w:pPr>
      <w:r>
        <w:rPr>
          <w:rFonts w:hint="eastAsia" w:ascii="仿宋" w:hAnsi="仿宋" w:eastAsia="仿宋" w:cs="仿宋"/>
          <w:b/>
          <w:color w:val="000000" w:themeColor="text1"/>
          <w:sz w:val="24"/>
          <w:szCs w:val="24"/>
          <w:highlight w:val="none"/>
          <w14:textFill>
            <w14:solidFill>
              <w14:schemeClr w14:val="tx1"/>
            </w14:solidFill>
          </w14:textFill>
        </w:rPr>
        <w:t>八、知识产权归属和处理方式：</w:t>
      </w:r>
    </w:p>
    <w:p w14:paraId="2BDE4BFB">
      <w:pPr>
        <w:spacing w:beforeLines="0" w:afterLines="0"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无定制开发设备，知识产品归属于生产制造厂家 。</w:t>
      </w:r>
    </w:p>
    <w:p w14:paraId="62876AA1">
      <w:pPr>
        <w:spacing w:beforeLines="0" w:afterLines="0" w:line="360" w:lineRule="auto"/>
        <w:rPr>
          <w:rFonts w:hint="eastAsia" w:ascii="仿宋" w:hAnsi="仿宋" w:eastAsia="仿宋" w:cs="仿宋"/>
          <w:b/>
          <w:color w:val="000000" w:themeColor="text1"/>
          <w:sz w:val="24"/>
          <w:szCs w:val="24"/>
          <w:highlight w:val="none"/>
          <w14:textFill>
            <w14:solidFill>
              <w14:schemeClr w14:val="tx1"/>
            </w14:solidFill>
          </w14:textFill>
        </w:rPr>
      </w:pPr>
      <w:r>
        <w:rPr>
          <w:rFonts w:hint="eastAsia" w:ascii="仿宋" w:hAnsi="仿宋" w:eastAsia="仿宋" w:cs="仿宋"/>
          <w:b/>
          <w:color w:val="000000" w:themeColor="text1"/>
          <w:sz w:val="24"/>
          <w:szCs w:val="24"/>
          <w:highlight w:val="none"/>
          <w14:textFill>
            <w14:solidFill>
              <w14:schemeClr w14:val="tx1"/>
            </w14:solidFill>
          </w14:textFill>
        </w:rPr>
        <w:t>九、违约责任与解决争议的方法：</w:t>
      </w:r>
    </w:p>
    <w:p w14:paraId="215422EC">
      <w:pPr>
        <w:spacing w:beforeLines="0" w:afterLines="0"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按《民法典》等国家相关法律法规执行，或按双方约定。如有纠纷，双方友好协商解决，协商不成时应向安康市人民法院起诉 。</w:t>
      </w:r>
    </w:p>
    <w:p w14:paraId="63683B13">
      <w:pPr>
        <w:spacing w:beforeLines="0" w:afterLines="0" w:line="360" w:lineRule="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b/>
          <w:color w:val="000000" w:themeColor="text1"/>
          <w:sz w:val="24"/>
          <w:szCs w:val="24"/>
          <w:highlight w:val="none"/>
          <w14:textFill>
            <w14:solidFill>
              <w14:schemeClr w14:val="tx1"/>
            </w14:solidFill>
          </w14:textFill>
        </w:rPr>
        <w:t>十、其他</w:t>
      </w:r>
    </w:p>
    <w:p w14:paraId="3C87A07E">
      <w:pPr>
        <w:spacing w:beforeLines="0" w:afterLines="0"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本合同壹式</w:t>
      </w:r>
      <w:r>
        <w:rPr>
          <w:rFonts w:hint="eastAsia" w:ascii="仿宋" w:hAnsi="仿宋" w:eastAsia="仿宋" w:cs="仿宋"/>
          <w:color w:val="000000" w:themeColor="text1"/>
          <w:sz w:val="24"/>
          <w:szCs w:val="24"/>
          <w:highlight w:val="none"/>
          <w:u w:val="single"/>
          <w14:textFill>
            <w14:solidFill>
              <w14:schemeClr w14:val="tx1"/>
            </w14:solidFill>
          </w14:textFill>
        </w:rPr>
        <w:t xml:space="preserve"> 肆 </w:t>
      </w:r>
      <w:r>
        <w:rPr>
          <w:rFonts w:hint="eastAsia" w:ascii="仿宋" w:hAnsi="仿宋" w:eastAsia="仿宋" w:cs="仿宋"/>
          <w:color w:val="000000" w:themeColor="text1"/>
          <w:sz w:val="24"/>
          <w:szCs w:val="24"/>
          <w:highlight w:val="none"/>
          <w14:textFill>
            <w14:solidFill>
              <w14:schemeClr w14:val="tx1"/>
            </w14:solidFill>
          </w14:textFill>
        </w:rPr>
        <w:t>份，甲方</w:t>
      </w:r>
      <w:r>
        <w:rPr>
          <w:rFonts w:hint="eastAsia" w:ascii="仿宋" w:hAnsi="仿宋" w:eastAsia="仿宋" w:cs="仿宋"/>
          <w:color w:val="000000" w:themeColor="text1"/>
          <w:sz w:val="24"/>
          <w:szCs w:val="24"/>
          <w:highlight w:val="none"/>
          <w:u w:val="single"/>
          <w14:textFill>
            <w14:solidFill>
              <w14:schemeClr w14:val="tx1"/>
            </w14:solidFill>
          </w14:textFill>
        </w:rPr>
        <w:t xml:space="preserve"> 贰 </w:t>
      </w:r>
      <w:r>
        <w:rPr>
          <w:rFonts w:hint="eastAsia" w:ascii="仿宋" w:hAnsi="仿宋" w:eastAsia="仿宋" w:cs="仿宋"/>
          <w:color w:val="000000" w:themeColor="text1"/>
          <w:sz w:val="24"/>
          <w:szCs w:val="24"/>
          <w:highlight w:val="none"/>
          <w14:textFill>
            <w14:solidFill>
              <w14:schemeClr w14:val="tx1"/>
            </w14:solidFill>
          </w14:textFill>
        </w:rPr>
        <w:t>份，乙方</w:t>
      </w:r>
      <w:r>
        <w:rPr>
          <w:rFonts w:hint="eastAsia" w:ascii="仿宋" w:hAnsi="仿宋" w:eastAsia="仿宋" w:cs="仿宋"/>
          <w:color w:val="000000" w:themeColor="text1"/>
          <w:sz w:val="24"/>
          <w:szCs w:val="24"/>
          <w:highlight w:val="none"/>
          <w:u w:val="single"/>
          <w14:textFill>
            <w14:solidFill>
              <w14:schemeClr w14:val="tx1"/>
            </w14:solidFill>
          </w14:textFill>
        </w:rPr>
        <w:t xml:space="preserve"> 贰 </w:t>
      </w:r>
      <w:r>
        <w:rPr>
          <w:rFonts w:hint="eastAsia" w:ascii="仿宋" w:hAnsi="仿宋" w:eastAsia="仿宋" w:cs="仿宋"/>
          <w:color w:val="000000" w:themeColor="text1"/>
          <w:sz w:val="24"/>
          <w:szCs w:val="24"/>
          <w:highlight w:val="none"/>
          <w14:textFill>
            <w14:solidFill>
              <w14:schemeClr w14:val="tx1"/>
            </w14:solidFill>
          </w14:textFill>
        </w:rPr>
        <w:t>份。具有同等的法律效力。本合同自双方签字盖章之日起生效。</w:t>
      </w:r>
      <w:r>
        <w:rPr>
          <w:rFonts w:hint="eastAsia" w:ascii="仿宋" w:hAnsi="仿宋" w:eastAsia="仿宋" w:cs="仿宋"/>
          <w:color w:val="000000" w:themeColor="text1"/>
          <w:sz w:val="24"/>
          <w:szCs w:val="24"/>
          <w:highlight w:val="none"/>
          <w14:textFill>
            <w14:solidFill>
              <w14:schemeClr w14:val="tx1"/>
            </w14:solidFill>
          </w14:textFill>
        </w:rPr>
        <w:tab/>
      </w:r>
    </w:p>
    <w:p w14:paraId="788F4243">
      <w:pPr>
        <w:spacing w:beforeLines="0" w:afterLines="0" w:line="360" w:lineRule="auto"/>
        <w:rPr>
          <w:rFonts w:hint="eastAsia" w:ascii="仿宋" w:hAnsi="仿宋" w:eastAsia="仿宋" w:cs="仿宋"/>
          <w:color w:val="000000" w:themeColor="text1"/>
          <w:sz w:val="24"/>
          <w:szCs w:val="24"/>
          <w:highlight w:val="none"/>
          <w14:textFill>
            <w14:solidFill>
              <w14:schemeClr w14:val="tx1"/>
            </w14:solidFill>
          </w14:textFill>
        </w:rPr>
      </w:pPr>
    </w:p>
    <w:p w14:paraId="34BC910C">
      <w:pPr>
        <w:spacing w:beforeLines="0" w:afterLines="0" w:line="360" w:lineRule="auto"/>
        <w:rPr>
          <w:rFonts w:hint="eastAsia" w:ascii="仿宋" w:hAnsi="仿宋" w:eastAsia="仿宋" w:cs="仿宋"/>
          <w:b/>
          <w:color w:val="000000" w:themeColor="text1"/>
          <w:sz w:val="24"/>
          <w:szCs w:val="24"/>
          <w:highlight w:val="none"/>
          <w14:textFill>
            <w14:solidFill>
              <w14:schemeClr w14:val="tx1"/>
            </w14:solidFill>
          </w14:textFill>
        </w:rPr>
      </w:pPr>
      <w:r>
        <w:rPr>
          <w:rFonts w:hint="eastAsia" w:ascii="仿宋" w:hAnsi="仿宋" w:eastAsia="仿宋" w:cs="仿宋"/>
          <w:b/>
          <w:color w:val="000000" w:themeColor="text1"/>
          <w:sz w:val="24"/>
          <w:szCs w:val="24"/>
          <w:highlight w:val="none"/>
          <w14:textFill>
            <w14:solidFill>
              <w14:schemeClr w14:val="tx1"/>
            </w14:solidFill>
          </w14:textFill>
        </w:rPr>
        <w:t xml:space="preserve">甲方（盖章）：                         乙方（盖章）： </w:t>
      </w:r>
    </w:p>
    <w:p w14:paraId="4582B71C">
      <w:pPr>
        <w:spacing w:beforeLines="0" w:afterLines="0" w:line="360" w:lineRule="auto"/>
        <w:rPr>
          <w:rFonts w:hint="eastAsia" w:ascii="仿宋" w:hAnsi="仿宋" w:eastAsia="仿宋" w:cs="仿宋"/>
          <w:b/>
          <w:color w:val="000000" w:themeColor="text1"/>
          <w:sz w:val="24"/>
          <w:szCs w:val="24"/>
          <w:highlight w:val="none"/>
          <w14:textFill>
            <w14:solidFill>
              <w14:schemeClr w14:val="tx1"/>
            </w14:solidFill>
          </w14:textFill>
        </w:rPr>
      </w:pPr>
      <w:r>
        <w:rPr>
          <w:rFonts w:hint="eastAsia" w:ascii="仿宋" w:hAnsi="仿宋" w:eastAsia="仿宋" w:cs="仿宋"/>
          <w:b/>
          <w:color w:val="000000" w:themeColor="text1"/>
          <w:sz w:val="24"/>
          <w:szCs w:val="24"/>
          <w:highlight w:val="none"/>
          <w14:textFill>
            <w14:solidFill>
              <w14:schemeClr w14:val="tx1"/>
            </w14:solidFill>
          </w14:textFill>
        </w:rPr>
        <w:t>法人代表/委托代理人：                  法人代表/委托代理人：</w:t>
      </w:r>
    </w:p>
    <w:p w14:paraId="150EC00C">
      <w:r>
        <w:rPr>
          <w:rFonts w:hint="eastAsia" w:ascii="仿宋" w:hAnsi="仿宋" w:eastAsia="仿宋" w:cs="仿宋"/>
          <w:b/>
          <w:color w:val="000000" w:themeColor="text1"/>
          <w:kern w:val="0"/>
          <w:sz w:val="24"/>
          <w:szCs w:val="24"/>
          <w:highlight w:val="none"/>
          <w14:textFill>
            <w14:solidFill>
              <w14:schemeClr w14:val="tx1"/>
            </w14:solidFill>
          </w14:textFill>
        </w:rPr>
        <w:t>日期：     年    月    日              日期：     年    月    日</w:t>
      </w:r>
    </w:p>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F8FA876A-3DF2-499F-82AB-C0C6FA47FEB7}"/>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embedRegular r:id="rId2" w:fontKey="{8BD6DB11-67FD-41E5-8576-60BBA43100A8}"/>
  </w:font>
  <w:font w:name="方正公文小标宋">
    <w:panose1 w:val="02000500000000000000"/>
    <w:charset w:val="86"/>
    <w:family w:val="auto"/>
    <w:pitch w:val="default"/>
    <w:sig w:usb0="A00002BF" w:usb1="38CF7CFA" w:usb2="00000016" w:usb3="00000000" w:csb0="00040001" w:csb1="00000000"/>
    <w:embedRegular r:id="rId3" w:fontKey="{C038C0E2-30FA-404C-A665-EDC04D86C8F6}"/>
  </w:font>
  <w:font w:name="方正小标宋_GBK">
    <w:panose1 w:val="02000000000000000000"/>
    <w:charset w:val="86"/>
    <w:family w:val="auto"/>
    <w:pitch w:val="default"/>
    <w:sig w:usb0="A00002BF" w:usb1="38CF7CFA" w:usb2="00082016" w:usb3="00000000" w:csb0="00040001" w:csb1="00000000"/>
    <w:embedRegular r:id="rId4" w:fontKey="{BBC8CFD4-DFBD-451F-AA1A-CA3B9ABEB62C}"/>
  </w:font>
  <w:font w:name="仿宋_GB2312">
    <w:panose1 w:val="02010609030101010101"/>
    <w:charset w:val="86"/>
    <w:family w:val="modern"/>
    <w:pitch w:val="default"/>
    <w:sig w:usb0="00000001" w:usb1="080E0000" w:usb2="00000000" w:usb3="00000000" w:csb0="00040000" w:csb1="00000000"/>
    <w:embedRegular r:id="rId5" w:fontKey="{ED82D325-A93C-4505-AC22-C3273680A933}"/>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34568553"/>
    </w:sdtPr>
    <w:sdtContent>
      <w:sdt>
        <w:sdtPr>
          <w:id w:val="1728636285"/>
        </w:sdtPr>
        <w:sdtContent>
          <w:p w14:paraId="68E2FD2E">
            <w:pPr>
              <w:pStyle w:val="8"/>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15</w:t>
            </w:r>
            <w:r>
              <w:rPr>
                <w:b/>
                <w:bCs/>
                <w:sz w:val="24"/>
                <w:szCs w:val="24"/>
              </w:rPr>
              <w:fldChar w:fldCharType="end"/>
            </w:r>
          </w:p>
        </w:sdtContent>
      </w:sdt>
    </w:sdtContent>
  </w:sdt>
  <w:p w14:paraId="6717B4BC">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391DA4">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8C778C">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38C778C">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0110FC"/>
    <w:rsid w:val="10D3688E"/>
    <w:rsid w:val="11970673"/>
    <w:rsid w:val="1E6B727F"/>
    <w:rsid w:val="27344CEA"/>
    <w:rsid w:val="28986EB5"/>
    <w:rsid w:val="3535491E"/>
    <w:rsid w:val="372200EF"/>
    <w:rsid w:val="4BAB5215"/>
    <w:rsid w:val="511222EA"/>
    <w:rsid w:val="58D7045A"/>
    <w:rsid w:val="73502034"/>
    <w:rsid w:val="79B50E11"/>
    <w:rsid w:val="7FF907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9"/>
    <w:pPr>
      <w:widowControl/>
      <w:spacing w:before="100" w:beforeAutospacing="1" w:after="100" w:afterAutospacing="1"/>
      <w:jc w:val="left"/>
      <w:outlineLvl w:val="0"/>
    </w:pPr>
    <w:rPr>
      <w:rFonts w:ascii="宋体" w:hAnsi="宋体"/>
      <w:b/>
      <w:bCs/>
      <w:kern w:val="36"/>
      <w:sz w:val="48"/>
      <w:szCs w:val="48"/>
    </w:rPr>
  </w:style>
  <w:style w:type="paragraph" w:styleId="3">
    <w:name w:val="heading 4"/>
    <w:basedOn w:val="1"/>
    <w:next w:val="1"/>
    <w:qFormat/>
    <w:uiPriority w:val="9"/>
    <w:pPr>
      <w:keepNext/>
      <w:keepLines/>
      <w:spacing w:before="280" w:after="290" w:line="376" w:lineRule="auto"/>
      <w:outlineLvl w:val="3"/>
    </w:pPr>
    <w:rPr>
      <w:rFonts w:ascii="等线 Light" w:hAnsi="等线 Light" w:eastAsia="等线 Light"/>
      <w:b/>
      <w:bCs/>
      <w:sz w:val="28"/>
      <w:szCs w:val="28"/>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w:basedOn w:val="1"/>
    <w:qFormat/>
    <w:uiPriority w:val="0"/>
    <w:pPr>
      <w:tabs>
        <w:tab w:val="left" w:pos="720"/>
      </w:tabs>
      <w:spacing w:line="0" w:lineRule="atLeast"/>
    </w:pPr>
    <w:rPr>
      <w:sz w:val="28"/>
    </w:rPr>
  </w:style>
  <w:style w:type="paragraph" w:styleId="6">
    <w:name w:val="Body Text Indent"/>
    <w:basedOn w:val="1"/>
    <w:qFormat/>
    <w:uiPriority w:val="0"/>
    <w:pPr>
      <w:spacing w:after="120"/>
      <w:ind w:left="420" w:leftChars="200"/>
    </w:pPr>
  </w:style>
  <w:style w:type="paragraph" w:styleId="7">
    <w:name w:val="Body Text Indent 2"/>
    <w:basedOn w:val="1"/>
    <w:qFormat/>
    <w:uiPriority w:val="0"/>
    <w:pPr>
      <w:keepNext w:val="0"/>
      <w:keepLines w:val="0"/>
      <w:widowControl w:val="0"/>
      <w:suppressLineNumbers w:val="0"/>
      <w:spacing w:before="0" w:beforeAutospacing="0" w:after="0" w:afterAutospacing="0" w:line="400" w:lineRule="exact"/>
      <w:ind w:left="0" w:right="0" w:firstLine="475" w:firstLineChars="198"/>
      <w:jc w:val="both"/>
    </w:pPr>
    <w:rPr>
      <w:rFonts w:hint="eastAsia" w:ascii="宋体" w:hAnsi="宋体" w:eastAsia="宋体" w:cs="Times New Roman"/>
      <w:kern w:val="2"/>
      <w:sz w:val="24"/>
      <w:szCs w:val="24"/>
      <w:lang w:val="en-US" w:eastAsia="zh-CN" w:bidi="ar"/>
    </w:rPr>
  </w:style>
  <w:style w:type="paragraph" w:styleId="8">
    <w:name w:val="footer"/>
    <w:basedOn w:val="1"/>
    <w:qFormat/>
    <w:uiPriority w:val="0"/>
    <w:pPr>
      <w:tabs>
        <w:tab w:val="center" w:pos="4153"/>
        <w:tab w:val="right" w:pos="8306"/>
      </w:tabs>
      <w:snapToGrid w:val="0"/>
      <w:jc w:val="left"/>
    </w:pPr>
    <w:rPr>
      <w:sz w:val="18"/>
    </w:rPr>
  </w:style>
  <w:style w:type="paragraph" w:styleId="9">
    <w:name w:val="Normal (Web)"/>
    <w:basedOn w:val="1"/>
    <w:qFormat/>
    <w:uiPriority w:val="0"/>
    <w:pPr>
      <w:spacing w:beforeAutospacing="1" w:afterAutospacing="1"/>
      <w:jc w:val="left"/>
    </w:pPr>
    <w:rPr>
      <w:rFonts w:cs="Times New Roman" w:asciiTheme="minorHAnsi" w:hAnsiTheme="minorHAnsi" w:eastAsiaTheme="minorEastAsia"/>
      <w:kern w:val="0"/>
      <w:sz w:val="24"/>
      <w:szCs w:val="24"/>
    </w:rPr>
  </w:style>
  <w:style w:type="paragraph" w:styleId="10">
    <w:name w:val="Body Text First Indent"/>
    <w:basedOn w:val="5"/>
    <w:qFormat/>
    <w:uiPriority w:val="0"/>
    <w:pPr>
      <w:spacing w:beforeLines="50" w:afterLines="50" w:line="360" w:lineRule="auto"/>
      <w:ind w:firstLine="200" w:firstLineChars="200"/>
    </w:pPr>
    <w:rPr>
      <w:rFonts w:asciiTheme="minorHAnsi" w:hAnsiTheme="minorHAnsi" w:eastAsiaTheme="minorEastAsia" w:cstheme="minorBidi"/>
      <w:kern w:val="0"/>
      <w:sz w:val="30"/>
      <w:szCs w:val="20"/>
    </w:rPr>
  </w:style>
  <w:style w:type="paragraph" w:styleId="11">
    <w:name w:val="Body Text First Indent 2"/>
    <w:basedOn w:val="6"/>
    <w:unhideWhenUsed/>
    <w:qFormat/>
    <w:uiPriority w:val="0"/>
    <w:pPr>
      <w:ind w:firstLine="420" w:firstLineChars="200"/>
    </w:pPr>
    <w:rPr>
      <w:szCs w:val="20"/>
    </w:rPr>
  </w:style>
  <w:style w:type="paragraph" w:customStyle="1" w:styleId="14">
    <w:name w:val="null3"/>
    <w:hidden/>
    <w:qFormat/>
    <w:uiPriority w:val="0"/>
    <w:rPr>
      <w:rFonts w:hint="eastAsia" w:asciiTheme="minorHAnsi" w:hAnsiTheme="minorHAnsi" w:eastAsiaTheme="minorEastAsia" w:cstheme="minorBidi"/>
      <w:lang w:val="en-US" w:eastAsia="zh-Hans"/>
    </w:rPr>
  </w:style>
  <w:style w:type="character" w:customStyle="1" w:styleId="15">
    <w:name w:val="标题 1 Char"/>
    <w:qFormat/>
    <w:locked/>
    <w:uiPriority w:val="99"/>
    <w:rPr>
      <w:rFonts w:ascii="Calibri" w:hAnsi="Calibri" w:cs="Calibri"/>
      <w:b/>
      <w:bCs/>
      <w:kern w:val="44"/>
      <w:sz w:val="44"/>
      <w:szCs w:val="44"/>
    </w:rPr>
  </w:style>
  <w:style w:type="paragraph" w:customStyle="1" w:styleId="16">
    <w:name w:val="纯文本1"/>
    <w:basedOn w:val="1"/>
    <w:qFormat/>
    <w:uiPriority w:val="0"/>
    <w:rPr>
      <w:rFonts w:ascii="宋体" w:hAnsi="Courier New" w:eastAsia="宋体" w:cs="Times New Roman"/>
      <w:szCs w:val="22"/>
    </w:rPr>
  </w:style>
  <w:style w:type="paragraph" w:customStyle="1" w:styleId="17">
    <w:name w:val="Char Char4 Char Char Char Char"/>
    <w:basedOn w:val="1"/>
    <w:qFormat/>
    <w:uiPriority w:val="0"/>
    <w:pPr>
      <w:spacing w:line="440" w:lineRule="atLeast"/>
      <w:ind w:firstLine="482" w:firstLineChars="200"/>
    </w:pPr>
    <w:rPr>
      <w:b/>
      <w:color w:val="000000"/>
      <w:sz w:val="24"/>
    </w:rPr>
  </w:style>
  <w:style w:type="paragraph" w:customStyle="1" w:styleId="18">
    <w:name w:val=" Char Char4 Char Char Char Char"/>
    <w:basedOn w:val="1"/>
    <w:qFormat/>
    <w:uiPriority w:val="0"/>
    <w:pPr>
      <w:spacing w:line="440" w:lineRule="atLeast"/>
      <w:ind w:firstLine="482" w:firstLineChars="200"/>
    </w:pPr>
    <w:rPr>
      <w:b/>
      <w:color w:val="00000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3217</Words>
  <Characters>3287</Characters>
  <Lines>0</Lines>
  <Paragraphs>0</Paragraphs>
  <TotalTime>0</TotalTime>
  <ScaleCrop>false</ScaleCrop>
  <LinksUpToDate>false</LinksUpToDate>
  <CharactersWithSpaces>3342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2024-11-26T03:04:00Z</dcterms:created>
  <dc:creator>lenovo</dc:creator>
  <cp:lastModifiedBy>邱阳阳</cp:lastModifiedBy>
  <dcterms:modified xsi:type="dcterms:W3CDTF">2026-07-24T05:06:19Z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052C56BAA3824F2582F5696CE2CA195F_12</vt:lpwstr>
  </property>
  <property fmtid="{D5CDD505-2E9C-101B-9397-08002B2CF9AE}" pid="4" name="KSOTemplateDocerSaveRecord">
    <vt:lpwstr>eyJoZGlkIjoiZmJhMDU0NzU1ZjBmMjE5ODU5ZGQ4ZTI4OWEwYWIxNjUiLCJ1c2VySWQiOiIyNjYzODAzOTMifQ==</vt:lpwstr>
  </property>
</Properties>
</file>