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版本号：JXRZ-HC-2026-075.1B120260812002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汉源街道办二道河村路灯安装项目(二次)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JXRZ-HC-2026-075.1B1</w:t>
      </w:r>
      <w:r>
        <w:br/>
      </w:r>
      <w:r>
        <w:br/>
      </w:r>
      <w:r>
        <w:br/>
      </w:r>
    </w:p>
    <w:p>
      <w:pPr>
        <w:pStyle w:val="null3"/>
        <w:jc w:val="center"/>
        <w:outlineLvl w:val="2"/>
      </w:pPr>
      <w:r>
        <w:rPr>
          <w:rFonts w:ascii="仿宋_GB2312" w:hAnsi="仿宋_GB2312" w:cs="仿宋_GB2312" w:eastAsia="仿宋_GB2312"/>
          <w:sz w:val="28"/>
          <w:b/>
        </w:rPr>
        <w:t>宁强县汉源街道办事处</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宁强县汉源街道办事处</w:t>
      </w:r>
      <w:r>
        <w:rPr>
          <w:rFonts w:ascii="仿宋_GB2312" w:hAnsi="仿宋_GB2312" w:cs="仿宋_GB2312" w:eastAsia="仿宋_GB2312"/>
        </w:rPr>
        <w:t>委托，拟对</w:t>
      </w:r>
      <w:r>
        <w:rPr>
          <w:rFonts w:ascii="仿宋_GB2312" w:hAnsi="仿宋_GB2312" w:cs="仿宋_GB2312" w:eastAsia="仿宋_GB2312"/>
        </w:rPr>
        <w:t>汉源街道办二道河村路灯安装项目(二次)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JXRZ-HC-2026-075.1B1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汉源街道办二道河村路灯安装项目(二次)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在⼆道河村⼆组、五组、⼋组、九组路灯安装，共计安装太阳能路灯232盏，杆⾼8⽶。</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采购包1（汉源街道办二道河村路灯安装项目）：属于专门面向小微企业采购。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2、授权代表：法定代表人参加投标的，提供本人身份证复印件并出示身份证扫描件；法定代表人授权他人参加投标的，提供法定代表人委托授权书并出示被授权代表的身份证扫描件。</w:t>
      </w:r>
    </w:p>
    <w:p>
      <w:pPr>
        <w:pStyle w:val="null3"/>
      </w:pPr>
      <w:r>
        <w:rPr>
          <w:rFonts w:ascii="仿宋_GB2312" w:hAnsi="仿宋_GB2312" w:cs="仿宋_GB2312" w:eastAsia="仿宋_GB2312"/>
        </w:rPr>
        <w:t>3、基本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宁强县汉源街道办事处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宁强县汉源街道办事处羌州南路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宁强县汉源镇人民政府经办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0916-4433308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陕西省汉中市汉台区汉中路街道办西环南路祥瑞四季印象多层商业楼208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李永涛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15309166370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采购代理服务收费管理暂行办法》（计价格[2002]1980号）、《关于采购代理服务收费有关问题的通知》（发改办价格[2003]857号）、《国家发展改革委关于降低部分建设项目收费标准规范收费行为等有关问题的通知》（发改价格[2011]534号）的有关规定。</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宁强县汉源街道办事处</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宁强县汉源街道办事处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宁强县汉源街道办事处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目中使用的任何技术、产品和服务（包括部分使用），不会产⽣因第三⽅提出侵犯其专利权、商标权或其它知识产权⽽引起的法律和经济纠纷，如存在前述情形，由供应商承担所有相关责任。采购人享有本项⽬实施过程中产⽣的知识成果及知识产权。 ⼆、供应商将在采购项⽬实施过程中采⽤⾃有或者第三⽅知识成果的，使⽤该知识成果后，供应商需提供开发接⼝和开发⼿册等技术资料，并承诺提供⽆限期⽀持，采购⼈享有使⽤权（含采购⼈委托第三⽅在该项⽬后续开发的使⽤权）。 三、如采用供应商所不拥有的知识产权，则在报价中必须包括合法使⽤该知识产权的相关费⽤。 四、构成本磋商⽂件的各组成部分，未经采购⼈书⾯同意，供应商不得擅⾃复印或⽤于⾮本磋商项⽬所需的其他⽬的。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具体以签订合同内容为准。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联系人：李永涛</w:t>
      </w:r>
    </w:p>
    <w:p>
      <w:pPr>
        <w:pStyle w:val="null3"/>
      </w:pPr>
      <w:r>
        <w:rPr>
          <w:rFonts w:ascii="仿宋_GB2312" w:hAnsi="仿宋_GB2312" w:cs="仿宋_GB2312" w:eastAsia="仿宋_GB2312"/>
        </w:rPr>
        <w:t>联系电话：0916-8898366</w:t>
      </w:r>
    </w:p>
    <w:p>
      <w:pPr>
        <w:pStyle w:val="null3"/>
      </w:pPr>
      <w:r>
        <w:rPr>
          <w:rFonts w:ascii="仿宋_GB2312" w:hAnsi="仿宋_GB2312" w:cs="仿宋_GB2312" w:eastAsia="仿宋_GB2312"/>
        </w:rPr>
        <w:t>地址：陕西省汉中市汉台区汉中路街道办西环南路祥瑞四季印象多层商业楼208</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在二道河村二组、五组、八组、九组路灯安装，共计安装太阳能路灯232盏，杆高8米。</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580,000.00</w:t>
      </w:r>
    </w:p>
    <w:p>
      <w:pPr>
        <w:pStyle w:val="null3"/>
      </w:pPr>
      <w:r>
        <w:rPr>
          <w:rFonts w:ascii="仿宋_GB2312" w:hAnsi="仿宋_GB2312" w:cs="仿宋_GB2312" w:eastAsia="仿宋_GB2312"/>
        </w:rPr>
        <w:t>采购包最高限价（元）: 580,000.00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汉源街道办二道河村路灯安装项目</w:t>
            </w:r>
          </w:p>
        </w:tc>
        <w:tc>
          <w:tcPr>
            <w:tcW w:type="dxa" w:w="755"/>
          </w:tcPr>
          <w:p>
            <w:pPr>
              <w:pStyle w:val="null3"/>
              <w:jc w:val="right"/>
            </w:pPr>
            <w:r>
              <w:rPr>
                <w:rFonts w:ascii="仿宋_GB2312" w:hAnsi="仿宋_GB2312" w:cs="仿宋_GB2312" w:eastAsia="仿宋_GB2312"/>
              </w:rPr>
              <w:t>232.00</w:t>
            </w:r>
          </w:p>
        </w:tc>
        <w:tc>
          <w:tcPr>
            <w:tcW w:type="dxa" w:w="755"/>
          </w:tcPr>
          <w:p>
            <w:pPr>
              <w:pStyle w:val="null3"/>
              <w:jc w:val="right"/>
            </w:pPr>
            <w:r>
              <w:rPr>
                <w:rFonts w:ascii="仿宋_GB2312" w:hAnsi="仿宋_GB2312" w:cs="仿宋_GB2312" w:eastAsia="仿宋_GB2312"/>
              </w:rPr>
              <w:t>580,000.00</w:t>
            </w:r>
          </w:p>
        </w:tc>
        <w:tc>
          <w:tcPr>
            <w:tcW w:type="dxa" w:w="755"/>
          </w:tcPr>
          <w:p>
            <w:pPr>
              <w:pStyle w:val="null3"/>
            </w:pPr>
            <w:r>
              <w:rPr>
                <w:rFonts w:ascii="仿宋_GB2312" w:hAnsi="仿宋_GB2312" w:cs="仿宋_GB2312" w:eastAsia="仿宋_GB2312"/>
              </w:rPr>
              <w:t>盏</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标的名称：汉源街道办二道河村路灯安装项目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78"/>
              <w:gridCol w:w="283"/>
              <w:gridCol w:w="1992"/>
            </w:tblGrid>
            <w:tr>
              <w:tc>
                <w:tcPr>
                  <w:tcW w:type="dxa" w:w="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1</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主杆</w:t>
                  </w:r>
                </w:p>
              </w:tc>
              <w:tc>
                <w:tcPr>
                  <w:tcW w:type="dxa" w:w="1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19"/>
                    </w:rPr>
                    <w:t>1、整体规格：8m（地面以上有效高度），高度误差控制在±20mm以内；灯杆主材国标Q235B低碳钢钢板，材质力学性能、韧性、强度符合国家钢结构用材标准。</w:t>
                  </w:r>
                  <w:r>
                    <w:br/>
                  </w:r>
                  <w:r>
                    <w:rPr>
                      <w:rFonts w:ascii="仿宋_GB2312" w:hAnsi="仿宋_GB2312" w:cs="仿宋_GB2312" w:eastAsia="仿宋_GB2312"/>
                      <w:sz w:val="19"/>
                    </w:rPr>
                    <w:t xml:space="preserve"> ★2、杆体尺寸：灯杆上口径φ70mm，下口径φ165mm，口径尺寸偏差±1mm。杆体壁厚≥4.0mm，壁厚偏差不大于±0.1mm。杆体形制：通体锥形渐变结构，上下口径规整对称，锥度均匀统一，无大小头偏差、无局部凹凸变形。</w:t>
                  </w:r>
                  <w:r>
                    <w:br/>
                  </w:r>
                  <w:r>
                    <w:rPr>
                      <w:rFonts w:ascii="仿宋_GB2312" w:hAnsi="仿宋_GB2312" w:cs="仿宋_GB2312" w:eastAsia="仿宋_GB2312"/>
                      <w:sz w:val="19"/>
                    </w:rPr>
                    <w:t xml:space="preserve"> 3、成型工艺：一次卷制成型，整杆通体无缝，杆身圆度均匀，无裂纹、无划痕、无褶皱、无毛刺，杆体直线度误差≤1‰。。</w:t>
                  </w:r>
                  <w:r>
                    <w:br/>
                  </w:r>
                  <w:r>
                    <w:rPr>
                      <w:rFonts w:ascii="仿宋_GB2312" w:hAnsi="仿宋_GB2312" w:cs="仿宋_GB2312" w:eastAsia="仿宋_GB2312"/>
                      <w:sz w:val="19"/>
                    </w:rPr>
                    <w:t xml:space="preserve"> 4、焊接工艺：灯杆所有焊接部位，焊缝平整光滑、均匀饱满，焊接强度不低于母材强度，焊接完成后经打磨抛光处理，无焊接凸起、无焊渣残留，整体外观整洁规整。</w:t>
                  </w:r>
                  <w:r>
                    <w:br/>
                  </w:r>
                  <w:r>
                    <w:rPr>
                      <w:rFonts w:ascii="仿宋_GB2312" w:hAnsi="仿宋_GB2312" w:cs="仿宋_GB2312" w:eastAsia="仿宋_GB2312"/>
                      <w:sz w:val="19"/>
                    </w:rPr>
                    <w:t xml:space="preserve"> 5、法兰与预埋件：配置方形加厚法兰盘，规格为270mm×270mm×12mm，法兰盘与灯杆底部采用满焊工艺焊接，焊接饱满、无虚焊、无夹渣、无气孔、无变形，法兰盘面平整、垂直度达标，可精准适配基础预埋件安装。</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2</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太阳能板</w:t>
                  </w:r>
                </w:p>
              </w:tc>
              <w:tc>
                <w:tcPr>
                  <w:tcW w:type="dxa" w:w="1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19"/>
                    </w:rPr>
                    <w:t>6、</w:t>
                  </w:r>
                  <w:r>
                    <w:rPr>
                      <w:rFonts w:ascii="仿宋_GB2312" w:hAnsi="仿宋_GB2312" w:cs="仿宋_GB2312" w:eastAsia="仿宋_GB2312"/>
                      <w:sz w:val="19"/>
                    </w:rPr>
                    <w:t xml:space="preserve"> </w:t>
                  </w:r>
                  <w:r>
                    <w:rPr>
                      <w:rFonts w:ascii="仿宋_GB2312" w:hAnsi="仿宋_GB2312" w:cs="仿宋_GB2312" w:eastAsia="仿宋_GB2312"/>
                      <w:sz w:val="19"/>
                      <w:color w:val="000000"/>
                    </w:rPr>
                    <w:t>组件类型：单晶硅太阳能光伏组件，额定功率≥150W。</w:t>
                  </w:r>
                </w:p>
                <w:p>
                  <w:pPr>
                    <w:pStyle w:val="null3"/>
                    <w:ind w:firstLine="480"/>
                    <w:jc w:val="left"/>
                  </w:pPr>
                  <w:r>
                    <w:rPr>
                      <w:rFonts w:ascii="仿宋_GB2312" w:hAnsi="仿宋_GB2312" w:cs="仿宋_GB2312" w:eastAsia="仿宋_GB2312"/>
                      <w:sz w:val="19"/>
                    </w:rPr>
                    <w:t>7、</w:t>
                  </w:r>
                  <w:r>
                    <w:rPr>
                      <w:rFonts w:ascii="仿宋_GB2312" w:hAnsi="仿宋_GB2312" w:cs="仿宋_GB2312" w:eastAsia="仿宋_GB2312"/>
                      <w:sz w:val="19"/>
                      <w:color w:val="000000"/>
                    </w:rPr>
                    <w:t>性能参数：组件光电转换效</w:t>
                  </w:r>
                  <w:r>
                    <w:rPr>
                      <w:rFonts w:ascii="仿宋_GB2312" w:hAnsi="仿宋_GB2312" w:cs="仿宋_GB2312" w:eastAsia="仿宋_GB2312"/>
                      <w:sz w:val="19"/>
                      <w:color w:val="000000"/>
                    </w:rPr>
                    <w:t>率≥18.5%</w:t>
                  </w:r>
                  <w:r>
                    <w:rPr>
                      <w:rFonts w:ascii="仿宋_GB2312" w:hAnsi="仿宋_GB2312" w:cs="仿宋_GB2312" w:eastAsia="仿宋_GB2312"/>
                      <w:sz w:val="19"/>
                      <w:color w:val="000000"/>
                    </w:rPr>
                    <w:t>。</w:t>
                  </w:r>
                </w:p>
                <w:p>
                  <w:pPr>
                    <w:pStyle w:val="null3"/>
                    <w:ind w:firstLine="480"/>
                    <w:jc w:val="left"/>
                  </w:pPr>
                  <w:r>
                    <w:rPr>
                      <w:rFonts w:ascii="仿宋_GB2312" w:hAnsi="仿宋_GB2312" w:cs="仿宋_GB2312" w:eastAsia="仿宋_GB2312"/>
                      <w:sz w:val="19"/>
                    </w:rPr>
                    <w:t>8、</w:t>
                  </w:r>
                  <w:r>
                    <w:rPr>
                      <w:rFonts w:ascii="仿宋_GB2312" w:hAnsi="仿宋_GB2312" w:cs="仿宋_GB2312" w:eastAsia="仿宋_GB2312"/>
                      <w:sz w:val="19"/>
                      <w:color w:val="000000"/>
                    </w:rPr>
                    <w:t>结构与配件：边框采用防腐处理铝合金边框（镀锡 / 阳极氧化）；组件接线盒内置不少于 2 只旁路二极管，具备热斑效应防护功能。</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3</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锂电池</w:t>
                  </w:r>
                </w:p>
              </w:tc>
              <w:tc>
                <w:tcPr>
                  <w:tcW w:type="dxa" w:w="1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19"/>
                    </w:rPr>
                    <w:t>9、</w:t>
                  </w:r>
                  <w:r>
                    <w:rPr>
                      <w:rFonts w:ascii="仿宋_GB2312" w:hAnsi="仿宋_GB2312" w:cs="仿宋_GB2312" w:eastAsia="仿宋_GB2312"/>
                      <w:sz w:val="19"/>
                      <w:color w:val="000000"/>
                    </w:rPr>
                    <w:t>电池：磷酸铁锂电池组，额定容量≥</w:t>
                  </w:r>
                  <w:r>
                    <w:rPr>
                      <w:rFonts w:ascii="仿宋_GB2312" w:hAnsi="仿宋_GB2312" w:cs="仿宋_GB2312" w:eastAsia="仿宋_GB2312"/>
                      <w:sz w:val="19"/>
                      <w:color w:val="000000"/>
                    </w:rPr>
                    <w:t xml:space="preserve">12V   </w:t>
                  </w:r>
                  <w:r>
                    <w:rPr>
                      <w:rFonts w:ascii="仿宋_GB2312" w:hAnsi="仿宋_GB2312" w:cs="仿宋_GB2312" w:eastAsia="仿宋_GB2312"/>
                      <w:sz w:val="19"/>
                      <w:color w:val="000000"/>
                    </w:rPr>
                    <w:t>80Ah</w:t>
                  </w:r>
                  <w:r>
                    <w:rPr>
                      <w:rFonts w:ascii="仿宋_GB2312" w:hAnsi="仿宋_GB2312" w:cs="仿宋_GB2312" w:eastAsia="仿宋_GB2312"/>
                      <w:sz w:val="19"/>
                      <w:color w:val="000000"/>
                    </w:rPr>
                    <w:t>。</w:t>
                  </w:r>
                </w:p>
                <w:p>
                  <w:pPr>
                    <w:pStyle w:val="null3"/>
                    <w:ind w:firstLine="480"/>
                    <w:jc w:val="left"/>
                  </w:pPr>
                  <w:r>
                    <w:rPr>
                      <w:rFonts w:ascii="仿宋_GB2312" w:hAnsi="仿宋_GB2312" w:cs="仿宋_GB2312" w:eastAsia="仿宋_GB2312"/>
                      <w:sz w:val="19"/>
                    </w:rPr>
                    <w:t>10、</w:t>
                  </w:r>
                  <w:r>
                    <w:rPr>
                      <w:rFonts w:ascii="仿宋_GB2312" w:hAnsi="仿宋_GB2312" w:cs="仿宋_GB2312" w:eastAsia="仿宋_GB2312"/>
                      <w:sz w:val="19"/>
                      <w:color w:val="000000"/>
                    </w:rPr>
                    <w:t>保护功能：配套电池管理系统，具备过充、过放、过流、短路、过温、欠温保护及电芯均衡功能。</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4</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LED光源（核心产品）</w:t>
                  </w:r>
                </w:p>
              </w:tc>
              <w:tc>
                <w:tcPr>
                  <w:tcW w:type="dxa" w:w="1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19"/>
                    </w:rPr>
                    <w:t>11、</w:t>
                  </w:r>
                  <w:r>
                    <w:rPr>
                      <w:rFonts w:ascii="仿宋_GB2312" w:hAnsi="仿宋_GB2312" w:cs="仿宋_GB2312" w:eastAsia="仿宋_GB2312"/>
                      <w:sz w:val="19"/>
                      <w:color w:val="000000"/>
                    </w:rPr>
                    <w:t>整体规格：LED 路灯光源总成，额定功率≥100W；灯具外壳采用高压压铸铝或铝型材散热结构，散热设计满足长期稳定工作要求。</w:t>
                  </w:r>
                </w:p>
                <w:p>
                  <w:pPr>
                    <w:pStyle w:val="null3"/>
                    <w:ind w:firstLine="480"/>
                    <w:jc w:val="left"/>
                  </w:pPr>
                  <w:r>
                    <w:rPr>
                      <w:rFonts w:ascii="仿宋_GB2312" w:hAnsi="仿宋_GB2312" w:cs="仿宋_GB2312" w:eastAsia="仿宋_GB2312"/>
                      <w:sz w:val="19"/>
                    </w:rPr>
                    <w:t>12、</w:t>
                  </w:r>
                  <w:r>
                    <w:rPr>
                      <w:rFonts w:ascii="仿宋_GB2312" w:hAnsi="仿宋_GB2312" w:cs="仿宋_GB2312" w:eastAsia="仿宋_GB2312"/>
                      <w:sz w:val="19"/>
                      <w:color w:val="000000"/>
                    </w:rPr>
                    <w:t>芯片要求：采用高光效、长寿命 LED 芯片，产品性能稳定。</w:t>
                  </w:r>
                </w:p>
                <w:p>
                  <w:pPr>
                    <w:pStyle w:val="null3"/>
                    <w:ind w:firstLine="480"/>
                    <w:jc w:val="left"/>
                  </w:pPr>
                  <w:r>
                    <w:rPr>
                      <w:rFonts w:ascii="仿宋_GB2312" w:hAnsi="仿宋_GB2312" w:cs="仿宋_GB2312" w:eastAsia="仿宋_GB2312"/>
                      <w:sz w:val="19"/>
                    </w:rPr>
                    <w:t>13、</w:t>
                  </w:r>
                  <w:r>
                    <w:rPr>
                      <w:rFonts w:ascii="仿宋_GB2312" w:hAnsi="仿宋_GB2312" w:cs="仿宋_GB2312" w:eastAsia="仿宋_GB2312"/>
                      <w:sz w:val="19"/>
                      <w:color w:val="000000"/>
                    </w:rPr>
                    <w:t>光学性能：每路 LED 光源采用透镜二次配光，配光曲线呈蝙蝠翼型；灯具整灯光效≥85 (lm/W)。</w:t>
                  </w:r>
                </w:p>
                <w:p>
                  <w:pPr>
                    <w:pStyle w:val="null3"/>
                    <w:ind w:firstLine="480"/>
                    <w:jc w:val="left"/>
                  </w:pPr>
                  <w:r>
                    <w:rPr>
                      <w:rFonts w:ascii="仿宋_GB2312" w:hAnsi="仿宋_GB2312" w:cs="仿宋_GB2312" w:eastAsia="仿宋_GB2312"/>
                      <w:sz w:val="19"/>
                    </w:rPr>
                    <w:t>14、</w:t>
                  </w:r>
                  <w:r>
                    <w:rPr>
                      <w:rFonts w:ascii="仿宋_GB2312" w:hAnsi="仿宋_GB2312" w:cs="仿宋_GB2312" w:eastAsia="仿宋_GB2312"/>
                      <w:sz w:val="19"/>
                      <w:color w:val="000000"/>
                    </w:rPr>
                    <w:t>电气性能：灯具功率因数≥</w:t>
                  </w:r>
                  <w:r>
                    <w:rPr>
                      <w:rFonts w:ascii="仿宋_GB2312" w:hAnsi="仿宋_GB2312" w:cs="仿宋_GB2312" w:eastAsia="仿宋_GB2312"/>
                      <w:sz w:val="19"/>
                      <w:color w:val="000000"/>
                    </w:rPr>
                    <w:t>0.9,年光衰小于12%</w:t>
                  </w:r>
                  <w:r>
                    <w:rPr>
                      <w:rFonts w:ascii="仿宋_GB2312" w:hAnsi="仿宋_GB2312" w:cs="仿宋_GB2312" w:eastAsia="仿宋_GB2312"/>
                      <w:sz w:val="19"/>
                      <w:color w:val="000000"/>
                    </w:rPr>
                    <w:t>；灯具防护等级≥IP65；工作环境温度：-30℃~+45℃。</w:t>
                  </w:r>
                </w:p>
                <w:p>
                  <w:pPr>
                    <w:pStyle w:val="null3"/>
                    <w:ind w:firstLine="480"/>
                    <w:jc w:val="left"/>
                  </w:pPr>
                  <w:r>
                    <w:rPr>
                      <w:rFonts w:ascii="仿宋_GB2312" w:hAnsi="仿宋_GB2312" w:cs="仿宋_GB2312" w:eastAsia="仿宋_GB2312"/>
                      <w:sz w:val="19"/>
                    </w:rPr>
                    <w:t>15、</w:t>
                  </w:r>
                  <w:r>
                    <w:rPr>
                      <w:rFonts w:ascii="仿宋_GB2312" w:hAnsi="仿宋_GB2312" w:cs="仿宋_GB2312" w:eastAsia="仿宋_GB2312"/>
                      <w:sz w:val="19"/>
                      <w:color w:val="000000"/>
                    </w:rPr>
                    <w:t>安装要求：灯具安装仰角为可调式或固定式，与灯杆安装匹配协调。</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5</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电缆线</w:t>
                  </w:r>
                </w:p>
              </w:tc>
              <w:tc>
                <w:tcPr>
                  <w:tcW w:type="dxa" w:w="1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19"/>
                    </w:rPr>
                    <w:t>16、</w:t>
                  </w:r>
                  <w:r>
                    <w:rPr>
                      <w:rFonts w:ascii="仿宋_GB2312" w:hAnsi="仿宋_GB2312" w:cs="仿宋_GB2312" w:eastAsia="仿宋_GB2312"/>
                      <w:sz w:val="19"/>
                      <w:color w:val="000000"/>
                    </w:rPr>
                    <w:t>线缆规格：采用RVV 2×2.5mm²太阳能专用耐寒铜芯线缆。</w:t>
                  </w:r>
                </w:p>
                <w:p>
                  <w:pPr>
                    <w:pStyle w:val="null3"/>
                    <w:ind w:firstLine="480"/>
                    <w:jc w:val="left"/>
                  </w:pPr>
                  <w:r>
                    <w:rPr>
                      <w:rFonts w:ascii="仿宋_GB2312" w:hAnsi="仿宋_GB2312" w:cs="仿宋_GB2312" w:eastAsia="仿宋_GB2312"/>
                      <w:sz w:val="19"/>
                    </w:rPr>
                    <w:t>17、</w:t>
                  </w:r>
                  <w:r>
                    <w:rPr>
                      <w:rFonts w:ascii="仿宋_GB2312" w:hAnsi="仿宋_GB2312" w:cs="仿宋_GB2312" w:eastAsia="仿宋_GB2312"/>
                      <w:sz w:val="19"/>
                      <w:color w:val="000000"/>
                    </w:rPr>
                    <w:t>接头要求：配套太阳能专用防水接头，防护等级≥IP65。</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6</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控制器</w:t>
                  </w:r>
                </w:p>
              </w:tc>
              <w:tc>
                <w:tcPr>
                  <w:tcW w:type="dxa" w:w="1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19"/>
                    </w:rPr>
                    <w:t>18、</w:t>
                  </w:r>
                  <w:r>
                    <w:rPr>
                      <w:rFonts w:ascii="仿宋_GB2312" w:hAnsi="仿宋_GB2312" w:cs="仿宋_GB2312" w:eastAsia="仿宋_GB2312"/>
                      <w:sz w:val="19"/>
                      <w:color w:val="000000"/>
                    </w:rPr>
                    <w:t>类型：太阳能路灯专用</w:t>
                  </w:r>
                  <w:r>
                    <w:rPr>
                      <w:rFonts w:ascii="仿宋_GB2312" w:hAnsi="仿宋_GB2312" w:cs="仿宋_GB2312" w:eastAsia="仿宋_GB2312"/>
                      <w:sz w:val="19"/>
                      <w:color w:val="000000"/>
                    </w:rPr>
                    <w:t>微型全智能控制器</w:t>
                  </w:r>
                  <w:r>
                    <w:rPr>
                      <w:rFonts w:ascii="仿宋_GB2312" w:hAnsi="仿宋_GB2312" w:cs="仿宋_GB2312" w:eastAsia="仿宋_GB2312"/>
                      <w:sz w:val="19"/>
                      <w:color w:val="000000"/>
                    </w:rPr>
                    <w:t>。</w:t>
                  </w:r>
                </w:p>
                <w:p>
                  <w:pPr>
                    <w:pStyle w:val="null3"/>
                    <w:ind w:firstLine="480"/>
                    <w:jc w:val="left"/>
                  </w:pPr>
                  <w:r>
                    <w:rPr>
                      <w:rFonts w:ascii="仿宋_GB2312" w:hAnsi="仿宋_GB2312" w:cs="仿宋_GB2312" w:eastAsia="仿宋_GB2312"/>
                      <w:sz w:val="19"/>
                    </w:rPr>
                    <w:t>19、</w:t>
                  </w:r>
                  <w:r>
                    <w:rPr>
                      <w:rFonts w:ascii="仿宋_GB2312" w:hAnsi="仿宋_GB2312" w:cs="仿宋_GB2312" w:eastAsia="仿宋_GB2312"/>
                      <w:sz w:val="19"/>
                      <w:color w:val="000000"/>
                    </w:rPr>
                    <w:t>功能要求：具备</w:t>
                  </w:r>
                  <w:r>
                    <w:rPr>
                      <w:rFonts w:ascii="仿宋_GB2312" w:hAnsi="仿宋_GB2312" w:cs="仿宋_GB2312" w:eastAsia="仿宋_GB2312"/>
                      <w:sz w:val="19"/>
                      <w:color w:val="000000"/>
                    </w:rPr>
                    <w:t>充电保护，防止电池过充过放</w:t>
                  </w:r>
                  <w:r>
                    <w:rPr>
                      <w:rFonts w:ascii="仿宋_GB2312" w:hAnsi="仿宋_GB2312" w:cs="仿宋_GB2312" w:eastAsia="仿宋_GB2312"/>
                      <w:sz w:val="19"/>
                      <w:color w:val="000000"/>
                    </w:rPr>
                    <w:t>；支持光控 + 时控组合控制模式，</w:t>
                  </w:r>
                  <w:r>
                    <w:rPr>
                      <w:rFonts w:ascii="仿宋_GB2312" w:hAnsi="仿宋_GB2312" w:cs="仿宋_GB2312" w:eastAsia="仿宋_GB2312"/>
                      <w:sz w:val="19"/>
                      <w:color w:val="000000"/>
                    </w:rPr>
                    <w:t>防护等级≥IP65</w:t>
                  </w:r>
                  <w:r>
                    <w:rPr>
                      <w:rFonts w:ascii="仿宋_GB2312" w:hAnsi="仿宋_GB2312" w:cs="仿宋_GB2312" w:eastAsia="仿宋_GB2312"/>
                      <w:sz w:val="19"/>
                      <w:color w:val="000000"/>
                    </w:rPr>
                    <w:t>。</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7</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基础制作</w:t>
                  </w:r>
                </w:p>
              </w:tc>
              <w:tc>
                <w:tcPr>
                  <w:tcW w:type="dxa" w:w="1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19"/>
                    </w:rPr>
                    <w:t>20、</w:t>
                  </w:r>
                  <w:r>
                    <w:rPr>
                      <w:rFonts w:ascii="仿宋_GB2312" w:hAnsi="仿宋_GB2312" w:cs="仿宋_GB2312" w:eastAsia="仿宋_GB2312"/>
                      <w:sz w:val="19"/>
                      <w:color w:val="000000"/>
                    </w:rPr>
                    <w:t>基础规格：混凝土基础尺寸≥60cm×60cm×100cm（长×宽×深），采用C30混凝土浇筑，浇筑密实无蜂窝、气泡。</w:t>
                  </w:r>
                </w:p>
                <w:p>
                  <w:pPr>
                    <w:pStyle w:val="null3"/>
                    <w:ind w:firstLine="480"/>
                    <w:jc w:val="left"/>
                  </w:pPr>
                  <w:r>
                    <w:rPr>
                      <w:rFonts w:ascii="仿宋_GB2312" w:hAnsi="仿宋_GB2312" w:cs="仿宋_GB2312" w:eastAsia="仿宋_GB2312"/>
                      <w:sz w:val="19"/>
                    </w:rPr>
                    <w:t>21、</w:t>
                  </w:r>
                  <w:r>
                    <w:rPr>
                      <w:rFonts w:ascii="仿宋_GB2312" w:hAnsi="仿宋_GB2312" w:cs="仿宋_GB2312" w:eastAsia="仿宋_GB2312"/>
                      <w:sz w:val="19"/>
                      <w:color w:val="000000"/>
                    </w:rPr>
                    <w:t>接地要求：基础配套接地装置，接地电阻≤10Ω。</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进度款，完成全部路灯安装调试，通过招标人验收合格后，达到付款条件起20个工作日内，支付合同总金额的100.0%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具体以签订合同内容为准。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质保期8年。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因合同发⽣的任何争议，双⽅应协商解决，协商不成，应向合同签订地人民法院提起诉讼。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现场安装占用农户土地所产生的费用和协调事宜由中标单位自行承担解决。2、投标保证金以款项实际足额到达指定账户为准。若供应商提交保证金后因转账失误、账户信息错误、转账延迟、金额不足等自身或第三方原因导致保证金未能按期足额到账，均视为未按要求缴纳投标保证金，由此产生的投标无效、资格不予认可、错失参与资格等全部后果，由投标人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法定代表人参加投标的，提供本人身份证复印件并出示身份证扫描件；法定代表人授权他人参加投标的，提供法定代表人委托授权书并出示被授权代表的身份证扫描件。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按招标文件要求报价，不得提交选择性报价，报价符合招标文件的要求。</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技术方案.docx 中小企业声明函 商务应答表.docx 业绩与人员.docx 投标函 残疾人福利性单位声明函 产品来源渠道.docx 标的清单 关于符合本国产品标准的声明函 投标人资格证明文件.docx 投标文件封面 产品技术参数表.docx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提供2023年1月1日至今已完成类似项目业绩（路灯销售或路灯安装），须提供完整合同复印件并加盖投标人公章，以合同签订时间为准，每提供一个业绩计2.5分，最高得5分。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业绩与人员.docx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满足采购文件要求的得30分。带“★”的参数（1项）需求为实质性要求，投标人必须响应并满足的参数需求。剩余技术参数（20项）每不满足一项扣1.5分，扣完为止。评审依据:投标人应提供相关技术参数证明材料(包括但不限于产品说明书、产品图册、承诺文件、检测报告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团队服务人员，每提供一人的2分，最多得10分。评审依据：身份证、劳动合同。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业绩与人员.docx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所投产品符合相关标准且无产权纠纷，无假货、水货、翻新货，提供所投产品来源渠道合法证明文件(包括但不限于销售协议、代理协议、原厂授权等)，能够证明的计5分，不提供不得分。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产品来源渠道.docx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针对本项目提供的实施方案内容包括：①现场勘查施工统筹②供货安装施工工艺③全过程质量检测④安全施工应急保障等，内容完整且满⾜采购需求的得12分，每项内容分值3分，每缺⼀项扣3分，每项内容中每有⼀处缺陷扣1分，单项扣完为⽌。注：缺陷具体是指对应单项中的内 容缺失（不完整）、与对应单项的要求缺少重要节点（如仅有框架或标题、单项内容仅有复制招标内容的要求、涉及内容⽆重点）；单项⽅案中出现套⽤其他项⽬⽅案或内容、内容中出现前后描述不⼀致现象或语⾔描述出现有错误、内容涉 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针对本项⽬提供的售后服务方案内容包括：①质保维修②定期巡检③报修响应服务机制④质保期满后保障等，内容完整且满⾜采购需求的得8分，每项内容分值2分，每缺⼀项扣2分，每项内容中每有⼀处缺陷扣0.5分，单项扣完为⽌。注：缺陷具体是指对应单项中的内 容缺失（不完整）、与对应单项的要求缺少重要节点（如仅有框架或标题、单项内容仅有复制招标内容的要求、涉及内容⽆重点）；单项⽅案中出现套⽤其他项⽬⽅案或内容、内容中出现前后描述不⼀致现象或语⾔描述出现有错误、内容涉 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在采购预算内且满足招标文件要求且投标报价最低的投标人的价格为基准价，其价格分为30分。各投标人的价格分统一按照下列公式计算：价格分=（基准价/投标响应报价）*30* 100% 。</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详见附件：产品来源渠道.docx</w:t>
      </w:r>
    </w:p>
    <w:p>
      <w:pPr>
        <w:pStyle w:val="null3"/>
        <w:ind w:firstLine="960"/>
      </w:pPr>
      <w:r>
        <w:rPr>
          <w:rFonts w:ascii="仿宋_GB2312" w:hAnsi="仿宋_GB2312" w:cs="仿宋_GB2312" w:eastAsia="仿宋_GB2312"/>
        </w:rPr>
        <w:t>详见附件：业绩与人员.docx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