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版本号：ZCSP-渭南市-2026-00133、XACH2026-04920260603001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HIS、EMR系统定制开发服务项目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ZCSP-渭南市-2026-00133、XACH2026-049</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HIS、EMR系统定制开发服务项目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ZCSP-渭南市-2026-00133、XACH2026-049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HIS、EMR系统定制开发服务项目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HIS、EMR系统定制开发服务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采购包1（HIS、EMR系统定制开发服务项目）：属于专门面向中小企业采购。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法定代表人参加磋商只需提供法定代表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供应商提供依法缴纳税收和社会保障资金的相关材料，依法免税的供应商应具有税务部门出具的证明文件；依法不需要缴纳社会保障资金的供应商，需具有社保部门出具的证明文件；供应商需在项目电子化交易系统中按要求上传相应证明文件并进行电子签章。</w:t>
      </w:r>
    </w:p>
    <w:p>
      <w:pPr>
        <w:pStyle w:val="null3"/>
      </w:pPr>
      <w:r>
        <w:rPr>
          <w:rFonts w:ascii="仿宋_GB2312" w:hAnsi="仿宋_GB2312" w:cs="仿宋_GB2312" w:eastAsia="仿宋_GB2312"/>
        </w:rPr>
        <w:t>4、供应商具有良好的商业信誉和健全的财务会计制度：供应商提供2025年度财务审计报告或磋商前3个月内供应商基本账户银行出具的资信证明；供应商需在项目电子化交易系统中按要求上传相应证明文件并进行电子签章。</w:t>
      </w:r>
    </w:p>
    <w:p>
      <w:pPr>
        <w:pStyle w:val="null3"/>
      </w:pPr>
      <w:r>
        <w:rPr>
          <w:rFonts w:ascii="仿宋_GB2312" w:hAnsi="仿宋_GB2312" w:cs="仿宋_GB2312" w:eastAsia="仿宋_GB2312"/>
        </w:rPr>
        <w:t>5、供应商具有履行合同所必需的设备和专业技术能力：供应商具有履行合同所必需的设备和专业技术能力的声明；供应商需在项目电子化交易系统中按要求上传相应证明文件并进行电子签章。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6、供应商参加政府采购活动前三年内在经营活动中没有重大违法记录：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7、磋商保证金：提供磋商保证金交纳凭证；供应商需在项目电子化交易系统中按要求上传相应证明文件并进行电子签章。</w:t>
      </w:r>
    </w:p>
    <w:p>
      <w:pPr>
        <w:pStyle w:val="null3"/>
      </w:pPr>
      <w:r>
        <w:rPr>
          <w:rFonts w:ascii="仿宋_GB2312" w:hAnsi="仿宋_GB2312" w:cs="仿宋_GB2312" w:eastAsia="仿宋_GB2312"/>
        </w:rPr>
        <w:t>8、中小企业声明函：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p>
      <w:pPr>
        <w:pStyle w:val="null3"/>
      </w:pPr>
      <w:r>
        <w:rPr>
          <w:rFonts w:ascii="仿宋_GB2312" w:hAnsi="仿宋_GB2312" w:cs="仿宋_GB2312" w:eastAsia="仿宋_GB2312"/>
        </w:rPr>
        <w:t>9、非联合体磋商：非联合体磋商声明；供应商需在项目电子化交易系统中按要求上传相应证明文件并进行电子签章。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齐莎莎、王文文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开户名称：西安辰和工程咨询有限公司</w:t>
            </w:r>
          </w:p>
          <w:p>
            <w:pPr>
              <w:pStyle w:val="null3"/>
            </w:pPr>
            <w:r>
              <w:rPr>
                <w:rFonts w:ascii="仿宋_GB2312" w:hAnsi="仿宋_GB2312" w:cs="仿宋_GB2312" w:eastAsia="仿宋_GB2312"/>
              </w:rPr>
              <w:t>开户银行：西安银行电子正街支行</w:t>
            </w:r>
          </w:p>
          <w:p>
            <w:pPr>
              <w:pStyle w:val="null3"/>
            </w:pPr>
            <w:r>
              <w:rPr>
                <w:rFonts w:ascii="仿宋_GB2312" w:hAnsi="仿宋_GB2312" w:cs="仿宋_GB2312" w:eastAsia="仿宋_GB2312"/>
              </w:rPr>
              <w:t>银行账号：1050 1158 0000 1008 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100～500万元按0.8%收取。不足5000元的按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按国家标准和规范、合同规定、响应文件条款和磋商文件要求。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联系人：齐莎莎</w:t>
      </w:r>
    </w:p>
    <w:p>
      <w:pPr>
        <w:pStyle w:val="null3"/>
      </w:pPr>
      <w:r>
        <w:rPr>
          <w:rFonts w:ascii="仿宋_GB2312" w:hAnsi="仿宋_GB2312" w:cs="仿宋_GB2312" w:eastAsia="仿宋_GB2312"/>
        </w:rPr>
        <w:t>联系电话：029-82286063</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HIS、EMR系统定制开发服务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HIS EMR系统定制开发服务项目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标的名称：HIS EMR系统定制开发服务项目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一、项目目标</w:t>
            </w:r>
          </w:p>
          <w:p>
            <w:pPr>
              <w:pStyle w:val="null3"/>
              <w:jc w:val="both"/>
            </w:pPr>
            <w:r>
              <w:rPr>
                <w:rFonts w:ascii="仿宋_GB2312" w:hAnsi="仿宋_GB2312" w:cs="仿宋_GB2312" w:eastAsia="仿宋_GB2312"/>
                <w:sz w:val="28"/>
              </w:rPr>
              <w:t>1.稳定性目标：HIS+EMR系统年非计划停机次数≤[1]次，系统可用率≥[99.9%]（核心业务时段：8:00-18:00可用率≥99.95%）；</w:t>
            </w:r>
          </w:p>
          <w:p>
            <w:pPr>
              <w:pStyle w:val="null3"/>
              <w:jc w:val="both"/>
            </w:pPr>
            <w:r>
              <w:rPr>
                <w:rFonts w:ascii="仿宋_GB2312" w:hAnsi="仿宋_GB2312" w:cs="仿宋_GB2312" w:eastAsia="仿宋_GB2312"/>
                <w:sz w:val="28"/>
              </w:rPr>
              <w:t>2.运行性能优化目标：HIS+EMR核心模块，响应时间≤[3]秒，EMR病历录入、检索、质控响应时间≤[3]秒，数据库慢查询（执行时间＞5秒）数量减少[60%]以上；</w:t>
            </w:r>
          </w:p>
          <w:p>
            <w:pPr>
              <w:pStyle w:val="null3"/>
              <w:jc w:val="both"/>
            </w:pPr>
            <w:r>
              <w:rPr>
                <w:rFonts w:ascii="仿宋_GB2312" w:hAnsi="仿宋_GB2312" w:cs="仿宋_GB2312" w:eastAsia="仿宋_GB2312"/>
                <w:sz w:val="28"/>
              </w:rPr>
              <w:t>3.功能定制目标：提供200个定制需求开发人工日，满足年度内医院及科室定制化需求；</w:t>
            </w:r>
          </w:p>
          <w:p>
            <w:pPr>
              <w:pStyle w:val="null3"/>
              <w:jc w:val="both"/>
            </w:pPr>
            <w:r>
              <w:rPr>
                <w:rFonts w:ascii="仿宋_GB2312" w:hAnsi="仿宋_GB2312" w:cs="仿宋_GB2312" w:eastAsia="仿宋_GB2312"/>
                <w:sz w:val="28"/>
                <w:b/>
              </w:rPr>
              <w:t>二、项目范围</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1）政策性与定制需求软件/接口开发服务</w:t>
            </w:r>
          </w:p>
          <w:p>
            <w:pPr>
              <w:pStyle w:val="null3"/>
              <w:jc w:val="both"/>
            </w:pPr>
            <w:r>
              <w:rPr>
                <w:rFonts w:ascii="仿宋_GB2312" w:hAnsi="仿宋_GB2312" w:cs="仿宋_GB2312" w:eastAsia="仿宋_GB2312"/>
                <w:sz w:val="28"/>
              </w:rPr>
              <w:t>省、地、市、国家要求的政策性对接、上报、软件流程改造不收取费用，不消耗人工日，如发生需配套的三方采购费用由医院承担。</w:t>
            </w:r>
          </w:p>
          <w:p>
            <w:pPr>
              <w:pStyle w:val="null3"/>
              <w:jc w:val="both"/>
            </w:pPr>
            <w:r>
              <w:rPr>
                <w:rFonts w:ascii="仿宋_GB2312" w:hAnsi="仿宋_GB2312" w:cs="仿宋_GB2312" w:eastAsia="仿宋_GB2312"/>
                <w:sz w:val="28"/>
              </w:rPr>
              <w:t>在</w:t>
            </w:r>
            <w:r>
              <w:rPr>
                <w:rFonts w:ascii="仿宋_GB2312" w:hAnsi="仿宋_GB2312" w:cs="仿宋_GB2312" w:eastAsia="仿宋_GB2312"/>
                <w:sz w:val="28"/>
              </w:rPr>
              <w:t>200人工日内完成医院定制化需求修改任务，人工日采用扣减方式，包含需求调研、方案设计、开发、测试、试运行阶段所需人工日，扣减天数由医院与中标公司双方确定。</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2）软件服务范围</w:t>
            </w:r>
          </w:p>
          <w:tbl>
            <w:tblPr>
              <w:tblInd w:type="dxa" w:w="120"/>
              <w:tblBorders>
                <w:top w:val="none" w:color="000000" w:sz="4"/>
                <w:left w:val="none" w:color="000000" w:sz="4"/>
                <w:bottom w:val="none" w:color="000000" w:sz="4"/>
                <w:right w:val="none" w:color="000000" w:sz="4"/>
                <w:insideH w:val="none"/>
                <w:insideV w:val="none"/>
              </w:tblBorders>
            </w:tblPr>
            <w:tblGrid>
              <w:gridCol w:w="502"/>
              <w:gridCol w:w="943"/>
              <w:gridCol w:w="554"/>
              <w:gridCol w:w="554"/>
            </w:tblGrid>
            <w:tr>
              <w:tc>
                <w:tcPr>
                  <w:tcW w:type="dxa" w:w="502"/>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w:t>
                  </w:r>
                </w:p>
                <w:p>
                  <w:pPr>
                    <w:pStyle w:val="null3"/>
                    <w:jc w:val="both"/>
                  </w:pPr>
                  <w:r>
                    <w:rPr>
                      <w:rFonts w:ascii="仿宋_GB2312" w:hAnsi="仿宋_GB2312" w:cs="仿宋_GB2312" w:eastAsia="仿宋_GB2312"/>
                      <w:sz w:val="24"/>
                    </w:rPr>
                    <w:t>名称</w:t>
                  </w:r>
                </w:p>
              </w:tc>
              <w:tc>
                <w:tcPr>
                  <w:tcW w:type="dxa" w:w="943"/>
                  <w:tcBorders>
                    <w:top w:val="single" w:color="000000" w:sz="4"/>
                    <w:left w:val="none" w:color="000000" w:sz="4"/>
                    <w:bottom w:val="single" w:color="000000" w:sz="4"/>
                    <w:right w:val="single" w:color="000000" w:sz="4"/>
                  </w:tcBorders>
                  <w:shd w:fill="AEAAAA"/>
                  <w:tcMar>
                    <w:top w:type="dxa" w:w="0"/>
                    <w:left w:type="dxa" w:w="105"/>
                    <w:bottom w:type="dxa" w:w="0"/>
                    <w:right w:type="dxa" w:w="105"/>
                  </w:tcMar>
                  <w:vAlign w:val="top"/>
                </w:tcPr>
                <w:p>
                  <w:pPr>
                    <w:pStyle w:val="null3"/>
                    <w:jc w:val="both"/>
                  </w:pPr>
                  <w:r>
                    <w:rPr>
                      <w:rFonts w:ascii="仿宋_GB2312" w:hAnsi="仿宋_GB2312" w:cs="仿宋_GB2312" w:eastAsia="仿宋_GB2312"/>
                      <w:sz w:val="24"/>
                    </w:rPr>
                    <w:t>模块名称</w:t>
                  </w:r>
                </w:p>
              </w:tc>
              <w:tc>
                <w:tcPr>
                  <w:tcW w:type="dxa" w:w="554"/>
                  <w:tcBorders>
                    <w:top w:val="single" w:color="000000" w:sz="4"/>
                    <w:left w:val="none" w:color="000000" w:sz="4"/>
                    <w:bottom w:val="single" w:color="000000" w:sz="4"/>
                    <w:right w:val="single" w:color="000000" w:sz="4"/>
                  </w:tcBorders>
                  <w:shd w:fill="AEAAAA"/>
                  <w:tcMar>
                    <w:top w:type="dxa" w:w="0"/>
                    <w:left w:type="dxa" w:w="105"/>
                    <w:bottom w:type="dxa" w:w="0"/>
                    <w:right w:type="dxa" w:w="105"/>
                  </w:tcMar>
                  <w:vAlign w:val="top"/>
                </w:tcPr>
                <w:p>
                  <w:pPr>
                    <w:pStyle w:val="null3"/>
                    <w:jc w:val="both"/>
                  </w:pPr>
                  <w:r>
                    <w:rPr>
                      <w:rFonts w:ascii="仿宋_GB2312" w:hAnsi="仿宋_GB2312" w:cs="仿宋_GB2312" w:eastAsia="仿宋_GB2312"/>
                      <w:sz w:val="24"/>
                    </w:rPr>
                    <w:t>响应级别</w:t>
                  </w:r>
                </w:p>
              </w:tc>
              <w:tc>
                <w:tcPr>
                  <w:tcW w:type="dxa" w:w="554"/>
                  <w:tcBorders>
                    <w:top w:val="single" w:color="000000" w:sz="4"/>
                    <w:left w:val="none" w:color="000000" w:sz="4"/>
                    <w:bottom w:val="single" w:color="000000" w:sz="4"/>
                    <w:right w:val="single" w:color="000000" w:sz="4"/>
                  </w:tcBorders>
                  <w:shd w:fill="AEAAAA"/>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集成平台</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和仁医疗信息集成平台软件</w:t>
                  </w:r>
                  <w:r>
                    <w:rPr>
                      <w:rFonts w:ascii="仿宋_GB2312" w:hAnsi="仿宋_GB2312" w:cs="仿宋_GB2312" w:eastAsia="仿宋_GB2312"/>
                      <w:sz w:val="24"/>
                    </w:rPr>
                    <w:t>V1.0</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包含响应、问题处理、约定的软件升级对接</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数据中心</w:t>
                  </w:r>
                </w:p>
              </w:tc>
              <w:tc>
                <w:tcPr>
                  <w:tcW w:type="dxa" w:w="94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和仁临床数据中心软件</w:t>
                  </w:r>
                  <w:r>
                    <w:rPr>
                      <w:rFonts w:ascii="仿宋_GB2312" w:hAnsi="仿宋_GB2312" w:cs="仿宋_GB2312" w:eastAsia="仿宋_GB2312"/>
                      <w:sz w:val="24"/>
                    </w:rPr>
                    <w:t>V1.0</w:t>
                  </w:r>
                </w:p>
              </w:tc>
              <w:tc>
                <w:tcPr>
                  <w:tcW w:type="dxa" w:w="5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同上</w:t>
                  </w:r>
                </w:p>
              </w:tc>
              <w:tc>
                <w:tcPr>
                  <w:tcW w:type="dxa" w:w="5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应用服务</w:t>
                  </w:r>
                </w:p>
              </w:tc>
              <w:tc>
                <w:tcPr>
                  <w:tcW w:type="dxa" w:w="943"/>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新一代电子病历系统</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和仁电子病历软件</w:t>
                  </w:r>
                  <w:r>
                    <w:rPr>
                      <w:rFonts w:ascii="仿宋_GB2312" w:hAnsi="仿宋_GB2312" w:cs="仿宋_GB2312" w:eastAsia="仿宋_GB2312"/>
                      <w:sz w:val="24"/>
                    </w:rPr>
                    <w:t>V6.0</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同上</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含基础业务</w:t>
                  </w:r>
                  <w:r>
                    <w:rPr>
                      <w:rFonts w:ascii="仿宋_GB2312" w:hAnsi="仿宋_GB2312" w:cs="仿宋_GB2312" w:eastAsia="仿宋_GB2312"/>
                      <w:sz w:val="24"/>
                    </w:rPr>
                    <w:t>HIS、病案系统</w:t>
                  </w:r>
                </w:p>
              </w:tc>
            </w:tr>
            <w:tr>
              <w:tc>
                <w:tcPr>
                  <w:tcW w:type="dxa" w:w="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一体化</w:t>
                  </w:r>
                  <w:r>
                    <w:rPr>
                      <w:rFonts w:ascii="仿宋_GB2312" w:hAnsi="仿宋_GB2312" w:cs="仿宋_GB2312" w:eastAsia="仿宋_GB2312"/>
                      <w:sz w:val="24"/>
                    </w:rPr>
                    <w:t>HIS+EMR系统功能深化</w:t>
                  </w: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抗菌药物用药流程深化改造</w:t>
                  </w:r>
                </w:p>
              </w:tc>
              <w:tc>
                <w:tcPr>
                  <w:tcW w:type="dxa" w:w="5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同上</w:t>
                  </w:r>
                </w:p>
              </w:tc>
              <w:tc>
                <w:tcPr>
                  <w:tcW w:type="dxa" w:w="55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检验申请深化改造</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重要数据推送机制改造</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医嘱拆分升级改造</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新医嘱消息提醒改造</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不合格标本回退提醒</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手术分级管理深化改造</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病历质控专科专病化改造</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病历数据的分级访问控制</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特殊药品使用管理改造</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精细化闭环管理体系</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护理线上支付深化改造</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产科五色评分管理改造</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住院线上发票流程改造</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线上医保支付、医保电子处方流转对接</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住院电子陪护证</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费用流程改造</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电话预约挂号</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抗肿瘤数据上报</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区域医疗项目接口对接</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日间手术管理系统</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院前准备中心</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检查预约平台</w:t>
                  </w: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预约平台</w:t>
                  </w:r>
                </w:p>
              </w:tc>
              <w:tc>
                <w:tcPr>
                  <w:tcW w:type="dxa" w:w="55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同上</w:t>
                  </w:r>
                </w:p>
              </w:tc>
              <w:tc>
                <w:tcPr>
                  <w:tcW w:type="dxa" w:w="55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智能预约规则库</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短信提醒服务</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HIS信息同步</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预约实时跟踪</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预约资源优化指导</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合理用药</w:t>
                  </w: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系统审方</w:t>
                  </w:r>
                </w:p>
              </w:tc>
              <w:tc>
                <w:tcPr>
                  <w:tcW w:type="dxa" w:w="55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p>
              </w:tc>
              <w:tc>
                <w:tcPr>
                  <w:tcW w:type="dxa" w:w="55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药师审方干预</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处方点评</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药物信息查询</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患者用药指导</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集采药品管控</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r>
              <w:tc>
                <w:tcPr>
                  <w:tcW w:type="dxa" w:w="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专科治疗系统</w:t>
                  </w: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康复数字化管理系统</w:t>
                  </w:r>
                </w:p>
              </w:tc>
              <w:tc>
                <w:tcPr>
                  <w:tcW w:type="dxa" w:w="55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同上</w:t>
                  </w:r>
                </w:p>
              </w:tc>
              <w:tc>
                <w:tcPr>
                  <w:tcW w:type="dxa" w:w="55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502"/>
                  <w:vMerge/>
                  <w:tcBorders>
                    <w:top w:val="none" w:color="000000" w:sz="4"/>
                    <w:left w:val="singl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高压氧舱治疗系统</w:t>
                  </w:r>
                </w:p>
              </w:tc>
              <w:tc>
                <w:tcPr>
                  <w:tcW w:type="dxa" w:w="554"/>
                  <w:vMerge/>
                  <w:tcBorders>
                    <w:top w:val="none" w:color="000000" w:sz="4"/>
                    <w:left w:val="none" w:color="000000" w:sz="4"/>
                    <w:bottom w:val="none" w:color="000000" w:sz="4"/>
                    <w:right w:val="single" w:color="000000" w:sz="4"/>
                  </w:tcBorders>
                </w:tcPr>
                <w:p/>
              </w:tc>
              <w:tc>
                <w:tcPr>
                  <w:tcW w:type="dxa" w:w="554"/>
                  <w:vMerge/>
                  <w:tcBorders>
                    <w:top w:val="none" w:color="000000" w:sz="4"/>
                    <w:left w:val="none" w:color="000000" w:sz="4"/>
                    <w:bottom w:val="none" w:color="000000" w:sz="4"/>
                    <w:right w:val="single" w:color="000000" w:sz="4"/>
                  </w:tcBorders>
                </w:tcPr>
                <w:p/>
              </w:tc>
            </w:tr>
          </w:tbl>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3）定制开发服务</w:t>
            </w:r>
          </w:p>
          <w:p>
            <w:pPr>
              <w:pStyle w:val="null3"/>
              <w:jc w:val="both"/>
            </w:pPr>
            <w:r>
              <w:rPr>
                <w:rFonts w:ascii="仿宋_GB2312" w:hAnsi="仿宋_GB2312" w:cs="仿宋_GB2312" w:eastAsia="仿宋_GB2312"/>
                <w:sz w:val="28"/>
              </w:rPr>
              <w:t>1.需求调研与方案设计：</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1）接收医院新业务需求，通过现场访谈、需求文档评审，明确需求边界，输出《需求规格说明书》；</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2）基于需求制定技术方案，明确开发架构、开发周期及资源投入，方案经医院审核通过后启动开发。</w:t>
            </w:r>
          </w:p>
          <w:p>
            <w:pPr>
              <w:pStyle w:val="null3"/>
              <w:jc w:val="both"/>
            </w:pPr>
            <w:r>
              <w:rPr>
                <w:rFonts w:ascii="仿宋_GB2312" w:hAnsi="仿宋_GB2312" w:cs="仿宋_GB2312" w:eastAsia="仿宋_GB2312"/>
                <w:sz w:val="28"/>
              </w:rPr>
              <w:t>2.开发与测试：</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1）采用“敏捷开发” 模式，每2个工作日提交阶段性开发成果，与医院同步进度；开发完成后，在测试环境开展功能测试、压力测试及安全测试；</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2）测试通过后，在非业务时段部署至生产环境，提供操作手册，并对使用人员开展专项培训。</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4）日常保障服务及升级服务</w:t>
            </w:r>
          </w:p>
          <w:p>
            <w:pPr>
              <w:pStyle w:val="null3"/>
              <w:jc w:val="both"/>
            </w:pPr>
            <w:r>
              <w:rPr>
                <w:rFonts w:ascii="仿宋_GB2312" w:hAnsi="仿宋_GB2312" w:cs="仿宋_GB2312" w:eastAsia="仿宋_GB2312"/>
                <w:sz w:val="28"/>
              </w:rPr>
              <w:t>1.系统日常维护：</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1）由人员变化、岗位变化、帐号申请、常规系统故障排除等带来的系统日常维护工作。主要提供后台数据库查询，数据批量处理，后台数据纠错修改等工作。</w:t>
            </w:r>
          </w:p>
          <w:p>
            <w:pPr>
              <w:pStyle w:val="null3"/>
              <w:jc w:val="both"/>
            </w:pPr>
            <w:r>
              <w:rPr>
                <w:rFonts w:ascii="仿宋_GB2312" w:hAnsi="仿宋_GB2312" w:cs="仿宋_GB2312" w:eastAsia="仿宋_GB2312"/>
                <w:sz w:val="28"/>
              </w:rPr>
              <w:t>2.升级规划与评估：</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1）每月收集HIS/EMR系统业务需求，制定《升级申请报告》，明确升级的必要性、风险及实施窗口；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2）升级前3个工作日，完成生产环境数据全量备份，搭建与生产环境一致的测试环境，模拟升级过程，验证升级包兼容性，输出《升级测试报告》。</w:t>
            </w:r>
          </w:p>
          <w:p>
            <w:pPr>
              <w:pStyle w:val="null3"/>
              <w:jc w:val="both"/>
            </w:pPr>
            <w:r>
              <w:rPr>
                <w:rFonts w:ascii="仿宋_GB2312" w:hAnsi="仿宋_GB2312" w:cs="仿宋_GB2312" w:eastAsia="仿宋_GB2312"/>
                <w:sz w:val="28"/>
              </w:rPr>
              <w:t>3.升级实施与回滚：</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1）升级过程严格遵循“测试环境验证→生产环境测试发布→全量升级”流程，实时监控升级进度；</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2）若升级过程中出现严重问题，立即启动回滚预案，30分钟内恢复系统至升级前状态，分析原因并制定二次升级方案。</w:t>
            </w:r>
          </w:p>
          <w:p>
            <w:pPr>
              <w:pStyle w:val="null3"/>
              <w:jc w:val="both"/>
            </w:pPr>
            <w:r>
              <w:rPr>
                <w:rFonts w:ascii="仿宋_GB2312" w:hAnsi="仿宋_GB2312" w:cs="仿宋_GB2312" w:eastAsia="仿宋_GB2312"/>
                <w:sz w:val="28"/>
              </w:rPr>
              <w:t>4.升级后验证：</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1）升级完成后，联合医院信息科、临床科室、收费处开展功能验证、性能验证及接口验证，确保无功能缺失、性能下降问题；</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2）持续跟踪7个工作日，记录系统运行状态，输出《升级验收报告》，经医院签字确认后完成升级闭环。</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5）日常故障处理</w:t>
            </w:r>
          </w:p>
          <w:p>
            <w:pPr>
              <w:pStyle w:val="null3"/>
              <w:jc w:val="both"/>
            </w:pPr>
            <w:r>
              <w:rPr>
                <w:rFonts w:ascii="仿宋_GB2312" w:hAnsi="仿宋_GB2312" w:cs="仿宋_GB2312" w:eastAsia="仿宋_GB2312"/>
                <w:sz w:val="28"/>
              </w:rPr>
              <w:t>1.故障受理：通过医院信息科报修电话接收故障报修，记录故障现象、影响范围、发生时间；</w:t>
            </w:r>
          </w:p>
          <w:p>
            <w:pPr>
              <w:pStyle w:val="null3"/>
              <w:jc w:val="both"/>
            </w:pPr>
            <w:r>
              <w:rPr>
                <w:rFonts w:ascii="仿宋_GB2312" w:hAnsi="仿宋_GB2312" w:cs="仿宋_GB2312" w:eastAsia="仿宋_GB2312"/>
                <w:sz w:val="28"/>
              </w:rPr>
              <w:t>2.故障诊断：通过远程日志分析、接口测试，定位故障原因；</w:t>
            </w:r>
          </w:p>
          <w:p>
            <w:pPr>
              <w:pStyle w:val="null3"/>
              <w:jc w:val="both"/>
            </w:pPr>
            <w:r>
              <w:rPr>
                <w:rFonts w:ascii="仿宋_GB2312" w:hAnsi="仿宋_GB2312" w:cs="仿宋_GB2312" w:eastAsia="仿宋_GB2312"/>
                <w:sz w:val="28"/>
              </w:rPr>
              <w:t>3.故障处置：根据故障等级执行对应方案；</w:t>
            </w:r>
          </w:p>
          <w:p>
            <w:pPr>
              <w:pStyle w:val="null3"/>
              <w:jc w:val="both"/>
            </w:pPr>
            <w:r>
              <w:rPr>
                <w:rFonts w:ascii="仿宋_GB2312" w:hAnsi="仿宋_GB2312" w:cs="仿宋_GB2312" w:eastAsia="仿宋_GB2312"/>
                <w:sz w:val="28"/>
              </w:rPr>
              <w:t>4.验证与复盘：故障恢复后，联合医院信息科验证业务功能，24小时内提交《故障处理报告》，每月汇总故障数据形成《故障分析月报》。</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6）运维巡检服务</w:t>
            </w:r>
          </w:p>
          <w:p>
            <w:pPr>
              <w:pStyle w:val="null3"/>
              <w:jc w:val="both"/>
            </w:pPr>
            <w:r>
              <w:rPr>
                <w:rFonts w:ascii="仿宋_GB2312" w:hAnsi="仿宋_GB2312" w:cs="仿宋_GB2312" w:eastAsia="仿宋_GB2312"/>
                <w:sz w:val="28"/>
              </w:rPr>
              <w:t>1.性能指标检测：</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1）业务指标：门诊收费成功率、住院结算耗时、病历录入保存成功率、接口数据同步延迟（阈值：≤3秒）；</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2）技术指标：服务器硬件状态、数据库慢查询（执行时间＞5秒实时告警）、中间件连接异常，告警信息通过监控平台推送报告至运维团队与医院信息科负责人。</w:t>
            </w:r>
          </w:p>
          <w:p>
            <w:pPr>
              <w:pStyle w:val="null3"/>
              <w:jc w:val="both"/>
            </w:pPr>
            <w:r>
              <w:rPr>
                <w:rFonts w:ascii="仿宋_GB2312" w:hAnsi="仿宋_GB2312" w:cs="仿宋_GB2312" w:eastAsia="仿宋_GB2312"/>
                <w:sz w:val="28"/>
              </w:rPr>
              <w:t>2.巡检体系：</w:t>
            </w:r>
          </w:p>
          <w:p>
            <w:pPr>
              <w:pStyle w:val="null3"/>
              <w:jc w:val="both"/>
            </w:pPr>
            <w:r>
              <w:rPr>
                <w:rFonts w:ascii="仿宋_GB2312" w:hAnsi="仿宋_GB2312" w:cs="仿宋_GB2312" w:eastAsia="仿宋_GB2312"/>
                <w:sz w:val="28"/>
              </w:rPr>
              <w:t>每周远程巡检：现场检查服务器硬件、系统日志、接口数据同步情况，输出《每周巡检报告》；</w:t>
            </w:r>
          </w:p>
          <w:p>
            <w:pPr>
              <w:pStyle w:val="null3"/>
              <w:jc w:val="both"/>
            </w:pPr>
            <w:r>
              <w:rPr>
                <w:rFonts w:ascii="仿宋_GB2312" w:hAnsi="仿宋_GB2312" w:cs="仿宋_GB2312" w:eastAsia="仿宋_GB2312"/>
                <w:sz w:val="28"/>
              </w:rPr>
              <w:t>3.数据备份与管理：每季度开展1次恢复测试，验证恢复数据的完整性与准确性，输出《数据恢复测试报告》。</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7）技术优化服务</w:t>
            </w:r>
          </w:p>
          <w:p>
            <w:pPr>
              <w:pStyle w:val="null3"/>
              <w:jc w:val="both"/>
            </w:pPr>
            <w:r>
              <w:rPr>
                <w:rFonts w:ascii="仿宋_GB2312" w:hAnsi="仿宋_GB2312" w:cs="仿宋_GB2312" w:eastAsia="仿宋_GB2312"/>
                <w:sz w:val="28"/>
              </w:rPr>
              <w:t>1.数据库优化：</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1）分析慢查询语句，通过增加联合索引、拆分大表、优化SQL逻辑，将慢查询执行时间从＞10秒压缩至≤3秒；</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2）调整数据库连接池参数，解决高峰期连接超时问题；</w:t>
            </w:r>
          </w:p>
          <w:p>
            <w:pPr>
              <w:pStyle w:val="null3"/>
              <w:jc w:val="both"/>
            </w:pPr>
            <w:r>
              <w:rPr>
                <w:rFonts w:ascii="仿宋_GB2312" w:hAnsi="仿宋_GB2312" w:cs="仿宋_GB2312" w:eastAsia="仿宋_GB2312"/>
                <w:sz w:val="28"/>
              </w:rPr>
              <w:t>2.业务模块优化：</w:t>
            </w:r>
          </w:p>
          <w:p>
            <w:pPr>
              <w:pStyle w:val="null3"/>
              <w:jc w:val="both"/>
            </w:pPr>
            <w:r>
              <w:rPr>
                <w:rFonts w:ascii="仿宋_GB2312" w:hAnsi="仿宋_GB2312" w:cs="仿宋_GB2312" w:eastAsia="仿宋_GB2312"/>
                <w:sz w:val="28"/>
              </w:rPr>
              <w:t>对结算系统进行</w:t>
            </w:r>
            <w:r>
              <w:rPr>
                <w:rFonts w:ascii="仿宋_GB2312" w:hAnsi="仿宋_GB2312" w:cs="仿宋_GB2312" w:eastAsia="仿宋_GB2312"/>
                <w:sz w:val="28"/>
              </w:rPr>
              <w:t>“分步计算”改造，避免因医保接口延迟导致结算卡顿。</w:t>
            </w:r>
          </w:p>
          <w:p>
            <w:pPr>
              <w:pStyle w:val="null3"/>
              <w:jc w:val="both"/>
            </w:pPr>
            <w:r>
              <w:rPr>
                <w:rFonts w:ascii="仿宋_GB2312" w:hAnsi="仿宋_GB2312" w:cs="仿宋_GB2312" w:eastAsia="仿宋_GB2312"/>
                <w:sz w:val="28"/>
              </w:rPr>
              <w:t>3.病历录入与检索优化：</w:t>
            </w:r>
          </w:p>
          <w:p>
            <w:pPr>
              <w:pStyle w:val="null3"/>
              <w:jc w:val="both"/>
            </w:pPr>
            <w:r>
              <w:rPr>
                <w:rFonts w:ascii="仿宋_GB2312" w:hAnsi="仿宋_GB2312" w:cs="仿宋_GB2312" w:eastAsia="仿宋_GB2312"/>
                <w:sz w:val="28"/>
              </w:rPr>
              <w:t>为</w:t>
            </w:r>
            <w:r>
              <w:rPr>
                <w:rFonts w:ascii="仿宋_GB2312" w:hAnsi="仿宋_GB2312" w:cs="仿宋_GB2312" w:eastAsia="仿宋_GB2312"/>
                <w:sz w:val="28"/>
              </w:rPr>
              <w:t>EMR核心表建立全文索引，支持按患者姓名、住院号、诊断关键词快速检索，检索响应时间≤3秒；</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8）人才培养服务</w:t>
            </w:r>
          </w:p>
          <w:p>
            <w:pPr>
              <w:pStyle w:val="null3"/>
              <w:jc w:val="both"/>
            </w:pPr>
            <w:r>
              <w:rPr>
                <w:rFonts w:ascii="仿宋_GB2312" w:hAnsi="仿宋_GB2312" w:cs="仿宋_GB2312" w:eastAsia="仿宋_GB2312"/>
                <w:sz w:val="28"/>
              </w:rPr>
              <w:t>1.运维人员培训（医院信息科）：</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1）每周开展1次技术培训，内容涵盖HIS/EMR系统架构、日常运维操作、故障排查方法；</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2）每月组织1次实操演练，确保信息科人员能独立处理三级故障及部分二级故障。</w:t>
            </w:r>
          </w:p>
          <w:p>
            <w:pPr>
              <w:pStyle w:val="null3"/>
              <w:jc w:val="both"/>
            </w:pPr>
            <w:r>
              <w:rPr>
                <w:rFonts w:ascii="仿宋_GB2312" w:hAnsi="仿宋_GB2312" w:cs="仿宋_GB2312" w:eastAsia="仿宋_GB2312"/>
                <w:sz w:val="28"/>
              </w:rPr>
              <w:t>2.业务人员培训：</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1）针对临床医生/护士：开展EMR系统操作培训，结合病历质量要求讲解病历书写规范，每月1次，提供培训视频与操作手册；</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2）针对收费员：开展HIS系统收费结算培训，新功能上线后额外增加1次专项培训；</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3）针对行政管理人员：开展报表系统使用培训，满足管理决策数据需求。</w:t>
            </w:r>
          </w:p>
          <w:p>
            <w:pPr>
              <w:pStyle w:val="null3"/>
              <w:jc w:val="both"/>
            </w:pPr>
            <w:r>
              <w:rPr>
                <w:rFonts w:ascii="仿宋_GB2312" w:hAnsi="仿宋_GB2312" w:cs="仿宋_GB2312" w:eastAsia="仿宋_GB2312"/>
                <w:sz w:val="28"/>
              </w:rPr>
              <w:t>3.知识转移与文档交付</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1）项目启动后1个月内，移交现有系统基础文档；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2）项目实施过程中，实时更新并交付运维文档；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3）项目结束时，形成完整的《知识转移文档包》，包含系统运维、故障处理、功能操作等全维度内容，并安排1次集中答疑，确保医院人员全面掌握相关知识。</w:t>
            </w:r>
          </w:p>
          <w:p>
            <w:pPr>
              <w:pStyle w:val="null3"/>
              <w:jc w:val="both"/>
            </w:pPr>
            <w:r>
              <w:rPr>
                <w:rFonts w:ascii="仿宋_GB2312" w:hAnsi="仿宋_GB2312" w:cs="仿宋_GB2312" w:eastAsia="仿宋_GB2312"/>
                <w:sz w:val="28"/>
                <w:b/>
              </w:rPr>
              <w:t>四、人力资源需求</w:t>
            </w:r>
          </w:p>
          <w:p>
            <w:pPr>
              <w:pStyle w:val="null3"/>
              <w:jc w:val="both"/>
            </w:pPr>
            <w:r>
              <w:rPr>
                <w:rFonts w:ascii="仿宋_GB2312" w:hAnsi="仿宋_GB2312" w:cs="仿宋_GB2312" w:eastAsia="仿宋_GB2312"/>
                <w:sz w:val="28"/>
              </w:rPr>
              <w:t>1.运维工程师（1名）：分别专注于财务、药品、医护、行政统计四个维度，3年以上相关经验，负责日常运维与故障处理；</w:t>
            </w:r>
          </w:p>
          <w:p>
            <w:pPr>
              <w:pStyle w:val="null3"/>
              <w:jc w:val="both"/>
            </w:pPr>
            <w:r>
              <w:rPr>
                <w:rFonts w:ascii="仿宋_GB2312" w:hAnsi="仿宋_GB2312" w:cs="仿宋_GB2312" w:eastAsia="仿宋_GB2312"/>
                <w:sz w:val="28"/>
              </w:rPr>
              <w:t>2.开发工程师（1名）：熟悉JAVA开发、C#、HL7接口协议，2年以上医疗系统开发经验，负责业务适配与接口开发；</w:t>
            </w:r>
          </w:p>
          <w:p>
            <w:pPr>
              <w:pStyle w:val="null3"/>
              <w:jc w:val="both"/>
            </w:pPr>
            <w:r>
              <w:rPr>
                <w:rFonts w:ascii="仿宋_GB2312" w:hAnsi="仿宋_GB2312" w:cs="仿宋_GB2312" w:eastAsia="仿宋_GB2312"/>
                <w:sz w:val="28"/>
                <w:b/>
              </w:rPr>
              <w:t>五、商务及服务要求</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服务期一年</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服务期内供应商需</w:t>
            </w:r>
            <w:r>
              <w:rPr>
                <w:rFonts w:ascii="仿宋_GB2312" w:hAnsi="仿宋_GB2312" w:cs="仿宋_GB2312" w:eastAsia="仿宋_GB2312"/>
                <w:sz w:val="28"/>
              </w:rPr>
              <w:t>提供技术驻场服务，</w:t>
            </w:r>
            <w:r>
              <w:rPr>
                <w:rFonts w:ascii="仿宋_GB2312" w:hAnsi="仿宋_GB2312" w:cs="仿宋_GB2312" w:eastAsia="仿宋_GB2312"/>
                <w:sz w:val="28"/>
              </w:rPr>
              <w:t>服务期</w:t>
            </w:r>
            <w:r>
              <w:rPr>
                <w:rFonts w:ascii="仿宋_GB2312" w:hAnsi="仿宋_GB2312" w:cs="仿宋_GB2312" w:eastAsia="仿宋_GB2312"/>
                <w:sz w:val="28"/>
              </w:rPr>
              <w:t>内提供至少</w:t>
            </w:r>
            <w:r>
              <w:rPr>
                <w:rFonts w:ascii="仿宋_GB2312" w:hAnsi="仿宋_GB2312" w:cs="仿宋_GB2312" w:eastAsia="仿宋_GB2312"/>
                <w:sz w:val="28"/>
              </w:rPr>
              <w:t>2人现场维护保障，</w:t>
            </w:r>
            <w:r>
              <w:rPr>
                <w:rFonts w:ascii="仿宋_GB2312" w:hAnsi="仿宋_GB2312" w:cs="仿宋_GB2312" w:eastAsia="仿宋_GB2312"/>
                <w:sz w:val="28"/>
              </w:rPr>
              <w:t>其中至少</w:t>
            </w:r>
            <w:r>
              <w:rPr>
                <w:rFonts w:ascii="仿宋_GB2312" w:hAnsi="仿宋_GB2312" w:cs="仿宋_GB2312" w:eastAsia="仿宋_GB2312"/>
                <w:sz w:val="28"/>
              </w:rPr>
              <w:t>1名</w:t>
            </w:r>
            <w:r>
              <w:rPr>
                <w:rFonts w:ascii="仿宋_GB2312" w:hAnsi="仿宋_GB2312" w:cs="仿宋_GB2312" w:eastAsia="仿宋_GB2312"/>
                <w:sz w:val="28"/>
              </w:rPr>
              <w:t>为</w:t>
            </w:r>
            <w:r>
              <w:rPr>
                <w:rFonts w:ascii="仿宋_GB2312" w:hAnsi="仿宋_GB2312" w:cs="仿宋_GB2312" w:eastAsia="仿宋_GB2312"/>
                <w:sz w:val="28"/>
              </w:rPr>
              <w:t>研发人员</w:t>
            </w:r>
            <w:r>
              <w:rPr>
                <w:rFonts w:ascii="仿宋_GB2312" w:hAnsi="仿宋_GB2312" w:cs="仿宋_GB2312" w:eastAsia="仿宋_GB2312"/>
                <w:sz w:val="28"/>
              </w:rPr>
              <w:t>，</w:t>
            </w:r>
            <w:r>
              <w:rPr>
                <w:rFonts w:ascii="仿宋_GB2312" w:hAnsi="仿宋_GB2312" w:cs="仿宋_GB2312" w:eastAsia="仿宋_GB2312"/>
                <w:sz w:val="28"/>
                <w:b/>
              </w:rPr>
              <w:t>供应商</w:t>
            </w:r>
            <w:r>
              <w:rPr>
                <w:rFonts w:ascii="仿宋_GB2312" w:hAnsi="仿宋_GB2312" w:cs="仿宋_GB2312" w:eastAsia="仿宋_GB2312"/>
                <w:sz w:val="28"/>
                <w:b/>
              </w:rPr>
              <w:t>须以承诺函的方式承诺，承诺函格式自拟</w:t>
            </w:r>
            <w:r>
              <w:rPr>
                <w:rFonts w:ascii="仿宋_GB2312" w:hAnsi="仿宋_GB2312" w:cs="仿宋_GB2312" w:eastAsia="仿宋_GB2312"/>
                <w:sz w:val="28"/>
                <w:b/>
              </w:rPr>
              <w:t>。</w:t>
            </w:r>
          </w:p>
          <w:p>
            <w:pPr>
              <w:pStyle w:val="null3"/>
            </w:pPr>
            <w:r>
              <w:rPr>
                <w:rFonts w:ascii="仿宋_GB2312" w:hAnsi="仿宋_GB2312" w:cs="仿宋_GB2312" w:eastAsia="仿宋_GB2312"/>
                <w:sz w:val="28"/>
              </w:rPr>
              <w:t>3.</w:t>
            </w:r>
            <w:r>
              <w:rPr>
                <w:rFonts w:ascii="仿宋_GB2312" w:hAnsi="仿宋_GB2312" w:cs="仿宋_GB2312" w:eastAsia="仿宋_GB2312"/>
                <w:sz w:val="28"/>
              </w:rPr>
              <w:t>合同签订后支付服务费的</w:t>
            </w:r>
            <w:r>
              <w:rPr>
                <w:rFonts w:ascii="仿宋_GB2312" w:hAnsi="仿宋_GB2312" w:cs="仿宋_GB2312" w:eastAsia="仿宋_GB2312"/>
                <w:sz w:val="28"/>
              </w:rPr>
              <w:t>50%，一年服务期到期后支付剩余50%。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满足国家、行业及医院标准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法律法规规定的标准、合同文本、竞争性磋商文件和竞争性磋商响应文件的要求。（2）供应商完成全部项目内容，向采购人提交验收申请，约请采购人和有关部门进行验收。采购人自接到验收通知5日内，可采取全面验收和抽检验收方法组织验收，并办理验收、移交手续。如采购人不能在规定时间内组织验收，需及时通知供应商，另定验收日期。如采购人在验收过程中发现存在质量问题，应在验收后5日内以书面形式向供应商提出，供应商应自收到采购人书面异议后3日内及时予以回复解决。</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合同签订后 ，乙方向甲方开具预付款同等金额发票后，达到付款条件起30个工作日内，支付合同总金额的50.0%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进度款，一年服务期到期后，达到付款条件起30个工作日内，支付合同总金额的50.0%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违约责任：详见合同。解决争议的方法：双方本着友好合作的态度,对合同履行过程中发生的纠纷应及时协商解决,协商不成，向采购人所在地人民法院诉讼解决。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3.4.1磋商总报价组成 磋商报价为完成本项目磋商文件中所提出的工作范围及要求的全部内容，并达到国家及采购人验收标准而产生的所有费用，包括服务费、管理费、食宿通讯费、人员工资（含社保、补助和奖金）、软件设计费、测试费、对接费、系统升级维护费、检修费、培训费、交通费、招标代理服务费、保险、利润、税金、风险及完成工作准备阶段、实施阶段、验收阶段等所需的全部费用，任何错报、漏报由供应商自行负责。 3.4.2采购标的对应的所属行业：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3.4.3纸质文件要求 成交供应商在领取成交通知书时须向代理机构提供纸质版磋商响应文件正本壹份，副本叁份，电子版（U盘）贰份。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采购标的对应的中小企业划分标准所属行业：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供应商提供依法缴纳税收和社会保障资金的相关材料，依法免税的供应商应具有税务部门出具的证明文件；依法不需要缴纳社会保障资金的供应商，需具有社保部门出具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供应商提供2025年度财务审计报告或磋商前3个月内供应商基本账户银行出具的资信证明；供应商需在项目电子化交易系统中按要求上传相应证明文件并进行电子签章。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供应商具有履行合同所必需的设备和专业技术能力的声明；供应商需在项目电子化交易系统中按要求上传相应证明文件并进行电子签章。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提供磋商保证金交纳凭证；供应商需在项目电子化交易系统中按要求上传相应证明文件并进行电子签章。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为中小企业的，应提供《中小企业声明函》；供应商为残疾人福利性单位的，应提供《残疾人福利性单位声明函》；供应商为监狱企业的，应提供《监狱企业证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详见6.4.2评分标准 异常低价审查</w:t>
            </w:r>
          </w:p>
        </w:tc>
        <w:tc>
          <w:tcPr>
            <w:tcW w:type="dxa" w:w="1661"/>
          </w:tcPr>
          <w:p>
            <w:pPr>
              <w:pStyle w:val="null3"/>
            </w:pPr>
            <w:r>
              <w:rPr>
                <w:rFonts w:ascii="仿宋_GB2312" w:hAnsi="仿宋_GB2312" w:cs="仿宋_GB2312" w:eastAsia="仿宋_GB2312"/>
              </w:rPr>
              <w:t>报价一览表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 中小企业声明函 商务应答表 承诺书 服务内容及服务要求应答表 报价表 磋商保证金退还信息表 业绩证明文件及响应方案说明 响应文件封面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 中小企业声明函 商务应答表 承诺书 服务内容及服务要求应答表 报价表 磋商保证金退还信息表 业绩证明文件及响应方案说明 响应文件封面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 中小企业声明函 商务应答表 承诺书 服务内容及服务要求应答表 报价表 磋商保证金退还信息表 业绩证明文件及响应方案说明 响应文件封面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 中小企业声明函 商务应答表 承诺书 服务内容及服务要求应答表 报价表 磋商保证金退还信息表 业绩证明文件及响应方案说明 响应文件封面 资格证明文件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供应商提供针对本项目的项目分析，内容包括但不限于：①采购需求及建设目标分析;②建设依据、必要性分析;③重点难点分析。以上每项内容逐条阐述。 二、评审标准 1、完整性：方案须全面，对评审内容中的各项要求有详细描述； 2、可实施性：切合本项目实际情况，实施步骤清晰、合理； 3、针对性：方案能够紧扣项目实际情况，内容科学合理。 三、赋分标准（满分9分） ①采购需求及建设目标分析：每完全满足一项评审标准计1分，满分3分。 ②建设依据、必要性分析：每完全满足一项评审标准计1分，满分3分。 ③重点难点分析。以上每项内容逐条阐述:每完全满足一项评审标准计1分，满分3分。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提供针对本项目的总体服务方案，内容包括但不限于：①政策性与定制需求软件/接口开发服务；②HIS、EMR系统开发方案；③日常保障处理服务及升级服务；④运维巡检服务；⑤技术优化服务；⑥售后故障处理响应方案。 二、评审标准 1、完整性：方案须全面，对评审内容中的各项要求有详细描述； 2、可实施性：切合本项目实际情况，实施步骤清晰、合理； 3、针对性：方案能够紧扣项目实际情况，内容科学合理。 三、赋分标准（满分18分） ①政策性与定制需求软件/接口开发服务：每完全满足一项评审标准计1分，满分3分。 ②HIS、EMR系统开发方案：每完全满足一项评审标准计1分，满分3分。 ③日常保障处理服务及升级服务:每完全满足一项评审标准计1分，满分3分。 ④运维巡检服务:每完全满足一项评审标准计1分，满分3分。 ⑤技术优化服务：每完全满足一项评审标准计1分，满分3分。 ⑥售后故障处理响应方案：每完全满足一项评审标准计1分，满分3分。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供应商提供项目实施过程中的服务质量保障措施，内容包括但不限于：①服务目标质量保障措施；②服务进度保障措施；③服务质量改进措施及反馈处理。 二、评审标准 1、完整性：方案须全面，对评审内容中的各项要求有详细描述； 2、可实施性：切合本项目实际情况，实施步骤清晰、合理； 3、针对性：方案能够紧扣项目实际情况，内容科学合理。 三、赋分标准（满分9分） ①服务目标质量保障措施：每完全满足一项评审标准计1分，满分3分。 ②服务进度保障措施：每完全满足一项评审标准计1分，满分3分。 ③服务质量改进措施及反馈处理:每完全满足一项评审标准计1分，满分3分。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系统对接、移交方案</w:t>
            </w:r>
          </w:p>
        </w:tc>
        <w:tc>
          <w:tcPr>
            <w:tcW w:type="dxa" w:w="2492"/>
          </w:tcPr>
          <w:p>
            <w:pPr>
              <w:pStyle w:val="null3"/>
            </w:pPr>
            <w:r>
              <w:rPr>
                <w:rFonts w:ascii="仿宋_GB2312" w:hAnsi="仿宋_GB2312" w:cs="仿宋_GB2312" w:eastAsia="仿宋_GB2312"/>
              </w:rPr>
              <w:t>一、评审内容 供应商提供系统对接、移交保障方案，内容包括但不限于：①对接、移交实施保障措施;②对接、移交重点难点。 二、评审标准 1、完整性：方案须全面，对评审内容中的各项要求有详细描述； 2、可实施性：切合本项目实际情况，实施步骤清晰、合理； 3、针对性：方案能够紧扣项目实际情况，内容科学合理。 三、赋分标准（满分6分） ①对接、移交实施保障措施：每完全满足一项评审标准计1分，满分3分。 ②对接、移交重点难点：每完全满足一项评审标准计1分，满分3分。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供应商针对本项目需求提供的项目团队人员配备方案，包括但不限于： ①人员配置及岗位职责（人员配置需包含运维工程师、开发工程师、驻场工程师）；②人员管理制度；③人员资料信息。 二、评审标准 1、完整性：人员配备须充足、全面，对评审内容中的各项要求有详细描述及说明； 2、可实施性：人员配备须切合本项目实际情况，满足项目全过程实施及管理需要； 3、针对性：人员配备专业符合项目要求，内容科学合理。 三、赋分标准（满分4.5分） ①人员配置及岗位职责：每完全满足一项评审标准计0.5分，满分1.5分。 ②人员管理制度：每完全满足一项评审标准计0.5分，满分1.5分。 ③人员资料信息：每完全满足一项评审标准计0.5分，满分1.5分。 注：提供评分点对应人员的证书扫描件、该人员在本单位缴纳社保证明，以上材料均需加盖公章。</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培训方案及培训计划</w:t>
            </w:r>
          </w:p>
        </w:tc>
        <w:tc>
          <w:tcPr>
            <w:tcW w:type="dxa" w:w="2492"/>
          </w:tcPr>
          <w:p>
            <w:pPr>
              <w:pStyle w:val="null3"/>
            </w:pPr>
            <w:r>
              <w:rPr>
                <w:rFonts w:ascii="仿宋_GB2312" w:hAnsi="仿宋_GB2312" w:cs="仿宋_GB2312" w:eastAsia="仿宋_GB2312"/>
              </w:rPr>
              <w:t>评审内容 供应商提供的培训方案及培训计划， 内容包括但不限于：①培训计划及内容;②师资力量;③培训质量保障措施。培训具体日期及人数由采购人确定。 二、评审标准 1、完整性：方案须全面，对评审内容中的各项要求有详细描述； 2、可实施性：切合本项目实际情况，实施步骤清晰、合理； 3、针对性：方案能够紧扣项目实际情况，内容科学合理。 三、赋分标准（满分4.5分） ①培训计划及内容：每完全满足一项评审标准计0.5分，满分1.5分。 ②师资力量：每完全满足一项评审标准计0.5分，满分1.5分。 ③培训质量保障措施:每完全满足一项评审标准计0.5分，满分1.5分。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保密措施及服务承诺</w:t>
            </w:r>
          </w:p>
        </w:tc>
        <w:tc>
          <w:tcPr>
            <w:tcW w:type="dxa" w:w="2492"/>
          </w:tcPr>
          <w:p>
            <w:pPr>
              <w:pStyle w:val="null3"/>
            </w:pPr>
            <w:r>
              <w:rPr>
                <w:rFonts w:ascii="仿宋_GB2312" w:hAnsi="仿宋_GB2312" w:cs="仿宋_GB2312" w:eastAsia="仿宋_GB2312"/>
              </w:rPr>
              <w:t>评审内容 保密措施及服务承诺评审内容点包括但不限于：①保密措施；②承诺完全响应磋商文件和合同条款的要求；③人员配备响应承诺；④服务质量承诺及进度保证；⑤承诺在合同履行中采购人若提出意见，供应商全力配合整改；⑥合理化建议。 二、评审标准 1、完整性：方案须全面，对评审内容中的各项要求有详细描述； 2、可实施性：切合本项目实际情况，实施步骤清晰、合理； 3、针对性：方案能够紧扣项目实际情况，内容科学合理。 三、赋分标准（满分9分） ①保密措施：每完全满足一项评审标准计0.5分，满分1.5分。 ②承诺完全响应磋商文件和合同条款的要求：每完全满足一项评审标准计0.5分，满分1.5分。 ③人员配备响应承诺：每完全满足一项评审标准计0.5分，满分1.5分。 ④服务质量承诺及进度保证：每完全满足一项评审标准计0.5分，满分1.5分。 ⑤承诺在合同履行中采购人若提出意见，供应商全力配合整改：每完全满足一项评审标准计0.5分，满分1.5分。 ⑥合理化建议：每完全满足一项评审标准计0.5分，满分1.5分。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提供2023年以来类似项目业绩合同（以合同签订时间为准），每份业绩计2分，满分10分。（注：以上证明文件在响应文件中附业绩合同扫描件并加盖公司公章。）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 （5）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 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磋商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得分采用低价优先法计算，即满足磋商文件要求且最后报价最低的供应商的价格为磋商基准价，其价格分为满分。其他供应商的价格分统一按照下列公式计算：磋商报价得分=（磋商基准价/最后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详见附件：业绩证明文件及响应方案说明</w:t>
      </w:r>
    </w:p>
    <w:p>
      <w:pPr>
        <w:pStyle w:val="null3"/>
        <w:ind w:firstLine="960"/>
      </w:pPr>
      <w:r>
        <w:rPr>
          <w:rFonts w:ascii="仿宋_GB2312" w:hAnsi="仿宋_GB2312" w:cs="仿宋_GB2312" w:eastAsia="仿宋_GB2312"/>
        </w:rPr>
        <w:t>详见附件：磋商保证金退还信息表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