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版本号：HBLY-2026-01020260622001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韩城市2026年中央水利发展资金农村供水工程维修养护项目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HBLY-2026-010</w:t>
      </w:r>
      <w:r>
        <w:br/>
      </w:r>
      <w:r>
        <w:br/>
      </w:r>
      <w:r>
        <w:br/>
      </w:r>
    </w:p>
    <w:p>
      <w:pPr>
        <w:pStyle w:val="null3"/>
        <w:jc w:val="center"/>
        <w:outlineLvl w:val="2"/>
      </w:pPr>
      <w:r>
        <w:rPr>
          <w:rFonts w:ascii="仿宋_GB2312" w:hAnsi="仿宋_GB2312" w:cs="仿宋_GB2312" w:eastAsia="仿宋_GB2312"/>
          <w:sz w:val="28"/>
          <w:b/>
        </w:rPr>
        <w:t>韩城市水利管理站</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韩城市水利管理站</w:t>
      </w:r>
      <w:r>
        <w:rPr>
          <w:rFonts w:ascii="仿宋_GB2312" w:hAnsi="仿宋_GB2312" w:cs="仿宋_GB2312" w:eastAsia="仿宋_GB2312"/>
        </w:rPr>
        <w:t>委托，拟对</w:t>
      </w:r>
      <w:r>
        <w:rPr>
          <w:rFonts w:ascii="仿宋_GB2312" w:hAnsi="仿宋_GB2312" w:cs="仿宋_GB2312" w:eastAsia="仿宋_GB2312"/>
        </w:rPr>
        <w:t>韩城市2026年中央水利发展资金农村供水工程维修养护项目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韩城市2026年中央水利发展资金农村供水工程维修养护项目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维修水池2座，重建蓄水池1座，更换PE管道11.038km，更换水泵29台，更换电缆2128m，更换启动柜8台，更换钢管4.004km，维修消毒设备3台、更换消毒设备1台，自动上水系统1套等。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采购包1（韩城市2026年中央水利发展资金农村供水工程维修养护项目）：属于专门面向中小企业采购。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报告：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5、具有履行合同所必需的设备和专业技术能力：具有履行合同所必需的设备和专业技术能力，(由供应商根据项目需求提供说明材料或者承诺)</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7、资质条件：供应商须具备相关行政主管部门颁发的水利水电工程施工总承包三级及以上资质，并具备合格有效的安全生产许可证。</w:t>
      </w:r>
    </w:p>
    <w:p>
      <w:pPr>
        <w:pStyle w:val="null3"/>
      </w:pPr>
      <w:r>
        <w:rPr>
          <w:rFonts w:ascii="仿宋_GB2312" w:hAnsi="仿宋_GB2312" w:cs="仿宋_GB2312" w:eastAsia="仿宋_GB2312"/>
        </w:rPr>
        <w:t>8、项目经理：项目经理必须具备水利水电工程专业注册建造师二级及以上资格且未担任其他在建工程项目的项目经理，并具有水利行政主管部门颁发的安全生产考核合格证；提供本单位社保缴纳证明。</w:t>
      </w:r>
    </w:p>
    <w:p>
      <w:pPr>
        <w:pStyle w:val="null3"/>
      </w:pPr>
      <w:r>
        <w:rPr>
          <w:rFonts w:ascii="仿宋_GB2312" w:hAnsi="仿宋_GB2312" w:cs="仿宋_GB2312" w:eastAsia="仿宋_GB2312"/>
        </w:rPr>
        <w:t>9、安全员：专职安全员须具有水利行政主管部门颁发的安全生产考核合格证；提供本单位社保缴纳证明。</w:t>
      </w:r>
    </w:p>
    <w:p>
      <w:pPr>
        <w:pStyle w:val="null3"/>
      </w:pPr>
      <w:r>
        <w:rPr>
          <w:rFonts w:ascii="仿宋_GB2312" w:hAnsi="仿宋_GB2312" w:cs="仿宋_GB2312" w:eastAsia="仿宋_GB2312"/>
        </w:rPr>
        <w:t>10、供应商授权合法的人员参加磋商全过程：法定代表人直接参加投标的，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11、信用记录：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12、专门面向中小企业：本项目专门面向中小企业采购，仅限符合《政府采购促进中小企业发展管理办法》的通知(财库〔2020〕46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韩城市水利管理站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韩城市新兴产业基地1号楼10楼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樊永红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13309136522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18840372611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采购包1：1,008,334.87元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代理服务费收费标准：招标代理服务费按照国家发展改⾰委关于进⼀步放开建设项⽬专业服务价格的通知，发改价格【2015】299号⽂件规定的招标代理取费标准计取。成交供应商的招标代理服务费缴纳信息 ⼾名名称：陕西鸿博⽴园项⽬管理有限公司 开⼾银⾏：中国银⾏股份有限公司韩城市盘河路⽀⾏ 帐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韩城市水利管理站</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韩城市水利管理站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韩城市水利管理站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 ⼿册等技术资料，并承诺提供⽆限期⽀持，采购⼈享有使⽤权（含采购⼈委托第三⽅在该项⽬后续开发的使⽤权）。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联系电话：18840372611</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1,008,334.87</w:t>
      </w:r>
    </w:p>
    <w:p>
      <w:pPr>
        <w:pStyle w:val="null3"/>
      </w:pPr>
      <w:r>
        <w:rPr>
          <w:rFonts w:ascii="仿宋_GB2312" w:hAnsi="仿宋_GB2312" w:cs="仿宋_GB2312" w:eastAsia="仿宋_GB2312"/>
        </w:rPr>
        <w:t>采购包最高限价（元）: 1,008,334.87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韩城市2026年中央水利发展资金农村供水工程维修养护项目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1,008,334.87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标的名称：韩城市2026年中央水利发展资金农村供水工程维修养护项目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工程概况：</w:t>
            </w:r>
            <w:r>
              <w:br/>
            </w:r>
            <w:r>
              <w:rPr>
                <w:rFonts w:ascii="仿宋_GB2312" w:hAnsi="仿宋_GB2312" w:cs="仿宋_GB2312" w:eastAsia="仿宋_GB2312"/>
              </w:rPr>
              <w:t>1．工程名称：</w:t>
            </w:r>
            <w:r>
              <w:rPr>
                <w:rFonts w:ascii="仿宋_GB2312" w:hAnsi="仿宋_GB2312" w:cs="仿宋_GB2312" w:eastAsia="仿宋_GB2312"/>
              </w:rPr>
              <w:t>韩城市</w:t>
            </w:r>
            <w:r>
              <w:rPr>
                <w:rFonts w:ascii="仿宋_GB2312" w:hAnsi="仿宋_GB2312" w:cs="仿宋_GB2312" w:eastAsia="仿宋_GB2312"/>
              </w:rPr>
              <w:t>2026年中央水利发展资金农村供水工程维修养护项目</w:t>
            </w:r>
          </w:p>
          <w:p>
            <w:pPr>
              <w:pStyle w:val="null3"/>
            </w:pPr>
            <w:r>
              <w:rPr>
                <w:rFonts w:ascii="仿宋_GB2312" w:hAnsi="仿宋_GB2312" w:cs="仿宋_GB2312" w:eastAsia="仿宋_GB2312"/>
              </w:rPr>
              <w:t>建设单位：</w:t>
            </w:r>
            <w:r>
              <w:rPr>
                <w:rFonts w:ascii="仿宋_GB2312" w:hAnsi="仿宋_GB2312" w:cs="仿宋_GB2312" w:eastAsia="仿宋_GB2312"/>
              </w:rPr>
              <w:t>韩城市水利管理站</w:t>
            </w:r>
          </w:p>
          <w:p>
            <w:pPr>
              <w:pStyle w:val="null3"/>
            </w:pPr>
            <w:r>
              <w:rPr>
                <w:rFonts w:ascii="仿宋_GB2312" w:hAnsi="仿宋_GB2312" w:cs="仿宋_GB2312" w:eastAsia="仿宋_GB2312"/>
              </w:rPr>
              <w:t>建设地点：</w:t>
            </w:r>
            <w:r>
              <w:rPr>
                <w:rFonts w:ascii="仿宋_GB2312" w:hAnsi="仿宋_GB2312" w:cs="仿宋_GB2312" w:eastAsia="仿宋_GB2312"/>
              </w:rPr>
              <w:t>韩城市</w:t>
            </w:r>
          </w:p>
          <w:p>
            <w:pPr>
              <w:pStyle w:val="null3"/>
            </w:pPr>
            <w:r>
              <w:rPr>
                <w:rFonts w:ascii="仿宋_GB2312" w:hAnsi="仿宋_GB2312" w:cs="仿宋_GB2312" w:eastAsia="仿宋_GB2312"/>
              </w:rPr>
              <w:t>资金来源：中央水利发展资金</w:t>
            </w:r>
          </w:p>
          <w:p>
            <w:pPr>
              <w:pStyle w:val="null3"/>
            </w:pPr>
            <w:r>
              <w:rPr>
                <w:rFonts w:ascii="仿宋_GB2312" w:hAnsi="仿宋_GB2312" w:cs="仿宋_GB2312" w:eastAsia="仿宋_GB2312"/>
              </w:rPr>
              <w:t>4．主要工程建设内容：</w:t>
            </w:r>
            <w:r>
              <w:rPr>
                <w:rFonts w:ascii="仿宋_GB2312" w:hAnsi="仿宋_GB2312" w:cs="仿宋_GB2312" w:eastAsia="仿宋_GB2312"/>
              </w:rPr>
              <w:t>维修水池</w:t>
            </w:r>
            <w:r>
              <w:rPr>
                <w:rFonts w:ascii="仿宋_GB2312" w:hAnsi="仿宋_GB2312" w:cs="仿宋_GB2312" w:eastAsia="仿宋_GB2312"/>
              </w:rPr>
              <w:t>2座，重建蓄水池1座，更换PE管道11.038km，更换水泵29台，更换电缆2128m，更换启动柜8台，更换钢管4.004km，维修消毒设备3台、更换消毒设备1台，自动上水系统1套等</w:t>
            </w:r>
            <w:r>
              <w:rPr>
                <w:rFonts w:ascii="仿宋_GB2312" w:hAnsi="仿宋_GB2312" w:cs="仿宋_GB2312" w:eastAsia="仿宋_GB2312"/>
              </w:rPr>
              <w:t>（具体内容详见附件工程量清单）。</w:t>
            </w:r>
          </w:p>
          <w:p>
            <w:pPr>
              <w:pStyle w:val="null3"/>
            </w:pPr>
            <w:r>
              <w:rPr>
                <w:rFonts w:ascii="仿宋_GB2312" w:hAnsi="仿宋_GB2312" w:cs="仿宋_GB2312" w:eastAsia="仿宋_GB2312"/>
                <w:sz w:val="21"/>
              </w:rPr>
              <w:t>二、商务要求</w:t>
            </w:r>
            <w:r>
              <w:br/>
            </w:r>
            <w:r>
              <w:rPr>
                <w:rFonts w:ascii="仿宋_GB2312" w:hAnsi="仿宋_GB2312" w:cs="仿宋_GB2312" w:eastAsia="仿宋_GB2312"/>
                <w:sz w:val="21"/>
              </w:rPr>
              <w:t>1、工期：</w:t>
            </w:r>
            <w:r>
              <w:rPr>
                <w:rFonts w:ascii="仿宋_GB2312" w:hAnsi="仿宋_GB2312" w:cs="仿宋_GB2312" w:eastAsia="仿宋_GB2312"/>
                <w:sz w:val="21"/>
              </w:rPr>
              <w:t>60</w:t>
            </w:r>
            <w:r>
              <w:rPr>
                <w:rFonts w:ascii="仿宋_GB2312" w:hAnsi="仿宋_GB2312" w:cs="仿宋_GB2312" w:eastAsia="仿宋_GB2312"/>
                <w:sz w:val="21"/>
              </w:rPr>
              <w:t>日历天</w:t>
            </w:r>
            <w:r>
              <w:br/>
            </w:r>
            <w:r>
              <w:rPr>
                <w:rFonts w:ascii="仿宋_GB2312" w:hAnsi="仿宋_GB2312" w:cs="仿宋_GB2312" w:eastAsia="仿宋_GB2312"/>
                <w:sz w:val="21"/>
              </w:rPr>
              <w:t>2、缺陷责任期：工程竣工验收合格之日起1年</w:t>
            </w:r>
            <w:r>
              <w:br/>
            </w:r>
            <w:r>
              <w:rPr>
                <w:rFonts w:ascii="仿宋_GB2312" w:hAnsi="仿宋_GB2312" w:cs="仿宋_GB2312" w:eastAsia="仿宋_GB2312"/>
                <w:sz w:val="21"/>
              </w:rPr>
              <w:t>3、付款方式：</w:t>
            </w:r>
            <w:r>
              <w:br/>
            </w:r>
            <w:r>
              <w:rPr>
                <w:rFonts w:ascii="仿宋_GB2312" w:hAnsi="仿宋_GB2312" w:cs="仿宋_GB2312" w:eastAsia="仿宋_GB2312"/>
                <w:sz w:val="21"/>
              </w:rPr>
              <w:t>工程完工并验收合格后，达到付款条件起</w:t>
            </w:r>
            <w:r>
              <w:rPr>
                <w:rFonts w:ascii="仿宋_GB2312" w:hAnsi="仿宋_GB2312" w:cs="仿宋_GB2312" w:eastAsia="仿宋_GB2312"/>
                <w:sz w:val="21"/>
              </w:rPr>
              <w:t>30个工作日内，支付合同总金额的80.0%</w:t>
            </w:r>
            <w:r>
              <w:rPr>
                <w:rFonts w:ascii="仿宋_GB2312" w:hAnsi="仿宋_GB2312" w:cs="仿宋_GB2312" w:eastAsia="仿宋_GB2312"/>
                <w:sz w:val="21"/>
              </w:rPr>
              <w:t>；</w:t>
            </w:r>
            <w:r>
              <w:rPr>
                <w:rFonts w:ascii="仿宋_GB2312" w:hAnsi="仿宋_GB2312" w:cs="仿宋_GB2312" w:eastAsia="仿宋_GB2312"/>
                <w:sz w:val="21"/>
              </w:rPr>
              <w:t>质保期满后，达到付款条件起</w:t>
            </w:r>
            <w:r>
              <w:rPr>
                <w:rFonts w:ascii="仿宋_GB2312" w:hAnsi="仿宋_GB2312" w:cs="仿宋_GB2312" w:eastAsia="仿宋_GB2312"/>
                <w:sz w:val="21"/>
              </w:rPr>
              <w:t>30个工作日内，支付合同总金额的20.0％。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货物、服务及工程且验收合格的所有费用，包括但不限于投标人完成本项目所需的人工费、材料费、设备费、管理费、验收费、利润和税金等所产生的全部费用。任何有选择的报价将不予接受，按无效磋商处理。 （二）由供应商自行承担因现场踏勘而产生的费用及安全。（三）、成交供应商在领取成交通知书前，需向采购代理机构提交加盖公章的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单位负责⼈为同⼀⼈或者存在直接控股、管理关系的不同供应商不得参加同⼀合同项下的政府采购活动； 为本项⽬提供整体设计、规范编制或者项⽬管理、监理、检测等服务的供应商，不得再参加该采购项⽬的其他采购活动。供应商为采购⼈、代理机构在确定采购需求、编制采购⽂件过程中提供咨询论证，其提供的咨询论证意⻅成为采购⽂件中规定的供应商资格条件、技 术服务商务要求、评审因素和标准、政府采购合同等实质性内容条款的，视同为采购项⽬提供规范编制。</w:t>
            </w:r>
          </w:p>
        </w:tc>
        <w:tc>
          <w:tcPr>
            <w:tcW w:type="dxa" w:w="3322"/>
          </w:tcPr>
          <w:p>
            <w:pPr>
              <w:pStyle w:val="null3"/>
            </w:pPr>
            <w:r>
              <w:rPr>
                <w:rFonts w:ascii="仿宋_GB2312" w:hAnsi="仿宋_GB2312" w:cs="仿宋_GB2312" w:eastAsia="仿宋_GB2312"/>
              </w:rPr>
              <w:t>供应商需在项⽬电⼦化交易系统中按要求填写《响应函》完成承诺并进⾏电⼦签章。</w:t>
            </w:r>
          </w:p>
        </w:tc>
        <w:tc>
          <w:tcPr>
            <w:tcW w:type="dxa" w:w="1661"/>
          </w:tcPr>
          <w:p>
            <w:pPr>
              <w:pStyle w:val="null3"/>
            </w:pPr>
            <w:r>
              <w:rPr>
                <w:rFonts w:ascii="仿宋_GB2312" w:hAnsi="仿宋_GB2312" w:cs="仿宋_GB2312" w:eastAsia="仿宋_GB2312"/>
              </w:rPr>
              <w:t>供应商应提交的资格证明文件.docx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供应商须具备相关行政主管部门颁发的水利水电工程施工总承包三级及以上资质，并具备合格有效的安全生产许可证。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项目经理必须具备水利水电工程专业注册建造师二级及以上资格且未担任其他在建工程项目的项目经理，并具有水利行政主管部门颁发的安全生产考核合格证；提供本单位社保缴纳证明。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安全员</w:t>
            </w:r>
          </w:p>
        </w:tc>
        <w:tc>
          <w:tcPr>
            <w:tcW w:type="dxa" w:w="3322"/>
          </w:tcPr>
          <w:p>
            <w:pPr>
              <w:pStyle w:val="null3"/>
            </w:pPr>
            <w:r>
              <w:rPr>
                <w:rFonts w:ascii="仿宋_GB2312" w:hAnsi="仿宋_GB2312" w:cs="仿宋_GB2312" w:eastAsia="仿宋_GB2312"/>
              </w:rPr>
              <w:t>专职安全员须具有水利行政主管部门颁发的安全生产考核合格证；提供本单位社保缴纳证明。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供应商应提交的资格证明文件.docx 中小企业声明函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响应⽂件要求加盖单位公章及法定代表⼈或被 授权委托⼈签字或盖章的地⽅均应加盖</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磋商报价表.docx 磋商技术方案.docx 响应文件封面 供应商应提交的资格证明文件.docx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从提交首次响应⽂件截⽌之⽇起，不少于90⽇历天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应满⾜竞争性磋商⽂件中要求的⼯期</w:t>
            </w:r>
          </w:p>
        </w:tc>
        <w:tc>
          <w:tcPr>
            <w:tcW w:type="dxa" w:w="1661"/>
          </w:tcPr>
          <w:p>
            <w:pPr>
              <w:pStyle w:val="null3"/>
            </w:pPr>
            <w:r>
              <w:rPr>
                <w:rFonts w:ascii="仿宋_GB2312" w:hAnsi="仿宋_GB2312" w:cs="仿宋_GB2312" w:eastAsia="仿宋_GB2312"/>
              </w:rPr>
              <w:t>响应文件封面 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根据供应商提供的施工方案进行评审，评审内容包含但不限于：（1）施工准备 （2）施工方法（3）相关技术措施。以上内容无缺项，专门针对本项目编制，符合本项目实际情况，内容全面详细， 且条理清晰、准确、措施合理化能够保障项目顺利实施的得12分。每小项缺项或者内容非针对于本项目的扣4分，每小项有一处缺陷的扣1分，扣完为止。（缺陷是指：施工方案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1）安全文明施工目标、安全生产管理体系、安全标识及施工现场的临时管理措施、文明施工保证措施（2）环境保护管理体系及环保控制措施。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安全、文明施工措施及环境保护措施描述内容描述不完整、条理不清晰、未对安全做出具体明确的解决措施等、缺少关键点、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根据供应商提供的施工现场扬尘污染防治措施进行评审，评审内容包 含但不限于：（1）污染物、杂物及废弃物处理的排放（2）噪音控制、防尘及扬尘的准备工作及防治措施。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施工现场扬尘污染防治措施内容不完整 、条理不清晰、缺少关键点、方案不具体、针对性不强、内容无紧扣项目实际情况、表述前后不一致、现有技术条件下不可能出现的及其他不利于项目实施的情形等任意一种情形）。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采用新技术、新工艺对提高工程质量、缩短工期、降低造价的可行性</w:t>
            </w:r>
          </w:p>
        </w:tc>
        <w:tc>
          <w:tcPr>
            <w:tcW w:type="dxa" w:w="2492"/>
          </w:tcPr>
          <w:p>
            <w:pPr>
              <w:pStyle w:val="null3"/>
            </w:pPr>
            <w:r>
              <w:rPr>
                <w:rFonts w:ascii="仿宋_GB2312" w:hAnsi="仿宋_GB2312" w:cs="仿宋_GB2312" w:eastAsia="仿宋_GB2312"/>
              </w:rPr>
              <w:t>根据供应商提供的新技术、新工艺对提高工程质量、缩短工期、降低造价的可行性进行评审，评审内容包含但不限于：（1）新技术、新工艺对提高工程质量的可行性（2）新技术、新工艺对缩短工期的可行性（3）新技术、新工艺对降低造价的可行性。以上内容无缺项，专门针对本项目编制，符合本项目实际情况，内容全面详细，且条理清晰、准确、措施合理化能够保障项目顺利实施的得12分。每小项缺项或者内容非针对于本项目的扣4分，每小项有一处缺陷的扣1分，扣完为止。（缺陷是指：针对新技术、新工艺描述不完整、条理不清晰、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劳动力安排及施工机械配备投入计划</w:t>
            </w:r>
          </w:p>
        </w:tc>
        <w:tc>
          <w:tcPr>
            <w:tcW w:type="dxa" w:w="2492"/>
          </w:tcPr>
          <w:p>
            <w:pPr>
              <w:pStyle w:val="null3"/>
            </w:pPr>
            <w:r>
              <w:rPr>
                <w:rFonts w:ascii="仿宋_GB2312" w:hAnsi="仿宋_GB2312" w:cs="仿宋_GB2312" w:eastAsia="仿宋_GB2312"/>
              </w:rPr>
              <w:t>根据供应商提供的劳动力安排及施工机械配备投入计划进行评审，评审内容包含但不限于：（1）劳动力投入计划及劳动力保证措施 （2）机械设备的投入计划。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劳动力投入计划条理不清晰、劳动 力保证措施安排不到位、针对性不强、内容无紧扣项目实际情况、表述前后不一致、现有技术条件下不可能出现的及其他不利于项目实施的情形等任意一种情形）。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w:t>
            </w:r>
          </w:p>
        </w:tc>
        <w:tc>
          <w:tcPr>
            <w:tcW w:type="dxa" w:w="2492"/>
          </w:tcPr>
          <w:p>
            <w:pPr>
              <w:pStyle w:val="null3"/>
            </w:pPr>
            <w:r>
              <w:rPr>
                <w:rFonts w:ascii="仿宋_GB2312" w:hAnsi="仿宋_GB2312" w:cs="仿宋_GB2312" w:eastAsia="仿宋_GB2312"/>
              </w:rPr>
              <w:t>根据供应商提供的施工质量及施工进度保证措施进行评审，评审内容包括但不限于：（1）施工质量目标管理体系及质量的检验制度（2）施工进度及技术保证措施。以上内容无缺项，专门针对本项目编制，符合本项目实际情况，内容描述全面详细，且条理清晰、准确、措施合理化能够保障项目顺利实施的得8分。每小项缺项或者内容非针对于本项目的扣4分，每小项有一处缺陷的扣1分，扣完为止。（缺陷是指：施工质量及进度保证措施内容不完整、条理不清晰、缺少关键点、措施描述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项目管理机构中每具有一个工程类中级职称得0.5分，具有高级职称得1分，本项最高得3分。（2）拟投入的人员（至少包括技术负责人、施工员、质量员、材料员、资料员）等，并提供身份证、毕业证、职业资格证书等，得5分。缺少一人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提供近三年（2023年5月至今）类似工程项目业绩，以合同签订时间为准，每提供一份业绩得 2 分，满分 6 分。注：（1）以合同为准，复印件清楚有效加盖公章，否则不作为评审依据。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满⾜竞争性磋商⽂件要求的最终报价最低价作为评标基准价，其价格为满分。其他供应商的报价得分按下列公式计算：报价得分=（评标基准价∕磋商报价）×30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详见附件：磋商技术方案.docx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